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June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132080</wp:posOffset>
            </wp:positionV>
            <wp:extent cx="137160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URBAN ONE,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0"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1"/>
              </w:rPr>
              <w:t>Delaware</w:t>
            </w:r>
          </w:p>
        </w:tc>
        <w:tc>
          <w:tcPr>
            <w:tcW w:w="2960" w:type="dxa"/>
            <w:vAlign w:val="bottom"/>
          </w:tcPr>
          <w:p>
            <w:pPr>
              <w:jc w:val="right"/>
              <w:ind w:right="1199"/>
              <w:spacing w:after="0"/>
              <w:rPr>
                <w:sz w:val="20"/>
                <w:szCs w:val="20"/>
                <w:color w:val="auto"/>
              </w:rPr>
            </w:pPr>
            <w:r>
              <w:rPr>
                <w:rFonts w:ascii="Arial" w:cs="Arial" w:eastAsia="Arial" w:hAnsi="Arial"/>
                <w:sz w:val="16"/>
                <w:szCs w:val="16"/>
                <w:b w:val="1"/>
                <w:bCs w:val="1"/>
                <w:color w:val="auto"/>
              </w:rPr>
              <w:t>0-25969</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52-1166660</w:t>
            </w:r>
          </w:p>
        </w:tc>
      </w:tr>
      <w:tr>
        <w:trPr>
          <w:trHeight w:val="203"/>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2"/>
              </w:rPr>
              <w:t>(State or Other Jurisdiction</w:t>
            </w:r>
          </w:p>
        </w:tc>
        <w:tc>
          <w:tcPr>
            <w:tcW w:w="29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(Commission File No.)</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54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of Incorporation)</w:t>
            </w:r>
          </w:p>
        </w:tc>
        <w:tc>
          <w:tcPr>
            <w:tcW w:w="2960" w:type="dxa"/>
            <w:vAlign w:val="bottom"/>
          </w:tcPr>
          <w:p>
            <w:pPr>
              <w:spacing w:after="0"/>
              <w:rPr>
                <w:sz w:val="18"/>
                <w:szCs w:val="18"/>
                <w:color w:val="auto"/>
              </w:rPr>
            </w:pP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1010 Wayne Avenue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14th Floor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Silver Spring, Maryland 20910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(301) 429-3200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90" w:lineRule="exact"/>
        <w:rPr>
          <w:sz w:val="24"/>
          <w:szCs w:val="24"/>
          <w:color w:val="auto"/>
        </w:rPr>
      </w:pPr>
    </w:p>
    <w:p>
      <w:pPr>
        <w:ind w:left="6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480" w:hanging="430"/>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820" w:type="dxa"/>
            <w:vAlign w:val="bottom"/>
            <w:gridSpan w:val="3"/>
          </w:tcPr>
          <w:p>
            <w:pPr>
              <w:ind w:left="2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22"/>
        </w:trPr>
        <w:tc>
          <w:tcPr>
            <w:tcW w:w="382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84"/>
              </w:rPr>
              <w:t>Class</w:t>
            </w:r>
          </w:p>
        </w:tc>
        <w:tc>
          <w:tcPr>
            <w:tcW w:w="2020" w:type="dxa"/>
            <w:vAlign w:val="bottom"/>
          </w:tcPr>
          <w:p>
            <w:pPr>
              <w:jc w:val="center"/>
              <w:ind w:right="659"/>
              <w:spacing w:after="0"/>
              <w:rPr>
                <w:sz w:val="20"/>
                <w:szCs w:val="20"/>
                <w:color w:val="auto"/>
              </w:rPr>
            </w:pPr>
            <w:r>
              <w:rPr>
                <w:rFonts w:ascii="Arial" w:cs="Arial" w:eastAsia="Arial" w:hAnsi="Arial"/>
                <w:sz w:val="16"/>
                <w:szCs w:val="16"/>
                <w:b w:val="1"/>
                <w:bCs w:val="1"/>
                <w:color w:val="auto"/>
                <w:w w:val="92"/>
              </w:rPr>
              <w:t>Trading Symbol</w:t>
            </w:r>
          </w:p>
        </w:tc>
        <w:tc>
          <w:tcPr>
            <w:tcW w:w="1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189"/>
        </w:trPr>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$.001 Par Value</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UONE</w:t>
            </w:r>
          </w:p>
        </w:tc>
        <w:tc>
          <w:tcPr>
            <w:tcW w:w="140" w:type="dxa"/>
            <w:vAlign w:val="bottom"/>
          </w:tcPr>
          <w:p>
            <w:pPr>
              <w:spacing w:after="0"/>
              <w:rPr>
                <w:sz w:val="16"/>
                <w:szCs w:val="16"/>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NASDAQ Capital Market</w:t>
            </w:r>
          </w:p>
        </w:tc>
      </w:tr>
      <w:tr>
        <w:trPr>
          <w:trHeight w:val="206"/>
        </w:trPr>
        <w:tc>
          <w:tcPr>
            <w:tcW w:w="3820" w:type="dxa"/>
            <w:vAlign w:val="bottom"/>
            <w:gridSpan w:val="3"/>
          </w:tcPr>
          <w:p>
            <w:pPr>
              <w:jc w:val="center"/>
              <w:ind w:right="860"/>
              <w:spacing w:after="0"/>
              <w:rPr>
                <w:sz w:val="20"/>
                <w:szCs w:val="20"/>
                <w:color w:val="auto"/>
              </w:rPr>
            </w:pPr>
            <w:r>
              <w:rPr>
                <w:rFonts w:ascii="Arial" w:cs="Arial" w:eastAsia="Arial" w:hAnsi="Arial"/>
                <w:sz w:val="16"/>
                <w:szCs w:val="16"/>
                <w:color w:val="auto"/>
                <w:w w:val="91"/>
              </w:rPr>
              <w:t>Class D Common Stock, $.001 Par Value</w:t>
            </w:r>
          </w:p>
        </w:tc>
        <w:tc>
          <w:tcPr>
            <w:tcW w:w="2020" w:type="dxa"/>
            <w:vAlign w:val="bottom"/>
          </w:tcPr>
          <w:p>
            <w:pPr>
              <w:jc w:val="center"/>
              <w:ind w:right="659"/>
              <w:spacing w:after="0"/>
              <w:rPr>
                <w:sz w:val="20"/>
                <w:szCs w:val="20"/>
                <w:color w:val="auto"/>
              </w:rPr>
            </w:pPr>
            <w:r>
              <w:rPr>
                <w:rFonts w:ascii="Arial" w:cs="Arial" w:eastAsia="Arial" w:hAnsi="Arial"/>
                <w:sz w:val="16"/>
                <w:szCs w:val="16"/>
                <w:color w:val="auto"/>
                <w:w w:val="98"/>
              </w:rPr>
              <w:t>UONEK</w:t>
            </w:r>
          </w:p>
        </w:tc>
        <w:tc>
          <w:tcPr>
            <w:tcW w:w="14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w w:val="97"/>
              </w:rPr>
              <w:t>NASDAQ Capital Market</w:t>
            </w:r>
          </w:p>
        </w:tc>
      </w:tr>
    </w:tbl>
    <w:p>
      <w:pPr>
        <w:spacing w:after="0" w:line="212" w:lineRule="exact"/>
        <w:rPr>
          <w:sz w:val="24"/>
          <w:szCs w:val="24"/>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91"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8" w:lineRule="exact"/>
        <w:rPr>
          <w:sz w:val="24"/>
          <w:szCs w:val="24"/>
          <w:color w:val="auto"/>
        </w:rPr>
      </w:pPr>
    </w:p>
    <w:p>
      <w:pPr>
        <w:jc w:val="both"/>
        <w:ind w:left="60" w:right="59"/>
        <w:spacing w:after="0" w:line="21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99060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ind w:left="60"/>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June 13, 2023, Urban One, Inc.’s 50/50 partnership with Churchill Downs Incorporated, RVA Entertainment Holdings, LLC, entered into a Resort Casino Host Community Agreement with the City of Richmond, Virginia (the “City”), to be the City’s preferred casino gaming operator subject to certification by the Virginia Lottery Department and a local referendum. The planned project is a $562 million world-class entertainment and gaming venue.</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information provided pursuant to this Item 7.01 is being furnished and shall not be deemed “filed” for purposes of Section 18 of the Securities Exchange Act of 1934, as amended (the “Exchange Act”) or otherwise subject to the liabilities under that Section and shall not be deemed incorporated by reference into any filing of the company under the Securities Act of 1933, as amended, or the Exchange Act, except as shall be expressly set forth by specific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Company cautions you certain of the statements in this Form 8-K or in its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a number of factors, including but not limited to the following: the extent of the impact of the COVID-19 global pandemic or any other epidemic, disease outbreak, or public health emergency, including the duration, spread, severity, and any recurrence of the COVID-19 pandemic, the duration and scope of related government orders and restrictions, the impact on our employees, economic, public health, and political conditions that impact consumer confidence and spending, including the impact of COVID-19 and other health epidemics or pandemics on the global economy; the rapidly evolving nature of the COVID-19 pandemic and related containment measures, including changes in unemployment rate; the impact of political protests and curfews imposed by state and local governments;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10-K/A, Forms 10-Q, Forms 10-Q/A and Form 8-K reports (including all amendments to those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URBAN ONE, INC</w:t>
      </w:r>
      <w:r>
        <w:rPr>
          <w:rFonts w:ascii="Arial" w:cs="Arial" w:eastAsia="Arial" w:hAnsi="Arial"/>
          <w:sz w:val="18"/>
          <w:szCs w:val="18"/>
          <w:color w:val="auto"/>
        </w:rPr>
        <w: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June 16, 2023</w:t>
      </w:r>
      <w:r>
        <w:rPr>
          <w:sz w:val="20"/>
          <w:szCs w:val="20"/>
          <w:color w:val="auto"/>
        </w:rPr>
        <w:tab/>
      </w:r>
      <w:r>
        <w:rPr>
          <w:rFonts w:ascii="Arial" w:cs="Arial" w:eastAsia="Arial" w:hAnsi="Arial"/>
          <w:sz w:val="16"/>
          <w:szCs w:val="16"/>
          <w:color w:val="auto"/>
        </w:rPr>
        <w:t>Peter D. Thompson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2023-06-16T15:40:11Z</dcterms:created>
  <dcterms:modified xsi:type="dcterms:W3CDTF">2023-06-16T15:40:11Z</dcterms:modified>
</cp:coreProperties>
</file>