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
        <w:spacing w:after="0"/>
        <w:rPr>
          <w:sz w:val="20"/>
          <w:szCs w:val="20"/>
          <w:color w:val="auto"/>
        </w:rPr>
      </w:pPr>
      <w:r>
        <w:rPr>
          <w:rFonts w:ascii="Arial" w:cs="Arial" w:eastAsia="Arial" w:hAnsi="Arial"/>
          <w:sz w:val="22"/>
          <w:szCs w:val="22"/>
          <w:b w:val="1"/>
          <w:bCs w:val="1"/>
          <w:color w:val="auto"/>
        </w:rPr>
        <w:t>UNITED STATES</w:t>
      </w:r>
    </w:p>
    <w:p>
      <w:pPr>
        <w:spacing w:after="0" w:line="5" w:lineRule="exact"/>
        <w:rPr>
          <w:sz w:val="24"/>
          <w:szCs w:val="24"/>
          <w:color w:val="auto"/>
        </w:rPr>
      </w:pPr>
    </w:p>
    <w:p>
      <w:pPr>
        <w:jc w:val="center"/>
        <w:ind w:right="-7"/>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7"/>
        <w:spacing w:after="0"/>
        <w:rPr>
          <w:sz w:val="20"/>
          <w:szCs w:val="20"/>
          <w:color w:val="auto"/>
        </w:rPr>
      </w:pPr>
      <w:r>
        <w:rPr>
          <w:rFonts w:ascii="Arial" w:cs="Arial" w:eastAsia="Arial" w:hAnsi="Arial"/>
          <w:sz w:val="14"/>
          <w:szCs w:val="14"/>
          <w:b w:val="1"/>
          <w:bCs w:val="1"/>
          <w:color w:val="auto"/>
        </w:rPr>
        <w:t>Washington, D.C. 20549</w:t>
      </w:r>
    </w:p>
    <w:p>
      <w:pPr>
        <w:spacing w:after="0" w:line="120" w:lineRule="exact"/>
        <w:rPr>
          <w:sz w:val="24"/>
          <w:szCs w:val="24"/>
          <w:color w:val="auto"/>
        </w:rPr>
      </w:pPr>
    </w:p>
    <w:p>
      <w:pPr>
        <w:jc w:val="center"/>
        <w:ind w:right="-7"/>
        <w:spacing w:after="0"/>
        <w:rPr>
          <w:sz w:val="20"/>
          <w:szCs w:val="20"/>
          <w:color w:val="auto"/>
        </w:rPr>
      </w:pPr>
      <w:r>
        <w:rPr>
          <w:rFonts w:ascii="Arial" w:cs="Arial" w:eastAsia="Arial" w:hAnsi="Arial"/>
          <w:sz w:val="22"/>
          <w:szCs w:val="22"/>
          <w:b w:val="1"/>
          <w:bCs w:val="1"/>
          <w:color w:val="auto"/>
        </w:rPr>
        <w:t>FORM 8-K</w:t>
      </w:r>
    </w:p>
    <w:p>
      <w:pPr>
        <w:spacing w:after="0" w:line="143" w:lineRule="exact"/>
        <w:rPr>
          <w:sz w:val="24"/>
          <w:szCs w:val="24"/>
          <w:color w:val="auto"/>
        </w:rPr>
      </w:pPr>
    </w:p>
    <w:p>
      <w:pPr>
        <w:jc w:val="center"/>
        <w:ind w:right="-7"/>
        <w:spacing w:after="0"/>
        <w:rPr>
          <w:sz w:val="20"/>
          <w:szCs w:val="20"/>
          <w:color w:val="auto"/>
        </w:rPr>
      </w:pPr>
      <w:r>
        <w:rPr>
          <w:rFonts w:ascii="Arial" w:cs="Arial" w:eastAsia="Arial" w:hAnsi="Arial"/>
          <w:sz w:val="14"/>
          <w:szCs w:val="14"/>
          <w:b w:val="1"/>
          <w:bCs w:val="1"/>
          <w:color w:val="auto"/>
        </w:rPr>
        <w:t>Current Report</w:t>
      </w:r>
    </w:p>
    <w:p>
      <w:pPr>
        <w:spacing w:after="0" w:line="17" w:lineRule="exact"/>
        <w:rPr>
          <w:sz w:val="24"/>
          <w:szCs w:val="24"/>
          <w:color w:val="auto"/>
        </w:rPr>
      </w:pPr>
    </w:p>
    <w:p>
      <w:pPr>
        <w:jc w:val="center"/>
        <w:ind w:right="-7"/>
        <w:spacing w:after="0"/>
        <w:rPr>
          <w:sz w:val="20"/>
          <w:szCs w:val="20"/>
          <w:color w:val="auto"/>
        </w:rPr>
      </w:pPr>
      <w:r>
        <w:rPr>
          <w:rFonts w:ascii="Arial" w:cs="Arial" w:eastAsia="Arial" w:hAnsi="Arial"/>
          <w:sz w:val="14"/>
          <w:szCs w:val="14"/>
          <w:b w:val="1"/>
          <w:bCs w:val="1"/>
          <w:color w:val="auto"/>
        </w:rPr>
        <w:t>Pursuant To Section 13 or 15(d)</w:t>
      </w:r>
    </w:p>
    <w:p>
      <w:pPr>
        <w:spacing w:after="0" w:line="1" w:lineRule="exact"/>
        <w:rPr>
          <w:sz w:val="24"/>
          <w:szCs w:val="24"/>
          <w:color w:val="auto"/>
        </w:rPr>
      </w:pPr>
    </w:p>
    <w:p>
      <w:pPr>
        <w:jc w:val="center"/>
        <w:ind w:right="-7"/>
        <w:spacing w:after="0"/>
        <w:rPr>
          <w:sz w:val="20"/>
          <w:szCs w:val="20"/>
          <w:color w:val="auto"/>
        </w:rPr>
      </w:pPr>
      <w:r>
        <w:rPr>
          <w:rFonts w:ascii="Arial" w:cs="Arial" w:eastAsia="Arial" w:hAnsi="Arial"/>
          <w:sz w:val="14"/>
          <w:szCs w:val="14"/>
          <w:b w:val="1"/>
          <w:bCs w:val="1"/>
          <w:color w:val="auto"/>
        </w:rPr>
        <w:t>of the Securities Exchange Act of 1934</w:t>
      </w:r>
    </w:p>
    <w:p>
      <w:pPr>
        <w:spacing w:after="0" w:line="129" w:lineRule="exact"/>
        <w:rPr>
          <w:sz w:val="24"/>
          <w:szCs w:val="24"/>
          <w:color w:val="auto"/>
        </w:rPr>
      </w:pPr>
    </w:p>
    <w:p>
      <w:pPr>
        <w:jc w:val="center"/>
        <w:ind w:right="-7"/>
        <w:spacing w:after="0"/>
        <w:rPr>
          <w:sz w:val="20"/>
          <w:szCs w:val="20"/>
          <w:color w:val="auto"/>
        </w:rPr>
      </w:pPr>
      <w:r>
        <w:rPr>
          <w:rFonts w:ascii="Arial" w:cs="Arial" w:eastAsia="Arial" w:hAnsi="Arial"/>
          <w:sz w:val="14"/>
          <w:szCs w:val="14"/>
          <w:b w:val="1"/>
          <w:bCs w:val="1"/>
          <w:color w:val="auto"/>
        </w:rPr>
        <w:t>Date of Report (Date of earliest event reported): May 20,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2828925</wp:posOffset>
            </wp:positionH>
            <wp:positionV relativeFrom="paragraph">
              <wp:posOffset>103505</wp:posOffset>
            </wp:positionV>
            <wp:extent cx="1525905" cy="8572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25905" cy="85725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0" w:lineRule="exact"/>
        <w:rPr>
          <w:sz w:val="24"/>
          <w:szCs w:val="24"/>
          <w:color w:val="auto"/>
        </w:rPr>
      </w:pPr>
    </w:p>
    <w:p>
      <w:pPr>
        <w:jc w:val="center"/>
        <w:ind w:right="-7"/>
        <w:spacing w:after="0"/>
        <w:rPr>
          <w:sz w:val="20"/>
          <w:szCs w:val="20"/>
          <w:color w:val="auto"/>
        </w:rPr>
      </w:pPr>
      <w:r>
        <w:rPr>
          <w:rFonts w:ascii="Arial" w:cs="Arial" w:eastAsia="Arial" w:hAnsi="Arial"/>
          <w:sz w:val="29"/>
          <w:szCs w:val="29"/>
          <w:b w:val="1"/>
          <w:bCs w:val="1"/>
          <w:color w:val="auto"/>
        </w:rPr>
        <w:t>URBAN ONE, INC.</w:t>
      </w:r>
    </w:p>
    <w:p>
      <w:pPr>
        <w:spacing w:after="0" w:line="25" w:lineRule="exact"/>
        <w:rPr>
          <w:sz w:val="24"/>
          <w:szCs w:val="24"/>
          <w:color w:val="auto"/>
        </w:rPr>
      </w:pPr>
    </w:p>
    <w:p>
      <w:pPr>
        <w:jc w:val="center"/>
        <w:ind w:right="-7"/>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134" w:lineRule="exact"/>
        <w:rPr>
          <w:sz w:val="24"/>
          <w:szCs w:val="24"/>
          <w:color w:val="auto"/>
        </w:rPr>
      </w:pPr>
    </w:p>
    <w:tbl>
      <w:tblPr>
        <w:tblLayout w:type="fixed"/>
        <w:tblInd w:w="1348" w:type="dxa"/>
        <w:tblCellMar>
          <w:top w:w="0" w:type="dxa"/>
          <w:left w:w="0" w:type="dxa"/>
          <w:bottom w:w="0" w:type="dxa"/>
          <w:right w:w="0" w:type="dxa"/>
        </w:tblCellMar>
      </w:tblPr>
      <w:tr>
        <w:trPr>
          <w:trHeight w:val="142"/>
        </w:trPr>
        <w:tc>
          <w:tcPr>
            <w:tcW w:w="2520" w:type="dxa"/>
            <w:vAlign w:val="bottom"/>
          </w:tcPr>
          <w:p>
            <w:pPr>
              <w:jc w:val="center"/>
              <w:ind w:right="1348"/>
              <w:spacing w:after="0"/>
              <w:rPr>
                <w:sz w:val="20"/>
                <w:szCs w:val="20"/>
                <w:color w:val="auto"/>
              </w:rPr>
            </w:pPr>
            <w:r>
              <w:rPr>
                <w:rFonts w:ascii="Arial" w:cs="Arial" w:eastAsia="Arial" w:hAnsi="Arial"/>
                <w:sz w:val="12"/>
                <w:szCs w:val="12"/>
                <w:b w:val="1"/>
                <w:bCs w:val="1"/>
                <w:color w:val="auto"/>
                <w:w w:val="91"/>
              </w:rPr>
              <w:t>Delaware</w:t>
            </w:r>
          </w:p>
        </w:tc>
        <w:tc>
          <w:tcPr>
            <w:tcW w:w="3780" w:type="dxa"/>
            <w:vAlign w:val="bottom"/>
          </w:tcPr>
          <w:p>
            <w:pPr>
              <w:jc w:val="right"/>
              <w:ind w:right="1646"/>
              <w:spacing w:after="0"/>
              <w:rPr>
                <w:sz w:val="20"/>
                <w:szCs w:val="20"/>
                <w:color w:val="auto"/>
              </w:rPr>
            </w:pPr>
            <w:r>
              <w:rPr>
                <w:rFonts w:ascii="Arial" w:cs="Arial" w:eastAsia="Arial" w:hAnsi="Arial"/>
                <w:sz w:val="12"/>
                <w:szCs w:val="12"/>
                <w:b w:val="1"/>
                <w:bCs w:val="1"/>
                <w:color w:val="auto"/>
              </w:rPr>
              <w:t>0-25969</w:t>
            </w:r>
          </w:p>
        </w:tc>
        <w:tc>
          <w:tcPr>
            <w:tcW w:w="2220" w:type="dxa"/>
            <w:vAlign w:val="bottom"/>
          </w:tcPr>
          <w:p>
            <w:pPr>
              <w:jc w:val="center"/>
              <w:ind w:left="1428"/>
              <w:spacing w:after="0"/>
              <w:rPr>
                <w:sz w:val="20"/>
                <w:szCs w:val="20"/>
                <w:color w:val="auto"/>
              </w:rPr>
            </w:pPr>
            <w:r>
              <w:rPr>
                <w:rFonts w:ascii="Arial" w:cs="Arial" w:eastAsia="Arial" w:hAnsi="Arial"/>
                <w:sz w:val="12"/>
                <w:szCs w:val="12"/>
                <w:b w:val="1"/>
                <w:bCs w:val="1"/>
                <w:color w:val="auto"/>
                <w:w w:val="90"/>
              </w:rPr>
              <w:t>52-1166660</w:t>
            </w:r>
          </w:p>
        </w:tc>
      </w:tr>
      <w:tr>
        <w:trPr>
          <w:trHeight w:val="99"/>
        </w:trPr>
        <w:tc>
          <w:tcPr>
            <w:tcW w:w="2520" w:type="dxa"/>
            <w:vAlign w:val="bottom"/>
          </w:tcPr>
          <w:p>
            <w:pPr>
              <w:jc w:val="center"/>
              <w:ind w:right="1328"/>
              <w:spacing w:after="0" w:line="99" w:lineRule="exact"/>
              <w:rPr>
                <w:sz w:val="20"/>
                <w:szCs w:val="20"/>
                <w:color w:val="auto"/>
              </w:rPr>
            </w:pPr>
            <w:r>
              <w:rPr>
                <w:rFonts w:ascii="Arial" w:cs="Arial" w:eastAsia="Arial" w:hAnsi="Arial"/>
                <w:sz w:val="10"/>
                <w:szCs w:val="10"/>
                <w:b w:val="1"/>
                <w:bCs w:val="1"/>
                <w:color w:val="auto"/>
                <w:w w:val="88"/>
              </w:rPr>
              <w:t>(State or Other Jurisdiction</w:t>
            </w:r>
          </w:p>
        </w:tc>
        <w:tc>
          <w:tcPr>
            <w:tcW w:w="3780" w:type="dxa"/>
            <w:vAlign w:val="bottom"/>
          </w:tcPr>
          <w:p>
            <w:pPr>
              <w:jc w:val="right"/>
              <w:ind w:right="1406"/>
              <w:spacing w:after="0" w:line="99" w:lineRule="exact"/>
              <w:rPr>
                <w:sz w:val="20"/>
                <w:szCs w:val="20"/>
                <w:color w:val="auto"/>
              </w:rPr>
            </w:pPr>
            <w:r>
              <w:rPr>
                <w:rFonts w:ascii="Arial" w:cs="Arial" w:eastAsia="Arial" w:hAnsi="Arial"/>
                <w:sz w:val="10"/>
                <w:szCs w:val="10"/>
                <w:b w:val="1"/>
                <w:bCs w:val="1"/>
                <w:color w:val="auto"/>
              </w:rPr>
              <w:t>(Commission File No.)</w:t>
            </w:r>
          </w:p>
        </w:tc>
        <w:tc>
          <w:tcPr>
            <w:tcW w:w="2220" w:type="dxa"/>
            <w:vAlign w:val="bottom"/>
          </w:tcPr>
          <w:p>
            <w:pPr>
              <w:jc w:val="center"/>
              <w:ind w:left="1428"/>
              <w:spacing w:after="0" w:line="99" w:lineRule="exact"/>
              <w:rPr>
                <w:sz w:val="20"/>
                <w:szCs w:val="20"/>
                <w:color w:val="auto"/>
              </w:rPr>
            </w:pPr>
            <w:r>
              <w:rPr>
                <w:rFonts w:ascii="Arial" w:cs="Arial" w:eastAsia="Arial" w:hAnsi="Arial"/>
                <w:sz w:val="10"/>
                <w:szCs w:val="10"/>
                <w:b w:val="1"/>
                <w:bCs w:val="1"/>
                <w:color w:val="auto"/>
                <w:w w:val="90"/>
              </w:rPr>
              <w:t>(IRS Employer</w:t>
            </w:r>
          </w:p>
        </w:tc>
      </w:tr>
      <w:tr>
        <w:trPr>
          <w:trHeight w:val="123"/>
        </w:trPr>
        <w:tc>
          <w:tcPr>
            <w:tcW w:w="2520" w:type="dxa"/>
            <w:vAlign w:val="bottom"/>
          </w:tcPr>
          <w:p>
            <w:pPr>
              <w:jc w:val="center"/>
              <w:ind w:right="1348"/>
              <w:spacing w:after="0"/>
              <w:rPr>
                <w:sz w:val="20"/>
                <w:szCs w:val="20"/>
                <w:color w:val="auto"/>
              </w:rPr>
            </w:pPr>
            <w:r>
              <w:rPr>
                <w:rFonts w:ascii="Arial" w:cs="Arial" w:eastAsia="Arial" w:hAnsi="Arial"/>
                <w:sz w:val="10"/>
                <w:szCs w:val="10"/>
                <w:b w:val="1"/>
                <w:bCs w:val="1"/>
                <w:color w:val="auto"/>
                <w:w w:val="89"/>
              </w:rPr>
              <w:t>of Incorporation)</w:t>
            </w:r>
          </w:p>
        </w:tc>
        <w:tc>
          <w:tcPr>
            <w:tcW w:w="3780" w:type="dxa"/>
            <w:vAlign w:val="bottom"/>
          </w:tcPr>
          <w:p>
            <w:pPr>
              <w:spacing w:after="0"/>
              <w:rPr>
                <w:sz w:val="10"/>
                <w:szCs w:val="10"/>
                <w:color w:val="auto"/>
              </w:rPr>
            </w:pPr>
          </w:p>
        </w:tc>
        <w:tc>
          <w:tcPr>
            <w:tcW w:w="2220" w:type="dxa"/>
            <w:vAlign w:val="bottom"/>
          </w:tcPr>
          <w:p>
            <w:pPr>
              <w:jc w:val="center"/>
              <w:ind w:left="1428"/>
              <w:spacing w:after="0"/>
              <w:rPr>
                <w:sz w:val="20"/>
                <w:szCs w:val="20"/>
                <w:color w:val="auto"/>
              </w:rPr>
            </w:pPr>
            <w:r>
              <w:rPr>
                <w:rFonts w:ascii="Arial" w:cs="Arial" w:eastAsia="Arial" w:hAnsi="Arial"/>
                <w:sz w:val="10"/>
                <w:szCs w:val="10"/>
                <w:b w:val="1"/>
                <w:bCs w:val="1"/>
                <w:color w:val="auto"/>
                <w:w w:val="87"/>
              </w:rPr>
              <w:t>Identification No.)</w:t>
            </w:r>
          </w:p>
        </w:tc>
      </w:tr>
    </w:tbl>
    <w:p>
      <w:pPr>
        <w:spacing w:after="0" w:line="134" w:lineRule="exact"/>
        <w:rPr>
          <w:sz w:val="24"/>
          <w:szCs w:val="24"/>
          <w:color w:val="auto"/>
        </w:rPr>
      </w:pPr>
    </w:p>
    <w:p>
      <w:pPr>
        <w:jc w:val="center"/>
        <w:ind w:right="-7"/>
        <w:spacing w:after="0"/>
        <w:rPr>
          <w:sz w:val="20"/>
          <w:szCs w:val="20"/>
          <w:color w:val="auto"/>
        </w:rPr>
      </w:pPr>
      <w:r>
        <w:rPr>
          <w:rFonts w:ascii="Arial" w:cs="Arial" w:eastAsia="Arial" w:hAnsi="Arial"/>
          <w:sz w:val="14"/>
          <w:szCs w:val="14"/>
          <w:b w:val="1"/>
          <w:bCs w:val="1"/>
          <w:color w:val="auto"/>
        </w:rPr>
        <w:t>1010 Wayne Avenue</w:t>
      </w:r>
    </w:p>
    <w:p>
      <w:pPr>
        <w:spacing w:after="0" w:line="17" w:lineRule="exact"/>
        <w:rPr>
          <w:sz w:val="24"/>
          <w:szCs w:val="24"/>
          <w:color w:val="auto"/>
        </w:rPr>
      </w:pPr>
    </w:p>
    <w:p>
      <w:pPr>
        <w:jc w:val="center"/>
        <w:ind w:right="-7"/>
        <w:spacing w:after="0"/>
        <w:rPr>
          <w:sz w:val="20"/>
          <w:szCs w:val="20"/>
          <w:color w:val="auto"/>
        </w:rPr>
      </w:pPr>
      <w:r>
        <w:rPr>
          <w:rFonts w:ascii="Arial" w:cs="Arial" w:eastAsia="Arial" w:hAnsi="Arial"/>
          <w:sz w:val="14"/>
          <w:szCs w:val="14"/>
          <w:b w:val="1"/>
          <w:bCs w:val="1"/>
          <w:color w:val="auto"/>
        </w:rPr>
        <w:t>14th Floor</w:t>
      </w:r>
    </w:p>
    <w:p>
      <w:pPr>
        <w:spacing w:after="0" w:line="1" w:lineRule="exact"/>
        <w:rPr>
          <w:sz w:val="24"/>
          <w:szCs w:val="24"/>
          <w:color w:val="auto"/>
        </w:rPr>
      </w:pPr>
    </w:p>
    <w:p>
      <w:pPr>
        <w:jc w:val="center"/>
        <w:ind w:right="-7"/>
        <w:spacing w:after="0"/>
        <w:rPr>
          <w:sz w:val="20"/>
          <w:szCs w:val="20"/>
          <w:color w:val="auto"/>
        </w:rPr>
      </w:pPr>
      <w:r>
        <w:rPr>
          <w:rFonts w:ascii="Arial" w:cs="Arial" w:eastAsia="Arial" w:hAnsi="Arial"/>
          <w:sz w:val="14"/>
          <w:szCs w:val="14"/>
          <w:b w:val="1"/>
          <w:bCs w:val="1"/>
          <w:color w:val="auto"/>
        </w:rPr>
        <w:t>Silver Spring, Maryland 20910</w:t>
      </w:r>
    </w:p>
    <w:p>
      <w:pPr>
        <w:jc w:val="center"/>
        <w:ind w:right="-7"/>
        <w:spacing w:after="0"/>
        <w:rPr>
          <w:sz w:val="20"/>
          <w:szCs w:val="20"/>
          <w:color w:val="auto"/>
        </w:rPr>
      </w:pPr>
      <w:r>
        <w:rPr>
          <w:rFonts w:ascii="Arial" w:cs="Arial" w:eastAsia="Arial" w:hAnsi="Arial"/>
          <w:sz w:val="14"/>
          <w:szCs w:val="14"/>
          <w:b w:val="1"/>
          <w:bCs w:val="1"/>
          <w:color w:val="auto"/>
        </w:rPr>
        <w:t>(301) 429-3200</w:t>
      </w:r>
    </w:p>
    <w:p>
      <w:pPr>
        <w:jc w:val="center"/>
        <w:ind w:right="-27"/>
        <w:spacing w:after="0" w:line="236" w:lineRule="auto"/>
        <w:rPr>
          <w:sz w:val="20"/>
          <w:szCs w:val="20"/>
          <w:color w:val="auto"/>
        </w:rPr>
      </w:pPr>
      <w:r>
        <w:rPr>
          <w:rFonts w:ascii="Arial" w:cs="Arial" w:eastAsia="Arial" w:hAnsi="Arial"/>
          <w:sz w:val="10"/>
          <w:szCs w:val="10"/>
          <w:b w:val="1"/>
          <w:bCs w:val="1"/>
          <w:color w:val="auto"/>
        </w:rPr>
        <w:t>(Address, Including Zip Code, and Telephone Number, Including Area Code, of Registrant’s Principal Executive Offices)</w:t>
      </w:r>
    </w:p>
    <w:p>
      <w:pPr>
        <w:spacing w:after="0" w:line="116" w:lineRule="exact"/>
        <w:rPr>
          <w:sz w:val="24"/>
          <w:szCs w:val="24"/>
          <w:color w:val="auto"/>
        </w:rPr>
      </w:pPr>
    </w:p>
    <w:p>
      <w:pPr>
        <w:jc w:val="center"/>
        <w:ind w:right="-7"/>
        <w:spacing w:after="0"/>
        <w:rPr>
          <w:sz w:val="20"/>
          <w:szCs w:val="20"/>
          <w:color w:val="auto"/>
        </w:rPr>
      </w:pPr>
      <w:r>
        <w:rPr>
          <w:rFonts w:ascii="Arial" w:cs="Arial" w:eastAsia="Arial" w:hAnsi="Arial"/>
          <w:sz w:val="14"/>
          <w:szCs w:val="14"/>
          <w:b w:val="1"/>
          <w:bCs w:val="1"/>
          <w:color w:val="auto"/>
        </w:rPr>
        <w:t>Not Applicable</w:t>
      </w:r>
    </w:p>
    <w:p>
      <w:pPr>
        <w:spacing w:after="0" w:line="13" w:lineRule="exact"/>
        <w:rPr>
          <w:sz w:val="24"/>
          <w:szCs w:val="24"/>
          <w:color w:val="auto"/>
        </w:rPr>
      </w:pPr>
    </w:p>
    <w:p>
      <w:pPr>
        <w:jc w:val="center"/>
        <w:ind w:right="-7"/>
        <w:spacing w:after="0"/>
        <w:rPr>
          <w:sz w:val="20"/>
          <w:szCs w:val="20"/>
          <w:color w:val="auto"/>
        </w:rPr>
      </w:pPr>
      <w:r>
        <w:rPr>
          <w:rFonts w:ascii="Arial" w:cs="Arial" w:eastAsia="Arial" w:hAnsi="Arial"/>
          <w:sz w:val="10"/>
          <w:szCs w:val="10"/>
          <w:b w:val="1"/>
          <w:bCs w:val="1"/>
          <w:color w:val="auto"/>
        </w:rPr>
        <w:t>(Former name or former address, if changed since last report)</w:t>
      </w:r>
    </w:p>
    <w:p>
      <w:pPr>
        <w:spacing w:after="0" w:line="219" w:lineRule="exact"/>
        <w:rPr>
          <w:sz w:val="24"/>
          <w:szCs w:val="24"/>
          <w:color w:val="auto"/>
        </w:rPr>
      </w:pPr>
    </w:p>
    <w:p>
      <w:pPr>
        <w:ind w:left="8"/>
        <w:spacing w:after="0"/>
        <w:rPr>
          <w:sz w:val="20"/>
          <w:szCs w:val="20"/>
          <w:color w:val="auto"/>
        </w:rPr>
      </w:pPr>
      <w:r>
        <w:rPr>
          <w:rFonts w:ascii="Arial" w:cs="Arial" w:eastAsia="Arial" w:hAnsi="Arial"/>
          <w:sz w:val="14"/>
          <w:szCs w:val="14"/>
          <w:color w:val="auto"/>
        </w:rPr>
        <w:t>Check the appropriate box below if the Form 8-K filing is intended to simultaneously satisfy the filing obligation of the registrant under any of the following provisions:</w:t>
      </w:r>
    </w:p>
    <w:p>
      <w:pPr>
        <w:spacing w:after="0" w:line="312" w:lineRule="exact"/>
        <w:rPr>
          <w:sz w:val="24"/>
          <w:szCs w:val="24"/>
          <w:color w:val="auto"/>
        </w:rPr>
      </w:pPr>
    </w:p>
    <w:p>
      <w:pPr>
        <w:ind w:left="468" w:hanging="468"/>
        <w:spacing w:after="0"/>
        <w:tabs>
          <w:tab w:leader="none" w:pos="468"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Written communications pursuant to Rule 425 under the Securities Act (17 CFR 230.425)</w:t>
      </w:r>
    </w:p>
    <w:p>
      <w:pPr>
        <w:spacing w:after="0" w:line="16" w:lineRule="exact"/>
        <w:rPr>
          <w:rFonts w:ascii="MS PGothic" w:cs="MS PGothic" w:eastAsia="MS PGothic" w:hAnsi="MS PGothic"/>
          <w:sz w:val="12"/>
          <w:szCs w:val="12"/>
          <w:color w:val="auto"/>
        </w:rPr>
      </w:pPr>
    </w:p>
    <w:p>
      <w:pPr>
        <w:ind w:left="468" w:hanging="468"/>
        <w:spacing w:after="0"/>
        <w:tabs>
          <w:tab w:leader="none" w:pos="468"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Soliciting material pursuant to Rule 14a-12 under the Exchange Act (17 CFR 240.14a-12)</w:t>
      </w:r>
    </w:p>
    <w:p>
      <w:pPr>
        <w:spacing w:after="0" w:line="6" w:lineRule="exact"/>
        <w:rPr>
          <w:rFonts w:ascii="MS PGothic" w:cs="MS PGothic" w:eastAsia="MS PGothic" w:hAnsi="MS PGothic"/>
          <w:sz w:val="12"/>
          <w:szCs w:val="12"/>
          <w:color w:val="auto"/>
        </w:rPr>
      </w:pPr>
    </w:p>
    <w:p>
      <w:pPr>
        <w:ind w:left="468" w:hanging="468"/>
        <w:spacing w:after="0"/>
        <w:tabs>
          <w:tab w:leader="none" w:pos="468"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Pre-commencement communications pursuant to Rule 14d-2(b) under the Exchange Act (17 CFR 240.14d-2(b))</w:t>
      </w:r>
    </w:p>
    <w:p>
      <w:pPr>
        <w:spacing w:after="0" w:line="6" w:lineRule="exact"/>
        <w:rPr>
          <w:rFonts w:ascii="MS PGothic" w:cs="MS PGothic" w:eastAsia="MS PGothic" w:hAnsi="MS PGothic"/>
          <w:sz w:val="12"/>
          <w:szCs w:val="12"/>
          <w:color w:val="auto"/>
        </w:rPr>
      </w:pPr>
    </w:p>
    <w:p>
      <w:pPr>
        <w:ind w:left="468" w:hanging="468"/>
        <w:spacing w:after="0"/>
        <w:tabs>
          <w:tab w:leader="none" w:pos="468"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Pre-commencement communications pursuant to Rule 13e-4(c) under the Exchange Act (17 CFR 240.13e-4(c))</w:t>
      </w:r>
    </w:p>
    <w:p>
      <w:pPr>
        <w:spacing w:after="0" w:line="153" w:lineRule="exact"/>
        <w:rPr>
          <w:sz w:val="24"/>
          <w:szCs w:val="24"/>
          <w:color w:val="auto"/>
        </w:rPr>
      </w:pPr>
    </w:p>
    <w:p>
      <w:pPr>
        <w:ind w:left="8"/>
        <w:spacing w:after="0"/>
        <w:rPr>
          <w:sz w:val="20"/>
          <w:szCs w:val="20"/>
          <w:color w:val="auto"/>
        </w:rPr>
      </w:pPr>
      <w:r>
        <w:rPr>
          <w:rFonts w:ascii="Arial" w:cs="Arial" w:eastAsia="Arial" w:hAnsi="Arial"/>
          <w:sz w:val="14"/>
          <w:szCs w:val="14"/>
          <w:color w:val="auto"/>
        </w:rPr>
        <w:t>Securities registered pursuant to Section 12(b) of the Act:</w:t>
      </w:r>
    </w:p>
    <w:p>
      <w:pPr>
        <w:spacing w:after="0" w:line="164" w:lineRule="exact"/>
        <w:rPr>
          <w:sz w:val="24"/>
          <w:szCs w:val="24"/>
          <w:color w:val="auto"/>
        </w:rPr>
      </w:pPr>
    </w:p>
    <w:tbl>
      <w:tblPr>
        <w:tblLayout w:type="fixed"/>
        <w:tblInd w:w="8" w:type="dxa"/>
        <w:tblCellMar>
          <w:top w:w="0" w:type="dxa"/>
          <w:left w:w="0" w:type="dxa"/>
          <w:bottom w:w="0" w:type="dxa"/>
          <w:right w:w="0" w:type="dxa"/>
        </w:tblCellMar>
      </w:tblPr>
      <w:tr>
        <w:trPr>
          <w:trHeight w:val="157"/>
        </w:trPr>
        <w:tc>
          <w:tcPr>
            <w:tcW w:w="4240" w:type="dxa"/>
            <w:vAlign w:val="bottom"/>
            <w:tcBorders>
              <w:bottom w:val="single" w:sz="8" w:color="auto"/>
            </w:tcBorders>
          </w:tcPr>
          <w:p>
            <w:pPr>
              <w:jc w:val="center"/>
              <w:ind w:left="340"/>
              <w:spacing w:after="0"/>
              <w:rPr>
                <w:sz w:val="20"/>
                <w:szCs w:val="20"/>
                <w:color w:val="auto"/>
              </w:rPr>
            </w:pPr>
            <w:r>
              <w:rPr>
                <w:rFonts w:ascii="Arial" w:cs="Arial" w:eastAsia="Arial" w:hAnsi="Arial"/>
                <w:sz w:val="12"/>
                <w:szCs w:val="12"/>
                <w:b w:val="1"/>
                <w:bCs w:val="1"/>
                <w:color w:val="auto"/>
                <w:w w:val="87"/>
              </w:rPr>
              <w:t>Class</w:t>
            </w:r>
          </w:p>
        </w:tc>
        <w:tc>
          <w:tcPr>
            <w:tcW w:w="27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0"/>
              </w:rPr>
              <w:t>Trading Symbol</w:t>
            </w:r>
          </w:p>
        </w:tc>
        <w:tc>
          <w:tcPr>
            <w:tcW w:w="4320" w:type="dxa"/>
            <w:vAlign w:val="bottom"/>
            <w:tcBorders>
              <w:bottom w:val="single" w:sz="8" w:color="auto"/>
            </w:tcBorders>
          </w:tcPr>
          <w:p>
            <w:pPr>
              <w:jc w:val="center"/>
              <w:ind w:right="340"/>
              <w:spacing w:after="0"/>
              <w:rPr>
                <w:sz w:val="20"/>
                <w:szCs w:val="20"/>
                <w:color w:val="auto"/>
              </w:rPr>
            </w:pPr>
            <w:r>
              <w:rPr>
                <w:rFonts w:ascii="Arial" w:cs="Arial" w:eastAsia="Arial" w:hAnsi="Arial"/>
                <w:sz w:val="12"/>
                <w:szCs w:val="12"/>
                <w:b w:val="1"/>
                <w:bCs w:val="1"/>
                <w:color w:val="auto"/>
                <w:w w:val="89"/>
              </w:rPr>
              <w:t>Name of Exchange on which Registered</w:t>
            </w:r>
          </w:p>
        </w:tc>
      </w:tr>
      <w:tr>
        <w:trPr>
          <w:trHeight w:val="142"/>
        </w:trPr>
        <w:tc>
          <w:tcPr>
            <w:tcW w:w="4240" w:type="dxa"/>
            <w:vAlign w:val="bottom"/>
            <w:shd w:val="clear" w:color="auto" w:fill="CCEEFF"/>
          </w:tcPr>
          <w:p>
            <w:pPr>
              <w:jc w:val="center"/>
              <w:ind w:left="320"/>
              <w:spacing w:after="0"/>
              <w:rPr>
                <w:sz w:val="20"/>
                <w:szCs w:val="20"/>
                <w:color w:val="auto"/>
              </w:rPr>
            </w:pPr>
            <w:r>
              <w:rPr>
                <w:rFonts w:ascii="Arial" w:cs="Arial" w:eastAsia="Arial" w:hAnsi="Arial"/>
                <w:sz w:val="12"/>
                <w:szCs w:val="12"/>
                <w:color w:val="auto"/>
                <w:w w:val="90"/>
              </w:rPr>
              <w:t>Class A Common Stock, $.001 Par Value</w:t>
            </w:r>
          </w:p>
        </w:tc>
        <w:tc>
          <w:tcPr>
            <w:tcW w:w="27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7"/>
              </w:rPr>
              <w:t>UONE</w:t>
            </w:r>
          </w:p>
        </w:tc>
        <w:tc>
          <w:tcPr>
            <w:tcW w:w="4320" w:type="dxa"/>
            <w:vAlign w:val="bottom"/>
            <w:shd w:val="clear" w:color="auto" w:fill="CCEEFF"/>
          </w:tcPr>
          <w:p>
            <w:pPr>
              <w:jc w:val="center"/>
              <w:ind w:right="340"/>
              <w:spacing w:after="0"/>
              <w:rPr>
                <w:sz w:val="20"/>
                <w:szCs w:val="20"/>
                <w:color w:val="auto"/>
              </w:rPr>
            </w:pPr>
            <w:r>
              <w:rPr>
                <w:rFonts w:ascii="Arial" w:cs="Arial" w:eastAsia="Arial" w:hAnsi="Arial"/>
                <w:sz w:val="12"/>
                <w:szCs w:val="12"/>
                <w:color w:val="auto"/>
                <w:w w:val="94"/>
              </w:rPr>
              <w:t>NASDAQ Capital Market</w:t>
            </w:r>
          </w:p>
        </w:tc>
      </w:tr>
      <w:tr>
        <w:trPr>
          <w:trHeight w:val="153"/>
        </w:trPr>
        <w:tc>
          <w:tcPr>
            <w:tcW w:w="4240" w:type="dxa"/>
            <w:vAlign w:val="bottom"/>
          </w:tcPr>
          <w:p>
            <w:pPr>
              <w:jc w:val="center"/>
              <w:ind w:left="320"/>
              <w:spacing w:after="0"/>
              <w:rPr>
                <w:sz w:val="20"/>
                <w:szCs w:val="20"/>
                <w:color w:val="auto"/>
              </w:rPr>
            </w:pPr>
            <w:r>
              <w:rPr>
                <w:rFonts w:ascii="Arial" w:cs="Arial" w:eastAsia="Arial" w:hAnsi="Arial"/>
                <w:sz w:val="12"/>
                <w:szCs w:val="12"/>
                <w:color w:val="auto"/>
                <w:w w:val="89"/>
              </w:rPr>
              <w:t>Class D Common Stock, $.001 Par Value</w:t>
            </w:r>
          </w:p>
        </w:tc>
        <w:tc>
          <w:tcPr>
            <w:tcW w:w="2740" w:type="dxa"/>
            <w:vAlign w:val="bottom"/>
          </w:tcPr>
          <w:p>
            <w:pPr>
              <w:jc w:val="center"/>
              <w:spacing w:after="0"/>
              <w:rPr>
                <w:sz w:val="20"/>
                <w:szCs w:val="20"/>
                <w:color w:val="auto"/>
              </w:rPr>
            </w:pPr>
            <w:r>
              <w:rPr>
                <w:rFonts w:ascii="Arial" w:cs="Arial" w:eastAsia="Arial" w:hAnsi="Arial"/>
                <w:sz w:val="12"/>
                <w:szCs w:val="12"/>
                <w:color w:val="auto"/>
                <w:w w:val="98"/>
              </w:rPr>
              <w:t>UONEK</w:t>
            </w:r>
          </w:p>
        </w:tc>
        <w:tc>
          <w:tcPr>
            <w:tcW w:w="4320" w:type="dxa"/>
            <w:vAlign w:val="bottom"/>
          </w:tcPr>
          <w:p>
            <w:pPr>
              <w:jc w:val="center"/>
              <w:ind w:right="340"/>
              <w:spacing w:after="0"/>
              <w:rPr>
                <w:sz w:val="20"/>
                <w:szCs w:val="20"/>
                <w:color w:val="auto"/>
              </w:rPr>
            </w:pPr>
            <w:r>
              <w:rPr>
                <w:rFonts w:ascii="Arial" w:cs="Arial" w:eastAsia="Arial" w:hAnsi="Arial"/>
                <w:sz w:val="12"/>
                <w:szCs w:val="12"/>
                <w:color w:val="auto"/>
                <w:w w:val="94"/>
              </w:rPr>
              <w:t>NASDAQ Capital Market</w:t>
            </w:r>
          </w:p>
        </w:tc>
      </w:tr>
    </w:tbl>
    <w:p>
      <w:pPr>
        <w:spacing w:after="0" w:line="121" w:lineRule="exact"/>
        <w:rPr>
          <w:sz w:val="24"/>
          <w:szCs w:val="24"/>
          <w:color w:val="auto"/>
        </w:rPr>
      </w:pPr>
    </w:p>
    <w:p>
      <w:pPr>
        <w:jc w:val="both"/>
        <w:ind w:left="8"/>
        <w:spacing w:after="0" w:line="273" w:lineRule="auto"/>
        <w:rPr>
          <w:sz w:val="20"/>
          <w:szCs w:val="20"/>
          <w:color w:val="auto"/>
        </w:rPr>
      </w:pPr>
      <w:r>
        <w:rPr>
          <w:rFonts w:ascii="Arial" w:cs="Arial" w:eastAsia="Arial" w:hAnsi="Arial"/>
          <w:sz w:val="14"/>
          <w:szCs w:val="14"/>
          <w:color w:val="auto"/>
        </w:rPr>
        <w:t>Indicate by check mark whether the registrant is an emerging growth company as defined in Rule 405 of the Securities Act of 1933 (§230.405 of this chapter) or Rule 12b-2 under the Securities Exchange Act of 1934 (§240.12b-2 of this chapter).</w:t>
      </w:r>
    </w:p>
    <w:p>
      <w:pPr>
        <w:spacing w:after="0" w:line="245" w:lineRule="exact"/>
        <w:rPr>
          <w:sz w:val="24"/>
          <w:szCs w:val="24"/>
          <w:color w:val="auto"/>
        </w:rPr>
      </w:pPr>
    </w:p>
    <w:p>
      <w:pPr>
        <w:ind w:left="8"/>
        <w:spacing w:after="0" w:line="161"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p>
      <w:pPr>
        <w:spacing w:after="0" w:line="334" w:lineRule="exact"/>
        <w:rPr>
          <w:sz w:val="24"/>
          <w:szCs w:val="24"/>
          <w:color w:val="auto"/>
        </w:rPr>
      </w:pPr>
    </w:p>
    <w:p>
      <w:pPr>
        <w:jc w:val="both"/>
        <w:ind w:left="8" w:right="20"/>
        <w:spacing w:after="0" w:line="185"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260350</wp:posOffset>
            </wp:positionV>
            <wp:extent cx="7178040" cy="114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8"/>
          </w:cols>
          <w:pgMar w:left="292" w:top="472" w:right="299" w:bottom="1440" w:gutter="0" w:footer="0" w:header="0"/>
        </w:sectPr>
      </w:pPr>
    </w:p>
    <w:bookmarkStart w:id="1" w:name="page2"/>
    <w:bookmarkEnd w:id="1"/>
    <w:p>
      <w:pPr>
        <w:spacing w:after="0"/>
        <w:rPr>
          <w:sz w:val="20"/>
          <w:szCs w:val="20"/>
          <w:color w:val="auto"/>
        </w:rPr>
      </w:pPr>
      <w:r>
        <w:rPr>
          <w:rFonts w:ascii="Arial" w:cs="Arial" w:eastAsia="Arial" w:hAnsi="Arial"/>
          <w:sz w:val="14"/>
          <w:szCs w:val="14"/>
          <w:b w:val="1"/>
          <w:bCs w:val="1"/>
          <w:color w:val="auto"/>
        </w:rPr>
        <w:t>ITEM 8.01. Other Events</w:t>
      </w:r>
    </w:p>
    <w:p>
      <w:pPr>
        <w:spacing w:after="0" w:line="167" w:lineRule="exact"/>
        <w:rPr>
          <w:sz w:val="20"/>
          <w:szCs w:val="20"/>
          <w:color w:val="auto"/>
        </w:rPr>
      </w:pPr>
    </w:p>
    <w:p>
      <w:pPr>
        <w:jc w:val="both"/>
        <w:ind w:right="60"/>
        <w:spacing w:after="0" w:line="247" w:lineRule="auto"/>
        <w:rPr>
          <w:sz w:val="20"/>
          <w:szCs w:val="20"/>
          <w:color w:val="auto"/>
        </w:rPr>
      </w:pPr>
      <w:r>
        <w:rPr>
          <w:rFonts w:ascii="Arial" w:cs="Arial" w:eastAsia="Arial" w:hAnsi="Arial"/>
          <w:sz w:val="14"/>
          <w:szCs w:val="14"/>
          <w:color w:val="auto"/>
        </w:rPr>
        <w:t>On May 20, 2021, the City of Richmond, Virginia (the “City”) announced that it has selected the Company’s wholly owned unrestricted subsidiary RVA Entertainment Holdings, LLC (“RVAEH”), as the City’s preferred casino gaming operator to develop and operate a casino resort in Richmond. Pursuant to the Virginia Casino Act, the City is one of five cities within the Commonwealth of Virginia eligible to host a casino gaming establishment, subject to the citizens of the City approving a referendum, which is anticipated to be held in November 2021. Prior to requesting a Virginia court to order the referendum, the City is required to (i) select the City’s preferred location for the Casino, which must be listed on the referendum, (ii) select a preferred casino gaming operator to develop and operate the Casino (the “Preferred Casino Operator”), and (iii) submit the Preferred Casino Operator to the Commonwealth for pre-certification. If the voters approve the referendum then the Commonwealth may issue one license permitting operation of a casino in Richmond.</w:t>
      </w:r>
    </w:p>
    <w:p>
      <w:pPr>
        <w:spacing w:after="0" w:line="140" w:lineRule="exact"/>
        <w:rPr>
          <w:sz w:val="20"/>
          <w:szCs w:val="20"/>
          <w:color w:val="auto"/>
        </w:rPr>
      </w:pPr>
    </w:p>
    <w:p>
      <w:pPr>
        <w:jc w:val="both"/>
        <w:ind w:right="60"/>
        <w:spacing w:after="0" w:line="249" w:lineRule="auto"/>
        <w:rPr>
          <w:sz w:val="20"/>
          <w:szCs w:val="20"/>
          <w:color w:val="auto"/>
        </w:rPr>
      </w:pPr>
      <w:r>
        <w:rPr>
          <w:rFonts w:ascii="Arial" w:cs="Arial" w:eastAsia="Arial" w:hAnsi="Arial"/>
          <w:sz w:val="14"/>
          <w:szCs w:val="14"/>
          <w:color w:val="auto"/>
        </w:rPr>
        <w:t>Upon passage and certification of the referendum, RVAEH, along with its management and development team, including Peninsula Pacific Entertainment (“P2E”) would commence development and construction of the casino resort to be named ONE Casino + Resort. The project is estimated to cost approximately $563 million and Urban One’s aggregate capital investment in RVAEH is anticipated to be up to approximately $100 million. The Company’s investment will be sourced from a combination of cash on Urban One’s balance sheet and/or capacity from the Company’s undrawn $50 million revolver. The Company also anticipates investment from local investors in the amount of $11.5 million dollars as well as a personal investment by Alfred C. Liggins, III the Company’s Chief Executive Officer.</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color w:val="auto"/>
        </w:rPr>
        <w:t>The City's press release is attached hereto as Exhibit 99.1.</w:t>
      </w:r>
    </w:p>
    <w:p>
      <w:pPr>
        <w:spacing w:after="0" w:line="32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9.01. Financial Statements and Exhibits.</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 Exhibits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188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Exhibit Number</w:t>
            </w:r>
          </w:p>
        </w:tc>
        <w:tc>
          <w:tcPr>
            <w:tcW w:w="360" w:type="dxa"/>
            <w:vAlign w:val="bottom"/>
          </w:tcPr>
          <w:p>
            <w:pPr>
              <w:spacing w:after="0"/>
              <w:rPr>
                <w:sz w:val="13"/>
                <w:szCs w:val="13"/>
                <w:color w:val="auto"/>
              </w:rPr>
            </w:pPr>
          </w:p>
        </w:tc>
        <w:tc>
          <w:tcPr>
            <w:tcW w:w="912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Description</w:t>
            </w:r>
          </w:p>
        </w:tc>
      </w:tr>
      <w:tr>
        <w:trPr>
          <w:trHeight w:val="142"/>
        </w:trPr>
        <w:tc>
          <w:tcPr>
            <w:tcW w:w="18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120" w:type="dxa"/>
            <w:vAlign w:val="bottom"/>
          </w:tcPr>
          <w:p>
            <w:pPr>
              <w:spacing w:after="0"/>
              <w:rPr>
                <w:sz w:val="12"/>
                <w:szCs w:val="12"/>
                <w:color w:val="auto"/>
              </w:rPr>
            </w:pPr>
          </w:p>
        </w:tc>
      </w:tr>
      <w:tr>
        <w:trPr>
          <w:trHeight w:val="144"/>
        </w:trPr>
        <w:tc>
          <w:tcPr>
            <w:tcW w:w="1880" w:type="dxa"/>
            <w:vAlign w:val="bottom"/>
            <w:shd w:val="clear" w:color="auto" w:fill="CCEEFF"/>
          </w:tcPr>
          <w:p>
            <w:pPr>
              <w:spacing w:after="0"/>
              <w:rPr>
                <w:sz w:val="20"/>
                <w:szCs w:val="20"/>
                <w:color w:val="auto"/>
              </w:rPr>
            </w:pPr>
            <w:r>
              <w:rPr>
                <w:rFonts w:ascii="Arial" w:cs="Arial" w:eastAsia="Arial" w:hAnsi="Arial"/>
                <w:sz w:val="12"/>
                <w:szCs w:val="12"/>
                <w:color w:val="auto"/>
              </w:rPr>
              <w:t>99.1</w:t>
            </w:r>
          </w:p>
        </w:tc>
        <w:tc>
          <w:tcPr>
            <w:tcW w:w="360" w:type="dxa"/>
            <w:vAlign w:val="bottom"/>
            <w:shd w:val="clear" w:color="auto" w:fill="CCEEFF"/>
          </w:tcPr>
          <w:p>
            <w:pPr>
              <w:spacing w:after="0"/>
              <w:rPr>
                <w:sz w:val="12"/>
                <w:szCs w:val="12"/>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2"/>
                <w:szCs w:val="12"/>
                <w:color w:val="auto"/>
              </w:rPr>
              <w:t>Press release dated May 20, 2021: ONE Casino + Resort recommended by the Evaluation Panel</w:t>
            </w:r>
          </w:p>
        </w:tc>
      </w:tr>
    </w:tbl>
    <w:p>
      <w:pPr>
        <w:spacing w:after="0" w:line="14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Cautionary Information Regarding Forward-Looking Statements</w:t>
      </w:r>
    </w:p>
    <w:p>
      <w:pPr>
        <w:spacing w:after="0" w:line="167" w:lineRule="exact"/>
        <w:rPr>
          <w:sz w:val="20"/>
          <w:szCs w:val="20"/>
          <w:color w:val="auto"/>
        </w:rPr>
      </w:pPr>
    </w:p>
    <w:p>
      <w:pPr>
        <w:jc w:val="both"/>
        <w:ind w:right="60"/>
        <w:spacing w:after="0" w:line="249" w:lineRule="auto"/>
        <w:rPr>
          <w:sz w:val="20"/>
          <w:szCs w:val="20"/>
          <w:color w:val="auto"/>
        </w:rPr>
      </w:pPr>
      <w:r>
        <w:rPr>
          <w:rFonts w:ascii="Arial" w:cs="Arial" w:eastAsia="Arial" w:hAnsi="Arial"/>
          <w:sz w:val="14"/>
          <w:szCs w:val="14"/>
          <w:color w:val="auto"/>
        </w:rPr>
        <w:t>This Form 8-K and the press release attached as Exhibit 99.1 contain forward-looking statements about the Company's future performance, which are based on management's assumptions and beliefs in light of the information currently available to it. The Company assumes no obligation to update the information contained herein. These forward-looking statements involve known and unknown risks, uncertainties and other factors, some of which are beyond the Company's control, that may cause the actual results to differ materially from any future results, performance or achievements expressed or implied by such forward-looking statements. Important factors that could cause actual results to differ materially are described in the Company's reports on Forms 10-K, 10-Q, 10-Q/A and other filings with the SEC.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60"/>
        <w:spacing w:after="0"/>
        <w:rPr>
          <w:sz w:val="20"/>
          <w:szCs w:val="20"/>
          <w:color w:val="auto"/>
        </w:rPr>
      </w:pPr>
      <w:r>
        <w:rPr>
          <w:rFonts w:ascii="Arial" w:cs="Arial" w:eastAsia="Arial" w:hAnsi="Arial"/>
          <w:sz w:val="14"/>
          <w:szCs w:val="14"/>
          <w:b w:val="1"/>
          <w:bCs w:val="1"/>
          <w:u w:val="single" w:color="auto"/>
          <w:color w:val="auto"/>
        </w:rPr>
        <w:t>SIGNATURE</w:t>
      </w:r>
    </w:p>
    <w:p>
      <w:pPr>
        <w:spacing w:after="0" w:line="311" w:lineRule="exact"/>
        <w:rPr>
          <w:sz w:val="20"/>
          <w:szCs w:val="20"/>
          <w:color w:val="auto"/>
        </w:rPr>
      </w:pPr>
    </w:p>
    <w:p>
      <w:pPr>
        <w:spacing w:after="0"/>
        <w:rPr>
          <w:sz w:val="20"/>
          <w:szCs w:val="20"/>
          <w:color w:val="auto"/>
        </w:rPr>
      </w:pPr>
      <w:r>
        <w:rPr>
          <w:rFonts w:ascii="Arial" w:cs="Arial" w:eastAsia="Arial" w:hAnsi="Arial"/>
          <w:sz w:val="13"/>
          <w:szCs w:val="13"/>
          <w:color w:val="auto"/>
        </w:rPr>
        <w:t>Pursuant to the requirements of the Securities Exchange Act of 1934, as amended,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1860" w:type="dxa"/>
            <w:vAlign w:val="bottom"/>
          </w:tcPr>
          <w:p>
            <w:pPr>
              <w:spacing w:after="0"/>
              <w:rPr>
                <w:sz w:val="15"/>
                <w:szCs w:val="15"/>
                <w:color w:val="auto"/>
              </w:rPr>
            </w:pPr>
          </w:p>
        </w:tc>
        <w:tc>
          <w:tcPr>
            <w:tcW w:w="4020" w:type="dxa"/>
            <w:vAlign w:val="bottom"/>
            <w:gridSpan w:val="3"/>
          </w:tcPr>
          <w:p>
            <w:pPr>
              <w:ind w:left="720"/>
              <w:spacing w:after="0"/>
              <w:rPr>
                <w:sz w:val="20"/>
                <w:szCs w:val="20"/>
                <w:color w:val="auto"/>
              </w:rPr>
            </w:pPr>
            <w:r>
              <w:rPr>
                <w:rFonts w:ascii="Arial" w:cs="Arial" w:eastAsia="Arial" w:hAnsi="Arial"/>
                <w:sz w:val="14"/>
                <w:szCs w:val="14"/>
                <w:color w:val="auto"/>
              </w:rPr>
              <w:t>URBAN ONE, INC.</w:t>
            </w:r>
          </w:p>
        </w:tc>
      </w:tr>
      <w:tr>
        <w:trPr>
          <w:trHeight w:val="453"/>
        </w:trPr>
        <w:tc>
          <w:tcPr>
            <w:tcW w:w="1860" w:type="dxa"/>
            <w:vAlign w:val="bottom"/>
          </w:tcPr>
          <w:p>
            <w:pPr>
              <w:spacing w:after="0"/>
              <w:rPr>
                <w:sz w:val="20"/>
                <w:szCs w:val="20"/>
                <w:color w:val="auto"/>
              </w:rPr>
            </w:pPr>
            <w:r>
              <w:rPr>
                <w:rFonts w:ascii="Arial" w:cs="Arial" w:eastAsia="Arial" w:hAnsi="Arial"/>
                <w:sz w:val="14"/>
                <w:szCs w:val="14"/>
                <w:color w:val="auto"/>
              </w:rPr>
              <w:t>Date: May 20, 2021</w:t>
            </w:r>
          </w:p>
        </w:tc>
        <w:tc>
          <w:tcPr>
            <w:tcW w:w="980" w:type="dxa"/>
            <w:vAlign w:val="bottom"/>
          </w:tcPr>
          <w:p>
            <w:pPr>
              <w:spacing w:after="0"/>
              <w:rPr>
                <w:sz w:val="24"/>
                <w:szCs w:val="24"/>
                <w:color w:val="auto"/>
              </w:rPr>
            </w:pPr>
          </w:p>
        </w:tc>
        <w:tc>
          <w:tcPr>
            <w:tcW w:w="130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1"/>
              </w:rPr>
              <w:t>/s/ Peter D. Thompson</w:t>
            </w:r>
          </w:p>
        </w:tc>
        <w:tc>
          <w:tcPr>
            <w:tcW w:w="1740" w:type="dxa"/>
            <w:vAlign w:val="bottom"/>
          </w:tcPr>
          <w:p>
            <w:pPr>
              <w:spacing w:after="0"/>
              <w:rPr>
                <w:sz w:val="24"/>
                <w:szCs w:val="24"/>
                <w:color w:val="auto"/>
              </w:rPr>
            </w:pPr>
          </w:p>
        </w:tc>
      </w:tr>
      <w:tr>
        <w:trPr>
          <w:trHeight w:val="155"/>
        </w:trPr>
        <w:tc>
          <w:tcPr>
            <w:tcW w:w="1860" w:type="dxa"/>
            <w:vAlign w:val="bottom"/>
          </w:tcPr>
          <w:p>
            <w:pPr>
              <w:spacing w:after="0"/>
              <w:rPr>
                <w:sz w:val="13"/>
                <w:szCs w:val="13"/>
                <w:color w:val="auto"/>
              </w:rPr>
            </w:pPr>
          </w:p>
        </w:tc>
        <w:tc>
          <w:tcPr>
            <w:tcW w:w="4020" w:type="dxa"/>
            <w:vAlign w:val="bottom"/>
            <w:gridSpan w:val="3"/>
          </w:tcPr>
          <w:p>
            <w:pPr>
              <w:ind w:left="720"/>
              <w:spacing w:after="0" w:line="155" w:lineRule="exact"/>
              <w:rPr>
                <w:sz w:val="20"/>
                <w:szCs w:val="20"/>
                <w:color w:val="auto"/>
              </w:rPr>
            </w:pPr>
            <w:r>
              <w:rPr>
                <w:rFonts w:ascii="Arial" w:cs="Arial" w:eastAsia="Arial" w:hAnsi="Arial"/>
                <w:sz w:val="14"/>
                <w:szCs w:val="14"/>
                <w:color w:val="auto"/>
              </w:rPr>
              <w:t>Peter D. Thompson</w:t>
            </w:r>
          </w:p>
        </w:tc>
      </w:tr>
      <w:tr>
        <w:trPr>
          <w:trHeight w:val="182"/>
        </w:trPr>
        <w:tc>
          <w:tcPr>
            <w:tcW w:w="1860" w:type="dxa"/>
            <w:vAlign w:val="bottom"/>
          </w:tcPr>
          <w:p>
            <w:pPr>
              <w:spacing w:after="0"/>
              <w:rPr>
                <w:sz w:val="15"/>
                <w:szCs w:val="15"/>
                <w:color w:val="auto"/>
              </w:rPr>
            </w:pPr>
          </w:p>
        </w:tc>
        <w:tc>
          <w:tcPr>
            <w:tcW w:w="4020" w:type="dxa"/>
            <w:vAlign w:val="bottom"/>
            <w:gridSpan w:val="3"/>
          </w:tcPr>
          <w:p>
            <w:pPr>
              <w:ind w:left="720"/>
              <w:spacing w:after="0"/>
              <w:rPr>
                <w:sz w:val="20"/>
                <w:szCs w:val="20"/>
                <w:color w:val="auto"/>
              </w:rPr>
            </w:pPr>
            <w:r>
              <w:rPr>
                <w:rFonts w:ascii="Arial" w:cs="Arial" w:eastAsia="Arial" w:hAnsi="Arial"/>
                <w:sz w:val="14"/>
                <w:szCs w:val="14"/>
                <w:color w:val="auto"/>
                <w:w w:val="96"/>
              </w:rPr>
              <w:t>Chief Financial Officer and Principal Accounting Officer</w:t>
            </w:r>
          </w:p>
        </w:tc>
      </w:tr>
    </w:tbl>
    <w:p>
      <w:pPr>
        <w:sectPr>
          <w:pgSz w:w="11900" w:h="16838" w:orient="portrait"/>
          <w:cols w:equalWidth="0" w:num="1">
            <w:col w:w="11360"/>
          </w:cols>
          <w:pgMar w:left="300" w:top="445" w:right="239" w:bottom="1440" w:gutter="0" w:footer="0" w:header="0"/>
        </w:sectPr>
      </w:pPr>
    </w:p>
    <w:bookmarkStart w:id="2" w:name="page3"/>
    <w:bookmarkEnd w:id="2"/>
    <w:p>
      <w:pPr>
        <w:spacing w:after="0" w:line="2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191770</wp:posOffset>
            </wp:positionV>
            <wp:extent cx="3566160" cy="6858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3566160" cy="68580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Media Advisory</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color w:val="auto"/>
        </w:rPr>
        <w:t>Thursday, May 20, 2021</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Contact: Jim Nolan</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Office: (804) 646-3110</w:t>
      </w:r>
    </w:p>
    <w:p>
      <w:pPr>
        <w:spacing w:after="0" w:line="4" w:lineRule="exact"/>
        <w:rPr>
          <w:sz w:val="20"/>
          <w:szCs w:val="20"/>
          <w:color w:val="auto"/>
        </w:rPr>
      </w:pPr>
    </w:p>
    <w:p>
      <w:pPr>
        <w:spacing w:after="0"/>
        <w:rPr>
          <w:sz w:val="20"/>
          <w:szCs w:val="20"/>
          <w:color w:val="auto"/>
        </w:rPr>
      </w:pPr>
      <w:r>
        <w:rPr>
          <w:rFonts w:ascii="Arial" w:cs="Arial" w:eastAsia="Arial" w:hAnsi="Arial"/>
          <w:sz w:val="12"/>
          <w:szCs w:val="12"/>
          <w:color w:val="auto"/>
        </w:rPr>
        <w:t>Mobile: (804) 229-8592</w:t>
      </w:r>
    </w:p>
    <w:p>
      <w:pPr>
        <w:spacing w:after="0" w:line="5" w:lineRule="exact"/>
        <w:rPr>
          <w:sz w:val="20"/>
          <w:szCs w:val="20"/>
          <w:color w:val="auto"/>
        </w:rPr>
      </w:pPr>
    </w:p>
    <w:p>
      <w:pPr>
        <w:spacing w:after="0"/>
        <w:rPr>
          <w:sz w:val="20"/>
          <w:szCs w:val="20"/>
          <w:color w:val="auto"/>
        </w:rPr>
      </w:pPr>
      <w:r>
        <w:rPr>
          <w:rFonts w:ascii="Arial" w:cs="Arial" w:eastAsia="Arial" w:hAnsi="Arial"/>
          <w:sz w:val="12"/>
          <w:szCs w:val="12"/>
          <w:color w:val="auto"/>
        </w:rPr>
        <w:t>James.Nolan@richmondgov.com</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ONE Casino + Resort recommended by the Evaluation Panel</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Mayor Stoney supports the recommendation</w:t>
      </w:r>
    </w:p>
    <w:p>
      <w:pPr>
        <w:spacing w:after="0" w:line="143" w:lineRule="exact"/>
        <w:rPr>
          <w:sz w:val="20"/>
          <w:szCs w:val="20"/>
          <w:color w:val="auto"/>
        </w:rPr>
      </w:pPr>
    </w:p>
    <w:p>
      <w:pPr>
        <w:jc w:val="both"/>
        <w:spacing w:after="0" w:line="279" w:lineRule="auto"/>
        <w:rPr>
          <w:sz w:val="20"/>
          <w:szCs w:val="20"/>
          <w:color w:val="auto"/>
        </w:rPr>
      </w:pPr>
      <w:r>
        <w:rPr>
          <w:rFonts w:ascii="Arial" w:cs="Arial" w:eastAsia="Arial" w:hAnsi="Arial"/>
          <w:sz w:val="14"/>
          <w:szCs w:val="14"/>
          <w:b w:val="1"/>
          <w:bCs w:val="1"/>
          <w:color w:val="auto"/>
        </w:rPr>
        <w:t xml:space="preserve">Richmond, VA </w:t>
      </w:r>
      <w:r>
        <w:rPr>
          <w:rFonts w:ascii="Arial" w:cs="Arial" w:eastAsia="Arial" w:hAnsi="Arial"/>
          <w:sz w:val="14"/>
          <w:szCs w:val="14"/>
          <w:color w:val="auto"/>
        </w:rPr>
        <w:t>— The city’s Resort Casino Evaluation Panel has recommended that the ONE Casino + Resort move forward as the city’s preferred casino gaming operator at the proposed site on</w:t>
      </w:r>
      <w:r>
        <w:rPr>
          <w:rFonts w:ascii="Arial" w:cs="Arial" w:eastAsia="Arial" w:hAnsi="Arial"/>
          <w:sz w:val="14"/>
          <w:szCs w:val="14"/>
          <w:b w:val="1"/>
          <w:bCs w:val="1"/>
          <w:color w:val="auto"/>
        </w:rPr>
        <w:t xml:space="preserve"> </w:t>
      </w:r>
      <w:r>
        <w:rPr>
          <w:rFonts w:ascii="Arial" w:cs="Arial" w:eastAsia="Arial" w:hAnsi="Arial"/>
          <w:sz w:val="14"/>
          <w:szCs w:val="14"/>
          <w:color w:val="auto"/>
        </w:rPr>
        <w:t>Walmsley Boulevard in South Richmond. The Evaluation Panel’s recommendation is supported by Mayor Stoney.</w:t>
      </w:r>
    </w:p>
    <w:p>
      <w:pPr>
        <w:spacing w:after="0" w:line="116"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“ONE Casino + Resort presents a tremendous opportunity to develop a resort casino project in Richmond,” said Mayor Levar Stoney. “The project will create over 1,000 good paying jobs, generate a significant amount of new revenue for the city, and establish an additional economic engine in South Richmond. I applaud the work of the Evaluation Panel in their vetting of the proposals and engaging the entire city throughout this project.”</w:t>
      </w:r>
    </w:p>
    <w:p>
      <w:pPr>
        <w:spacing w:after="0" w:line="131" w:lineRule="exact"/>
        <w:rPr>
          <w:sz w:val="20"/>
          <w:szCs w:val="20"/>
          <w:color w:val="auto"/>
        </w:rPr>
      </w:pPr>
    </w:p>
    <w:p>
      <w:pPr>
        <w:jc w:val="both"/>
        <w:ind w:right="20"/>
        <w:spacing w:after="0" w:line="273" w:lineRule="auto"/>
        <w:rPr>
          <w:sz w:val="20"/>
          <w:szCs w:val="20"/>
          <w:color w:val="auto"/>
        </w:rPr>
      </w:pPr>
      <w:r>
        <w:rPr>
          <w:rFonts w:ascii="Arial" w:cs="Arial" w:eastAsia="Arial" w:hAnsi="Arial"/>
          <w:sz w:val="14"/>
          <w:szCs w:val="14"/>
          <w:color w:val="auto"/>
        </w:rPr>
        <w:t>ONE Casino + Resort was proposed by Urban ONE in partnership with Peninsula Pacific Entertainment. Urban ONE is a publicly traded integrated media company. Peninsula Pacific Entertainment owns and operates several casinos and Rosie’s Gaming Emporiums in Virginia.</w:t>
      </w:r>
    </w:p>
    <w:p>
      <w:pPr>
        <w:spacing w:after="0" w:line="120" w:lineRule="exact"/>
        <w:rPr>
          <w:sz w:val="20"/>
          <w:szCs w:val="20"/>
          <w:color w:val="auto"/>
        </w:rPr>
      </w:pPr>
    </w:p>
    <w:p>
      <w:pPr>
        <w:jc w:val="both"/>
        <w:ind w:right="20"/>
        <w:spacing w:after="0" w:line="286" w:lineRule="auto"/>
        <w:rPr>
          <w:sz w:val="20"/>
          <w:szCs w:val="20"/>
          <w:color w:val="auto"/>
        </w:rPr>
      </w:pPr>
      <w:r>
        <w:rPr>
          <w:rFonts w:ascii="Arial" w:cs="Arial" w:eastAsia="Arial" w:hAnsi="Arial"/>
          <w:sz w:val="13"/>
          <w:szCs w:val="13"/>
          <w:color w:val="auto"/>
        </w:rPr>
        <w:t>“ONE is thrilled the Richmond casino selection committee has chosen the best project with the best location and best team to develop a world-class entertainment destination in Richmond’s Southside, said Alfred Liggins, CEO of Urban One. “Urban One and our diverse group of local investors are fully committed to creating good paying jobs with profit-sharing for employees, pathways to successful careers, and generating significant new tax revenues that can improve Richmond’s schools and fund community programs and infrastructure.”</w:t>
      </w:r>
    </w:p>
    <w:p>
      <w:pPr>
        <w:spacing w:after="0" w:line="114" w:lineRule="exact"/>
        <w:rPr>
          <w:sz w:val="20"/>
          <w:szCs w:val="20"/>
          <w:color w:val="auto"/>
        </w:rPr>
      </w:pPr>
    </w:p>
    <w:p>
      <w:pPr>
        <w:jc w:val="both"/>
        <w:ind w:right="20"/>
        <w:spacing w:after="0" w:line="273" w:lineRule="auto"/>
        <w:rPr>
          <w:sz w:val="20"/>
          <w:szCs w:val="20"/>
          <w:color w:val="auto"/>
        </w:rPr>
      </w:pPr>
      <w:r>
        <w:rPr>
          <w:rFonts w:ascii="Arial" w:cs="Arial" w:eastAsia="Arial" w:hAnsi="Arial"/>
          <w:sz w:val="14"/>
          <w:szCs w:val="14"/>
          <w:color w:val="auto"/>
        </w:rPr>
        <w:t>The Evaluation Panel made its recommendation based on factors including the project’s feasibility and sustainability, proposed location, economic development impact, financial revenue impact, and community benefits.</w:t>
      </w:r>
    </w:p>
    <w:p>
      <w:pPr>
        <w:spacing w:after="0" w:line="120" w:lineRule="exact"/>
        <w:rPr>
          <w:sz w:val="20"/>
          <w:szCs w:val="20"/>
          <w:color w:val="auto"/>
        </w:rPr>
      </w:pPr>
    </w:p>
    <w:p>
      <w:pPr>
        <w:jc w:val="both"/>
        <w:ind w:right="20"/>
        <w:spacing w:after="0" w:line="273" w:lineRule="auto"/>
        <w:rPr>
          <w:sz w:val="20"/>
          <w:szCs w:val="20"/>
          <w:color w:val="auto"/>
        </w:rPr>
      </w:pPr>
      <w:r>
        <w:rPr>
          <w:rFonts w:ascii="Arial" w:cs="Arial" w:eastAsia="Arial" w:hAnsi="Arial"/>
          <w:sz w:val="14"/>
          <w:szCs w:val="14"/>
          <w:color w:val="auto"/>
        </w:rPr>
        <w:t>Mayor Stoney will introduce the proposed ONE Casino + Resort project to City Council on Monday, May 24, 2021. Per legislation approved by the Virginia General Assembly, City Council will be asked to petition the court so that a referendum on casino gaming in the City of Richmond can take place during the November 2, 2021 election.</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color w:val="auto"/>
        </w:rPr>
        <w:t>Information on the city’s resort casino process can be found at https://www.rva.gov/economic-development/resort-casino.</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color w:val="auto"/>
        </w:rPr>
        <w:t>The city will host a public meeting on the decision on Tuesday, May 25 at 6 p.m. The link to join will be posted on the informational webpage.</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color w:val="auto"/>
        </w:rPr>
        <w:t>Sam Schwartzkopf</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color w:val="auto"/>
        </w:rPr>
        <w:t>Communications and Policy Analyst</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Office of the Press Secretary to Mayor Levar Stoney</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Pronouns: She, her, hers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Desk: 804-646-6936</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Cell: 804-418-2056</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Follow your city on Twitter, Facebook and Instagram!</w:t>
      </w:r>
    </w:p>
    <w:sectPr>
      <w:pgSz w:w="11900" w:h="16838" w:orient="portrait"/>
      <w:cols w:equalWidth="0" w:num="1">
        <w:col w:w="11300"/>
      </w:cols>
      <w:pgMar w:left="300" w:top="1440"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2021-05-20T12:04:58Z</dcterms:created>
  <dcterms:modified xsi:type="dcterms:W3CDTF">2021-05-20T12:04:58Z</dcterms:modified>
</cp:coreProperties>
</file>