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598170</wp:posOffset>
            </wp:positionH>
            <wp:positionV relativeFrom="page">
              <wp:posOffset>727710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661670</wp:posOffset>
            </wp:positionV>
            <wp:extent cx="6805930"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2476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March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130175</wp:posOffset>
            </wp:positionV>
            <wp:extent cx="1604645" cy="466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4645" cy="466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URBAN ONE,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240"/>
          </w:cols>
          <w:pgMar w:left="320" w:top="1298" w:right="339" w:bottom="1440" w:gutter="0" w:footer="0" w:header="0"/>
        </w:sectPr>
      </w:pPr>
    </w:p>
    <w:p>
      <w:pPr>
        <w:spacing w:after="0" w:line="216"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5"/>
          <w:szCs w:val="15"/>
          <w:b w:val="1"/>
          <w:bCs w:val="1"/>
          <w:color w:val="auto"/>
        </w:rPr>
        <w:t>0-25969</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52-1166660</w:t>
      </w:r>
    </w:p>
    <w:p>
      <w:pPr>
        <w:spacing w:after="0" w:line="60" w:lineRule="exact"/>
        <w:rPr>
          <w:sz w:val="24"/>
          <w:szCs w:val="24"/>
          <w:color w:val="auto"/>
        </w:rPr>
      </w:pPr>
    </w:p>
    <w:p>
      <w:pPr>
        <w:sectPr>
          <w:pgSz w:w="11900" w:h="16838" w:orient="portrait"/>
          <w:cols w:equalWidth="0" w:num="3">
            <w:col w:w="4640" w:space="720"/>
            <w:col w:w="2920" w:space="720"/>
            <w:col w:w="2240"/>
          </w:cols>
          <w:pgMar w:left="320" w:top="1298" w:right="339" w:bottom="1440" w:gutter="0" w:footer="0" w:header="0"/>
          <w:type w:val="continuous"/>
        </w:sectPr>
      </w:pPr>
    </w:p>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(State or Other Jurisdiction</w:t>
      </w:r>
    </w:p>
    <w:p>
      <w:pPr>
        <w:spacing w:after="0" w:line="28"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(Commission File No.)</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5"/>
          <w:szCs w:val="15"/>
          <w:b w:val="1"/>
          <w:bCs w:val="1"/>
          <w:color w:val="auto"/>
        </w:rPr>
        <w:t>(IRS Employer</w:t>
      </w:r>
    </w:p>
    <w:p>
      <w:pPr>
        <w:spacing w:after="0" w:line="28"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5"/>
          <w:szCs w:val="15"/>
          <w:b w:val="1"/>
          <w:bCs w:val="1"/>
          <w:color w:val="auto"/>
        </w:rPr>
        <w:t>Identification No.)</w:t>
      </w:r>
    </w:p>
    <w:p>
      <w:pPr>
        <w:spacing w:after="0" w:line="200" w:lineRule="exact"/>
        <w:rPr>
          <w:sz w:val="24"/>
          <w:szCs w:val="24"/>
          <w:color w:val="auto"/>
        </w:rPr>
      </w:pPr>
    </w:p>
    <w:p>
      <w:pPr>
        <w:sectPr>
          <w:pgSz w:w="11900" w:h="16838" w:orient="portrait"/>
          <w:cols w:equalWidth="0" w:num="3">
            <w:col w:w="4160" w:space="720"/>
            <w:col w:w="3160" w:space="720"/>
            <w:col w:w="2480"/>
          </w:cols>
          <w:pgMar w:left="320" w:top="1298" w:right="339" w:bottom="1440" w:gutter="0" w:footer="0" w:header="0"/>
          <w:type w:val="continuous"/>
        </w:sectPr>
      </w:pPr>
    </w:p>
    <w:p>
      <w:pPr>
        <w:spacing w:after="0" w:line="85"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5"/>
          <w:szCs w:val="15"/>
          <w:b w:val="1"/>
          <w:bCs w:val="1"/>
          <w:color w:val="auto"/>
        </w:rPr>
        <w:t>1010 Wayne Avenue</w:t>
      </w:r>
    </w:p>
    <w:p>
      <w:pPr>
        <w:spacing w:after="0" w:line="28"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5"/>
          <w:szCs w:val="15"/>
          <w:b w:val="1"/>
          <w:bCs w:val="1"/>
          <w:color w:val="auto"/>
        </w:rPr>
        <w:t>14th Floor</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Silver Spring, Maryland 20910</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(301) 429-3200</w:t>
      </w:r>
    </w:p>
    <w:p>
      <w:pPr>
        <w:sectPr>
          <w:pgSz w:w="11900" w:h="16838" w:orient="portrait"/>
          <w:cols w:equalWidth="0" w:num="1">
            <w:col w:w="11240"/>
          </w:cols>
          <w:pgMar w:left="320" w:top="1298" w:right="339" w:bottom="1440" w:gutter="0" w:footer="0" w:header="0"/>
          <w:type w:val="continuous"/>
        </w:sectPr>
      </w:pP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 Area Code, of Registrant’s Principal Executive Offices)</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79" w:lineRule="exact"/>
        <w:rPr>
          <w:sz w:val="24"/>
          <w:szCs w:val="24"/>
          <w:color w:val="auto"/>
        </w:rPr>
      </w:pPr>
    </w:p>
    <w:p>
      <w:pPr>
        <w:ind w:left="360" w:hanging="340"/>
        <w:spacing w:after="0"/>
        <w:tabs>
          <w:tab w:leader="none" w:pos="36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201" w:lineRule="exact"/>
        <w:rPr>
          <w:rFonts w:ascii="Wingdings" w:cs="Wingdings" w:eastAsia="Wingdings" w:hAnsi="Wingdings"/>
          <w:sz w:val="15"/>
          <w:szCs w:val="15"/>
          <w:b w:val="1"/>
          <w:bCs w:val="1"/>
          <w:color w:val="auto"/>
        </w:rPr>
      </w:pPr>
    </w:p>
    <w:p>
      <w:pPr>
        <w:ind w:left="360" w:hanging="340"/>
        <w:spacing w:after="0"/>
        <w:tabs>
          <w:tab w:leader="none" w:pos="36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201" w:lineRule="exact"/>
        <w:rPr>
          <w:rFonts w:ascii="Wingdings" w:cs="Wingdings" w:eastAsia="Wingdings" w:hAnsi="Wingdings"/>
          <w:sz w:val="15"/>
          <w:szCs w:val="15"/>
          <w:b w:val="1"/>
          <w:bCs w:val="1"/>
          <w:color w:val="auto"/>
        </w:rPr>
      </w:pPr>
    </w:p>
    <w:p>
      <w:pPr>
        <w:ind w:left="360" w:hanging="340"/>
        <w:spacing w:after="0"/>
        <w:tabs>
          <w:tab w:leader="none" w:pos="36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201" w:lineRule="exact"/>
        <w:rPr>
          <w:rFonts w:ascii="Wingdings" w:cs="Wingdings" w:eastAsia="Wingdings" w:hAnsi="Wingdings"/>
          <w:sz w:val="15"/>
          <w:szCs w:val="15"/>
          <w:b w:val="1"/>
          <w:bCs w:val="1"/>
          <w:color w:val="auto"/>
        </w:rPr>
      </w:pPr>
    </w:p>
    <w:p>
      <w:pPr>
        <w:ind w:right="3980" w:firstLine="20"/>
        <w:spacing w:after="0" w:line="562" w:lineRule="auto"/>
        <w:tabs>
          <w:tab w:leader="none" w:pos="352"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1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Class</w:t>
            </w:r>
          </w:p>
        </w:tc>
        <w:tc>
          <w:tcPr>
            <w:tcW w:w="100" w:type="dxa"/>
            <w:vAlign w:val="bottom"/>
          </w:tcPr>
          <w:p>
            <w:pPr>
              <w:spacing w:after="0"/>
              <w:rPr>
                <w:sz w:val="18"/>
                <w:szCs w:val="18"/>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100" w:type="dxa"/>
            <w:vAlign w:val="bottom"/>
          </w:tcPr>
          <w:p>
            <w:pPr>
              <w:spacing w:after="0"/>
              <w:rPr>
                <w:sz w:val="18"/>
                <w:szCs w:val="18"/>
                <w:color w:val="auto"/>
              </w:rPr>
            </w:pP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Exchange on which Registered</w:t>
            </w:r>
          </w:p>
        </w:tc>
      </w:tr>
      <w:tr>
        <w:trPr>
          <w:trHeight w:val="214"/>
        </w:trPr>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Class A Common Stock, $.001 Par Value</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UONE</w:t>
            </w:r>
          </w:p>
        </w:tc>
        <w:tc>
          <w:tcPr>
            <w:tcW w:w="4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NASDAQ Stock Market</w:t>
            </w:r>
          </w:p>
        </w:tc>
      </w:tr>
      <w:tr>
        <w:trPr>
          <w:trHeight w:val="232"/>
        </w:trPr>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Class D Common Stock, $.001 Par Value</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UONEK</w:t>
            </w:r>
          </w:p>
        </w:tc>
        <w:tc>
          <w:tcPr>
            <w:tcW w:w="4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NASDAQ Stock Market</w:t>
            </w:r>
          </w:p>
        </w:tc>
      </w:tr>
    </w:tbl>
    <w:p>
      <w:pPr>
        <w:spacing w:after="0" w:line="303"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under the Securities Exchange Act of 1934 (§240.12b-2 of this chapter).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Emerging growth company </w:t>
      </w:r>
      <w:r>
        <w:rPr>
          <w:rFonts w:ascii="Wingdings" w:cs="Wingdings" w:eastAsia="Wingdings" w:hAnsi="Wingdings"/>
          <w:sz w:val="15"/>
          <w:szCs w:val="15"/>
          <w:b w:val="1"/>
          <w:bCs w:val="1"/>
          <w:color w:val="auto"/>
        </w:rPr>
        <w:t>o</w:t>
      </w:r>
    </w:p>
    <w:p>
      <w:pPr>
        <w:spacing w:after="0" w:line="208" w:lineRule="exact"/>
        <w:rPr>
          <w:sz w:val="24"/>
          <w:szCs w:val="24"/>
          <w:color w:val="auto"/>
        </w:rPr>
      </w:pPr>
    </w:p>
    <w:p>
      <w:pPr>
        <w:jc w:val="both"/>
        <w:spacing w:after="0" w:line="307"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721360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95885</wp:posOffset>
            </wp:positionV>
            <wp:extent cx="7138670" cy="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247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46990</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2.02</w:t>
        <w:tab/>
        <w:t>Results of Operations and Financial Condition.</w:t>
      </w:r>
    </w:p>
    <w:p>
      <w:pPr>
        <w:spacing w:after="0" w:line="221"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 xml:space="preserve">On </w:t>
      </w:r>
      <w:r>
        <w:rPr>
          <w:rFonts w:ascii="Times New Roman" w:cs="Times New Roman" w:eastAsia="Times New Roman" w:hAnsi="Times New Roman"/>
          <w:sz w:val="15"/>
          <w:szCs w:val="15"/>
          <w:color w:val="auto"/>
        </w:rPr>
        <w:t>March 12, 2026</w:t>
      </w:r>
      <w:r>
        <w:rPr>
          <w:rFonts w:ascii="Times New Roman" w:cs="Times New Roman" w:eastAsia="Times New Roman" w:hAnsi="Times New Roman"/>
          <w:sz w:val="17"/>
          <w:szCs w:val="17"/>
          <w:color w:val="auto"/>
        </w:rPr>
        <w:t>, Urban One, Inc. (the “Company”) issued a press release setting forth the results for the three months ended December 31, 2025. A copy of the press release is attached as Exhibit 99.1.</w:t>
      </w:r>
    </w:p>
    <w:p>
      <w:pPr>
        <w:spacing w:after="0" w:line="14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8.01</w:t>
        <w:tab/>
        <w:t>Other Events.</w:t>
      </w:r>
    </w:p>
    <w:p>
      <w:pPr>
        <w:spacing w:after="0" w:line="32" w:lineRule="exact"/>
        <w:rPr>
          <w:sz w:val="20"/>
          <w:szCs w:val="20"/>
          <w:color w:val="auto"/>
        </w:rPr>
      </w:pPr>
    </w:p>
    <w:p>
      <w:pPr>
        <w:jc w:val="both"/>
        <w:ind w:firstLine="309"/>
        <w:spacing w:after="0" w:line="255" w:lineRule="auto"/>
        <w:rPr>
          <w:sz w:val="20"/>
          <w:szCs w:val="20"/>
          <w:color w:val="auto"/>
        </w:rPr>
      </w:pPr>
      <w:r>
        <w:rPr>
          <w:rFonts w:ascii="Times New Roman" w:cs="Times New Roman" w:eastAsia="Times New Roman" w:hAnsi="Times New Roman"/>
          <w:sz w:val="17"/>
          <w:szCs w:val="17"/>
          <w:color w:val="auto"/>
        </w:rPr>
        <w:t>During its earnings call and/or in its press release, the Company gave certain updates with respect to its current outlook. First, management noted that core radio pacings for the first quarter were currently down approximately 5.4%. Given the current core radio pacings, certain operational changes, improvements in ratings within its cable business and the potential uplift of political revenues, the Company noted it would defer on giving guidance for calendar year 2026 until later in the year. Management did note that as of March 12, 2026, the Company’s current outstanding total debt balance was approximately $359.1 million as the Company continued to engage in debt reduction efforts. Finally, the Company noted it would continue a disciplined capital allocation strategy with a focus on debt management/reduction and accretive corporate development opportunities taking into consideration the current operating environment and persistent industry trends.</w:t>
      </w:r>
    </w:p>
    <w:p>
      <w:pPr>
        <w:spacing w:after="0" w:line="200" w:lineRule="exact"/>
        <w:rPr>
          <w:sz w:val="20"/>
          <w:szCs w:val="20"/>
          <w:color w:val="auto"/>
        </w:rPr>
      </w:pPr>
    </w:p>
    <w:p>
      <w:pPr>
        <w:spacing w:after="0" w:line="38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 Exhibits</w:t>
            </w:r>
          </w:p>
        </w:tc>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05"/>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27"/>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5"/>
        </w:trPr>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186"/>
        </w:trPr>
        <w:tc>
          <w:tcPr>
            <w:tcW w:w="122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auto"/>
              </w:rPr>
              <w:t>99.1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80" w:type="dxa"/>
            <w:vAlign w:val="bottom"/>
            <w:tcBorders>
              <w:bottom w:val="single" w:sz="8" w:color="0000FF"/>
            </w:tcBorders>
          </w:tcPr>
          <w:p>
            <w:pPr>
              <w:spacing w:after="0" w:line="186" w:lineRule="exact"/>
              <w:rPr>
                <w:sz w:val="20"/>
                <w:szCs w:val="20"/>
                <w:color w:val="auto"/>
              </w:rPr>
            </w:pPr>
            <w:r>
              <w:rPr>
                <w:rFonts w:ascii="Times New Roman" w:cs="Times New Roman" w:eastAsia="Times New Roman" w:hAnsi="Times New Roman"/>
                <w:sz w:val="17"/>
                <w:szCs w:val="17"/>
                <w:color w:val="0000FF"/>
              </w:rPr>
              <w:t>Press release dated March 12, 2026: Urban One Reports Fourth Quarter 2025 Results</w:t>
            </w:r>
          </w:p>
        </w:tc>
        <w:tc>
          <w:tcPr>
            <w:tcW w:w="3980" w:type="dxa"/>
            <w:vAlign w:val="bottom"/>
          </w:tcPr>
          <w:p>
            <w:pPr>
              <w:spacing w:after="0"/>
              <w:rPr>
                <w:sz w:val="16"/>
                <w:szCs w:val="16"/>
                <w:color w:val="auto"/>
              </w:rPr>
            </w:pPr>
          </w:p>
        </w:tc>
      </w:tr>
      <w:tr>
        <w:trPr>
          <w:trHeight w:val="277"/>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 and contained in Exhibit 101)</w:t>
            </w: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 Looking Statements</w:t>
      </w:r>
    </w:p>
    <w:p>
      <w:pPr>
        <w:spacing w:after="0" w:line="200" w:lineRule="exact"/>
        <w:rPr>
          <w:sz w:val="20"/>
          <w:szCs w:val="20"/>
          <w:color w:val="auto"/>
        </w:rPr>
      </w:pP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cautions you certain of the statements in this Form 8-K or in this press release may represent "forward-looking statements" as defined in Section 27A of the United States Securities Act of 1933, as amended, and Section 21E of the United States Securities Exchange Act of 1934, as amended. These statements are based on assumptions believed by the Company to be reasonable and speak only as of the date on which such statements are made. Without limiting the generality of the foregoing, words such as "expect," "believe," "anticipate," "intend," "plan," "project," "will" or "estimate," or the negative or other variations thereof or comparable terminology are intended to identify forward-looking statements. Except as required by law, the Company undertakes no obligation to update such statements to reflect events or circumstances arising after such date and cautions investors not to place undue reliance on any such forward-looking statements. Forward-looking statements involve risks and uncertainties that could cause actual results to differ materially from those described in the statements based on factors, including but not limited to the following: economic, public health, and/or political conditions that impact consumer confidence and spending; the cost and availability of capital or credit facility borrowings; the ability to obtain equity financing; general market conditions; the adequacy of cash flows or available debt resources to fund operations; and other risk factors described from time to time in the Company's Forms 10-K, Forms 10-Q, and Form 8-K reports (including all amendments to those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538480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195"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b w:val="1"/>
          <w:bCs w:val="1"/>
          <w:color w:val="auto"/>
        </w:rPr>
        <w:t>URBAN ONE, INC.</w:t>
      </w:r>
    </w:p>
    <w:p>
      <w:pPr>
        <w:spacing w:after="0" w:line="27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color w:val="auto"/>
        </w:rPr>
        <w:t>/s/ Peter 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33655</wp:posOffset>
            </wp:positionV>
            <wp:extent cx="3441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41065" cy="8255"/>
                    </a:xfrm>
                    <a:prstGeom prst="rect">
                      <a:avLst/>
                    </a:prstGeom>
                    <a:noFill/>
                  </pic:spPr>
                </pic:pic>
              </a:graphicData>
            </a:graphic>
          </wp:anchor>
        </w:drawing>
      </w:r>
    </w:p>
    <w:p>
      <w:pPr>
        <w:spacing w:after="0" w:line="55" w:lineRule="exact"/>
        <w:rPr>
          <w:sz w:val="20"/>
          <w:szCs w:val="20"/>
          <w:color w:val="auto"/>
        </w:rPr>
      </w:pPr>
    </w:p>
    <w:p>
      <w:pPr>
        <w:ind w:left="320"/>
        <w:spacing w:after="0"/>
        <w:tabs>
          <w:tab w:leader="none" w:pos="5920" w:val="left"/>
        </w:tabs>
        <w:rPr>
          <w:sz w:val="20"/>
          <w:szCs w:val="20"/>
          <w:color w:val="auto"/>
        </w:rPr>
      </w:pPr>
      <w:r>
        <w:rPr>
          <w:rFonts w:ascii="Times New Roman" w:cs="Times New Roman" w:eastAsia="Times New Roman" w:hAnsi="Times New Roman"/>
          <w:sz w:val="17"/>
          <w:szCs w:val="17"/>
          <w:color w:val="auto"/>
        </w:rPr>
        <w:t>March 17, 2026</w:t>
      </w:r>
      <w:r>
        <w:rPr>
          <w:sz w:val="20"/>
          <w:szCs w:val="20"/>
          <w:color w:val="auto"/>
        </w:rPr>
        <w:tab/>
      </w:r>
      <w:r>
        <w:rPr>
          <w:rFonts w:ascii="Times New Roman" w:cs="Times New Roman" w:eastAsia="Times New Roman" w:hAnsi="Times New Roman"/>
          <w:sz w:val="17"/>
          <w:szCs w:val="17"/>
          <w:color w:val="auto"/>
        </w:rPr>
        <w:t>Peter D. Thompson</w:t>
      </w:r>
    </w:p>
    <w:p>
      <w:pPr>
        <w:spacing w:after="0" w:line="6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color w:val="auto"/>
        </w:rPr>
        <w:t>Chief Financial Officer and Principal Accounting Officer</w:t>
      </w:r>
    </w:p>
    <w:p>
      <w:pPr>
        <w:sectPr>
          <w:pgSz w:w="11900" w:h="16838" w:orient="portrait"/>
          <w:cols w:equalWidth="0" w:num="1">
            <w:col w:w="11240"/>
          </w:cols>
          <w:pgMar w:left="320" w:top="106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FFFFFF"/>
          <w:highlight w:val="black"/>
        </w:rPr>
        <w:t>NEWS RELEASE</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68"/>
        </w:trPr>
        <w:tc>
          <w:tcPr>
            <w:tcW w:w="32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March 12, 2026</w:t>
            </w:r>
          </w:p>
        </w:tc>
        <w:tc>
          <w:tcPr>
            <w:tcW w:w="4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Contact: Peter D. Thompson, EVP and CFO</w:t>
            </w:r>
          </w:p>
        </w:tc>
        <w:tc>
          <w:tcPr>
            <w:tcW w:w="0" w:type="dxa"/>
            <w:vAlign w:val="bottom"/>
          </w:tcPr>
          <w:p>
            <w:pPr>
              <w:spacing w:after="0"/>
              <w:rPr>
                <w:sz w:val="1"/>
                <w:szCs w:val="1"/>
                <w:color w:val="auto"/>
              </w:rPr>
            </w:pPr>
          </w:p>
        </w:tc>
      </w:tr>
      <w:tr>
        <w:trPr>
          <w:trHeight w:val="206"/>
        </w:trPr>
        <w:tc>
          <w:tcPr>
            <w:tcW w:w="3280" w:type="dxa"/>
            <w:vAlign w:val="bottom"/>
            <w:vMerge w:val="continue"/>
          </w:tcPr>
          <w:p>
            <w:pPr>
              <w:spacing w:after="0"/>
              <w:rPr>
                <w:sz w:val="17"/>
                <w:szCs w:val="17"/>
                <w:color w:val="auto"/>
              </w:rPr>
            </w:pPr>
          </w:p>
        </w:tc>
        <w:tc>
          <w:tcPr>
            <w:tcW w:w="4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3"/>
        </w:trPr>
        <w:tc>
          <w:tcPr>
            <w:tcW w:w="32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FOR IMMEDIATE RELEASE</w:t>
            </w:r>
          </w:p>
        </w:tc>
        <w:tc>
          <w:tcPr>
            <w:tcW w:w="4180" w:type="dxa"/>
            <w:vAlign w:val="bottom"/>
          </w:tcPr>
          <w:p>
            <w:pPr>
              <w:jc w:val="right"/>
              <w:ind w:right="1637"/>
              <w:spacing w:after="0"/>
              <w:rPr>
                <w:sz w:val="20"/>
                <w:szCs w:val="20"/>
                <w:color w:val="auto"/>
              </w:rPr>
            </w:pPr>
            <w:r>
              <w:rPr>
                <w:rFonts w:ascii="Times New Roman" w:cs="Times New Roman" w:eastAsia="Times New Roman" w:hAnsi="Times New Roman"/>
                <w:sz w:val="21"/>
                <w:szCs w:val="21"/>
                <w:color w:val="auto"/>
              </w:rPr>
              <w:t>(301) 429-4638</w:t>
            </w:r>
          </w:p>
        </w:tc>
        <w:tc>
          <w:tcPr>
            <w:tcW w:w="0" w:type="dxa"/>
            <w:vAlign w:val="bottom"/>
          </w:tcPr>
          <w:p>
            <w:pPr>
              <w:spacing w:after="0"/>
              <w:rPr>
                <w:sz w:val="1"/>
                <w:szCs w:val="1"/>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1"/>
                <w:szCs w:val="21"/>
                <w:color w:val="auto"/>
              </w:rPr>
              <w:t>Silver Spring, MD</w:t>
            </w: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URBAN ONE, INC. REPORTS FOURTH QUARTER 2025 RESULTS</w:t>
      </w:r>
    </w:p>
    <w:p>
      <w:pPr>
        <w:spacing w:after="0" w:line="2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u w:val="single" w:color="auto"/>
          <w:color w:val="auto"/>
        </w:rPr>
        <w:t>Silver Spring, MD</w:t>
      </w: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17"/>
          <w:szCs w:val="17"/>
          <w:color w:val="auto"/>
        </w:rPr>
        <w:t>Urban One, Inc. (NASDAQ: UONEK and UONE, referred to as, “Urban One,” the “Company”, “we”, “our” and/or “us”) today reported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results for the three months ended December 31, 2025. For the three months ended December 31, 2025, net revenue was approximately $97.8 million, a decrease of 16.5% from the same period in 2024. The Company reported operating loss of approximately $54.0 million for the three months ended December 31, 2025, compared to operating loss of approximately $1.9 million for the three months ended December 31, 2024. Broadcast and digital operating income</w:t>
      </w:r>
      <w:r>
        <w:rPr>
          <w:rFonts w:ascii="Times New Roman" w:cs="Times New Roman" w:eastAsia="Times New Roman" w:hAnsi="Times New Roman"/>
          <w:sz w:val="8"/>
          <w:szCs w:val="8"/>
          <w:color w:val="auto"/>
        </w:rPr>
        <w:t>1</w:t>
      </w:r>
      <w:r>
        <w:rPr>
          <w:rFonts w:ascii="Times New Roman" w:cs="Times New Roman" w:eastAsia="Times New Roman" w:hAnsi="Times New Roman"/>
          <w:sz w:val="17"/>
          <w:szCs w:val="17"/>
          <w:color w:val="auto"/>
        </w:rPr>
        <w:t xml:space="preserve"> was approximately $23.8 million for the three months ended December 31, 2025, a decrease of 38.3% from the same period in 2024. Net loss was approximately $54.4 million or $(12.24) per share (basic) for the three months ended December 31, 2025, compared to net loss of $35.7 million or $(7.81) per share (basic) for the same period in 2024. Adjusted EBITDA</w:t>
      </w:r>
      <w:r>
        <w:rPr>
          <w:rFonts w:ascii="Times New Roman" w:cs="Times New Roman" w:eastAsia="Times New Roman" w:hAnsi="Times New Roman"/>
          <w:sz w:val="8"/>
          <w:szCs w:val="8"/>
          <w:color w:val="auto"/>
        </w:rPr>
        <w:t>2</w:t>
      </w:r>
      <w:r>
        <w:rPr>
          <w:rFonts w:ascii="Times New Roman" w:cs="Times New Roman" w:eastAsia="Times New Roman" w:hAnsi="Times New Roman"/>
          <w:sz w:val="17"/>
          <w:szCs w:val="17"/>
          <w:color w:val="auto"/>
        </w:rPr>
        <w:t xml:space="preserve"> was approximately $15.6 million for the three months ended December 31, 2025, compared to approximately $26.9 million for the same period in 2024.</w:t>
      </w:r>
    </w:p>
    <w:p>
      <w:pPr>
        <w:spacing w:after="0" w:line="179"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On December 18, 2025, the Company closed a private placement debt exchange with holders of the 7.375% Senior Secured Notes (the “2028 Notes”) representing more than 97% of the aggregate principal amount outstanding. Pursuant to the private placement, the Company (i) tendered for $185.0 million aggregate principal amount of 2028 Notes which the Company purchased for cancellation for $111.0 million and $1.1 million consent fee in cash, (ii) issued $60.6 million aggregate principal amount of 10.500% first lien senior secured notes due 2030 (the “2030 First Lien Notes”), and (iii) issued $291.0 million aggregate principal amount of 7.625% Second Lien Secured Notes due 2031 (the “2031 Second Lien Notes”). Following the transactions (collectively “2025 Refinancing”), $11.8 million of the 2028 Notes remained outstanding.</w:t>
      </w:r>
    </w:p>
    <w:p>
      <w:pPr>
        <w:spacing w:after="0" w:line="173"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On December 18, 2025, the Company also entered into an Amended and Restated Credit Agreement, among the Company, as the administrative borrower, together with the other borrowers party thereto, the lenders party thereto and Bank of America, N.A., as administrative agent (the “Amended and Restated ABL Credit Agreement”). The Amended and Restated ABL Credit Agreement amended and restated the Company’s ABL Credit Agreement, dated as of February 19, 2021 and was also entered into facilitate the Exchange Offer and Consent Solicitation. The Amended and Restated ABL Credit Agreement provides for, among other things, commitments in the aggregate principal amount of up to $75.0 million, with incremental capacity to incur an additional principal amount of up to $25.0 million thereunder, with the proceeds thereof to be used primarily for working capital and general corporate purposes, including capital expenditures, permitted acquisitions, permitted investments and permitted dividends, in each case, in accordance with the terms of the Amended and Restated ABL Credit Agreement.</w:t>
      </w:r>
    </w:p>
    <w:p>
      <w:pPr>
        <w:spacing w:after="0" w:line="385"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Alfred C. Liggins, III, Urban One’s CEO and President stated, “As expected, we had a tough fourth quarter due to a combination of non-recurring political advertising, soft radio markets and declining audience delivery in our cable television (“cable TV”) business. Despite this, we were able to achieve full year Adjusted EBITDA within our previous guidance range at $56.7 million. The biggest revenue drag in the fourth quarter resulted from weak cable TV prime delivery, down approximately 20.0% from the third quarter, although we have seen a significant recovery in the first quarter 2026 as the revised Nielsen methodology has given us an approximate 40.0% - 50.0% lift compared to the fourth quarter 2025. Radio pacings in the first quarter of 2026 are currently (5.0)%, but we remain positive on the outlook for mid-term political revenues later in the year. I was pleased that we were able to repurchase a significant amount of our 2028 Notes at a discount, extend out the maturity on all but a small stub of the notes, and increase the size and term of our ABL Credit Agreement. This transaction sets up the company with a stable capital structure and extended maturity runway to allow us to continue to de-lever the business. In January 2026 we also regained compliance with the Nasdaq listing requirements by effectuating a 1-for-10 reverse stock split.”</w:t>
      </w:r>
    </w:p>
    <w:p>
      <w:pPr>
        <w:sectPr>
          <w:pgSz w:w="11900" w:h="16838" w:orient="portrait"/>
          <w:cols w:equalWidth="0" w:num="1">
            <w:col w:w="11240"/>
          </w:cols>
          <w:pgMar w:left="320" w:top="89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PAGE 2-- URBAN ONE, INC. REPORTS FOURTH QUARTER 2025 RESULTS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Three Months Ended December 31,</w:t>
            </w:r>
          </w:p>
        </w:tc>
        <w:tc>
          <w:tcPr>
            <w:tcW w:w="460" w:type="dxa"/>
            <w:vAlign w:val="bottom"/>
          </w:tcPr>
          <w:p>
            <w:pPr>
              <w:spacing w:after="0"/>
              <w:rPr>
                <w:sz w:val="15"/>
                <w:szCs w:val="15"/>
                <w:color w:val="auto"/>
              </w:rPr>
            </w:pPr>
          </w:p>
        </w:tc>
        <w:tc>
          <w:tcPr>
            <w:tcW w:w="23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5"/>
        </w:trPr>
        <w:tc>
          <w:tcPr>
            <w:tcW w:w="55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177"/>
        </w:trPr>
        <w:tc>
          <w:tcPr>
            <w:tcW w:w="5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5"/>
                <w:szCs w:val="15"/>
                <w:color w:val="auto"/>
              </w:rPr>
            </w:pPr>
          </w:p>
        </w:tc>
      </w:tr>
      <w:tr>
        <w:trPr>
          <w:trHeight w:val="35"/>
        </w:trPr>
        <w:tc>
          <w:tcPr>
            <w:tcW w:w="55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gridSpan w:val="3"/>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148"/>
        </w:trPr>
        <w:tc>
          <w:tcPr>
            <w:tcW w:w="5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Borders>
              <w:bottom w:val="single" w:sz="8" w:color="auto"/>
            </w:tcBorders>
            <w:gridSpan w:val="3"/>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w w:val="97"/>
              </w:rPr>
              <w:t>(unaudited)</w:t>
            </w: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STATEMENTS OF OPERATIONS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7"/>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(in thousands, except share data)</w:t>
            </w:r>
          </w:p>
        </w:tc>
        <w:tc>
          <w:tcPr>
            <w:tcW w:w="460" w:type="dxa"/>
            <w:vAlign w:val="bottom"/>
          </w:tcPr>
          <w:p>
            <w:pPr>
              <w:spacing w:after="0"/>
              <w:rPr>
                <w:sz w:val="20"/>
                <w:szCs w:val="20"/>
                <w:color w:val="auto"/>
              </w:rPr>
            </w:pPr>
          </w:p>
        </w:tc>
        <w:tc>
          <w:tcPr>
            <w:tcW w:w="236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6"/>
              </w:rPr>
              <w:t>(in thousands, except share data)</w:t>
            </w:r>
          </w:p>
        </w:tc>
      </w:tr>
      <w:tr>
        <w:trPr>
          <w:trHeight w:val="44"/>
        </w:trPr>
        <w:tc>
          <w:tcPr>
            <w:tcW w:w="5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23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97,828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117,127</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374,371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449,674</w:t>
            </w:r>
          </w:p>
        </w:tc>
      </w:tr>
      <w:tr>
        <w:trPr>
          <w:trHeight w:val="232"/>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5"/>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Programming and technical, excluding stock-based compensation</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31,446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35,409</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135,235</w:t>
            </w:r>
          </w:p>
        </w:tc>
      </w:tr>
      <w:tr>
        <w:trPr>
          <w:trHeight w:val="258"/>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excluding stock-based compensation</w:t>
            </w:r>
            <w:r>
              <w:rPr>
                <w:rFonts w:ascii="Times New Roman" w:cs="Times New Roman" w:eastAsia="Times New Roman" w:hAnsi="Times New Roman"/>
                <w:sz w:val="22"/>
                <w:szCs w:val="22"/>
                <w:color w:val="auto"/>
                <w:vertAlign w:val="superscript"/>
              </w:rPr>
              <w:t>(a)</w:t>
            </w:r>
          </w:p>
        </w:tc>
        <w:tc>
          <w:tcPr>
            <w:tcW w:w="24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58,709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55,663</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207,300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224,837</w:t>
            </w:r>
          </w:p>
        </w:tc>
      </w:tr>
      <w:tr>
        <w:trPr>
          <w:trHeight w:val="23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5,716</w:t>
            </w:r>
          </w:p>
        </w:tc>
      </w:tr>
      <w:tr>
        <w:trPr>
          <w:trHeight w:val="232"/>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6,131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1,635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7,716</w:t>
            </w:r>
          </w:p>
        </w:tc>
      </w:tr>
      <w:tr>
        <w:trPr>
          <w:trHeight w:val="25"/>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of goodwill and intangible assets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55,295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24,174</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191,816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151,755</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151,873</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118,982</w:t>
            </w: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544,492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525,259</w:t>
            </w:r>
          </w:p>
        </w:tc>
      </w:tr>
      <w:tr>
        <w:trPr>
          <w:trHeight w:val="25"/>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1"/>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loss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(54,045)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(1,855)</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(75,585)</w:t>
            </w:r>
          </w:p>
        </w:tc>
      </w:tr>
      <w:tr>
        <w:trPr>
          <w:trHeight w:val="232"/>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AND INVESTMENT INCOME</w:t>
            </w:r>
          </w:p>
        </w:tc>
        <w:tc>
          <w:tcPr>
            <w:tcW w:w="24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5,980</w:t>
            </w:r>
          </w:p>
        </w:tc>
      </w:tr>
      <w:tr>
        <w:trPr>
          <w:trHeight w:val="25"/>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(11,520)</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(48,571)</w:t>
            </w:r>
          </w:p>
        </w:tc>
      </w:tr>
      <w:tr>
        <w:trPr>
          <w:trHeight w:val="232"/>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RETIREMENT OF DEBT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23,271</w:t>
            </w:r>
          </w:p>
        </w:tc>
      </w:tr>
      <w:tr>
        <w:trPr>
          <w:trHeight w:val="25"/>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896</w:t>
            </w:r>
          </w:p>
        </w:tc>
      </w:tr>
      <w:tr>
        <w:trPr>
          <w:trHeight w:val="196"/>
        </w:trPr>
        <w:tc>
          <w:tcPr>
            <w:tcW w:w="5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Loss from consolidated operations before benefit from (provision for)</w:t>
            </w: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r>
      <w:tr>
        <w:trPr>
          <w:trHeight w:val="223"/>
        </w:trPr>
        <w:tc>
          <w:tcPr>
            <w:tcW w:w="5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income taxes</w:t>
            </w:r>
          </w:p>
        </w:tc>
        <w:tc>
          <w:tcPr>
            <w:tcW w:w="2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(63,515)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(7,836)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(162,889)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(94,009)</w:t>
            </w:r>
          </w:p>
        </w:tc>
      </w:tr>
      <w:tr>
        <w:trPr>
          <w:trHeight w:val="25"/>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FROM (PROVISION FOR) INCOME TAXES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(27,583)</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(9,759)</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FROM CONSOLIDATED OPERATIONS</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(54,350)</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(35,419)</w:t>
            </w: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(146,879)</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(103,768)</w:t>
            </w:r>
          </w:p>
        </w:tc>
      </w:tr>
      <w:tr>
        <w:trPr>
          <w:trHeight w:val="25"/>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UNCONSOLIDATED JOINT VENTURE</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(411)</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(54,350)</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(35,419)</w:t>
            </w: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(146,879)</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(104,179)</w:t>
            </w:r>
          </w:p>
        </w:tc>
      </w:tr>
      <w:tr>
        <w:trPr>
          <w:trHeight w:val="25"/>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NON-CONTROLLING</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1,215</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2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(54,395)</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(35,658)</w:t>
            </w:r>
          </w:p>
        </w:tc>
        <w:tc>
          <w:tcPr>
            <w:tcW w:w="80" w:type="dxa"/>
            <w:vAlign w:val="bottom"/>
          </w:tcPr>
          <w:p>
            <w:pPr>
              <w:spacing w:after="0"/>
              <w:rPr>
                <w:sz w:val="19"/>
                <w:szCs w:val="19"/>
                <w:color w:val="auto"/>
              </w:rPr>
            </w:pPr>
          </w:p>
        </w:tc>
        <w:tc>
          <w:tcPr>
            <w:tcW w:w="46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(146,869)</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(105,394)</w:t>
            </w:r>
          </w:p>
        </w:tc>
      </w:tr>
      <w:tr>
        <w:trPr>
          <w:trHeight w:val="25"/>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8"/>
        </w:trPr>
        <w:tc>
          <w:tcPr>
            <w:tcW w:w="55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r>
      <w:tr>
        <w:trPr>
          <w:trHeight w:val="251"/>
        </w:trPr>
        <w:tc>
          <w:tcPr>
            <w:tcW w:w="5500" w:type="dxa"/>
            <w:vAlign w:val="bottom"/>
          </w:tcPr>
          <w:p>
            <w:pPr>
              <w:ind w:left="20"/>
              <w:spacing w:after="0" w:line="250" w:lineRule="exact"/>
              <w:rPr>
                <w:sz w:val="20"/>
                <w:szCs w:val="20"/>
                <w:color w:val="auto"/>
              </w:rPr>
            </w:pPr>
            <w:r>
              <w:rPr>
                <w:rFonts w:ascii="Times New Roman" w:cs="Times New Roman" w:eastAsia="Times New Roman" w:hAnsi="Times New Roman"/>
                <w:sz w:val="17"/>
                <w:szCs w:val="17"/>
                <w:color w:val="auto"/>
              </w:rPr>
              <w:t>Weighted-average shares outstanding - basic</w:t>
            </w:r>
            <w:r>
              <w:rPr>
                <w:rFonts w:ascii="Times New Roman" w:cs="Times New Roman" w:eastAsia="Times New Roman" w:hAnsi="Times New Roman"/>
                <w:sz w:val="22"/>
                <w:szCs w:val="22"/>
                <w:color w:val="auto"/>
                <w:vertAlign w:val="superscript"/>
              </w:rPr>
              <w:t>(3, b)</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4,444,458</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4,565,959</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4,458,325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4,740,287</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74"/>
        </w:trPr>
        <w:tc>
          <w:tcPr>
            <w:tcW w:w="5500" w:type="dxa"/>
            <w:vAlign w:val="bottom"/>
            <w:tcBorders>
              <w:bottom w:val="single" w:sz="8" w:color="CCEEFF"/>
            </w:tcBorders>
            <w:shd w:val="clear" w:color="auto" w:fill="CCEEFF"/>
          </w:tcPr>
          <w:p>
            <w:pPr>
              <w:ind w:left="20"/>
              <w:spacing w:after="0" w:line="249" w:lineRule="exact"/>
              <w:rPr>
                <w:sz w:val="20"/>
                <w:szCs w:val="20"/>
                <w:color w:val="auto"/>
              </w:rPr>
            </w:pPr>
            <w:r>
              <w:rPr>
                <w:rFonts w:ascii="Times New Roman" w:cs="Times New Roman" w:eastAsia="Times New Roman" w:hAnsi="Times New Roman"/>
                <w:sz w:val="17"/>
                <w:szCs w:val="17"/>
                <w:color w:val="auto"/>
              </w:rPr>
              <w:t>Weighted-average shares outstanding - diluted</w:t>
            </w:r>
            <w:r>
              <w:rPr>
                <w:rFonts w:ascii="Times New Roman" w:cs="Times New Roman" w:eastAsia="Times New Roman" w:hAnsi="Times New Roman"/>
                <w:sz w:val="22"/>
                <w:szCs w:val="22"/>
                <w:color w:val="auto"/>
                <w:vertAlign w:val="superscript"/>
              </w:rPr>
              <w:t>(4, b)</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4,444,458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4,565,959</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4,458,325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4,740,287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120" w:hanging="117"/>
        <w:spacing w:after="0"/>
        <w:tabs>
          <w:tab w:leader="none" w:pos="120" w:val="left"/>
        </w:tabs>
        <w:numPr>
          <w:ilvl w:val="0"/>
          <w:numId w:val="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Corporate selling, general and administrative expenses have been collapsed with Selling, general and administrative expenses in the consolidated statements of operations.</w:t>
      </w:r>
    </w:p>
    <w:p>
      <w:pPr>
        <w:spacing w:after="0" w:line="109" w:lineRule="exact"/>
        <w:rPr>
          <w:rFonts w:ascii="Times New Roman" w:cs="Times New Roman" w:eastAsia="Times New Roman" w:hAnsi="Times New Roman"/>
          <w:sz w:val="14"/>
          <w:szCs w:val="14"/>
          <w:color w:val="auto"/>
          <w:vertAlign w:val="superscript"/>
        </w:rPr>
      </w:pPr>
    </w:p>
    <w:p>
      <w:pPr>
        <w:ind w:firstLine="3"/>
        <w:spacing w:after="0" w:line="248" w:lineRule="auto"/>
        <w:tabs>
          <w:tab w:leader="none" w:pos="126" w:val="left"/>
        </w:tabs>
        <w:numPr>
          <w:ilvl w:val="0"/>
          <w:numId w:val="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Weighted-average shares outstanding used in the computation of basic and diluted net loss to common stockholders per share have been retroactively adjusted to reflect the 1-for-10 Reverse Stock Split that occurred on January 22, 2026.</w:t>
      </w:r>
    </w:p>
    <w:p>
      <w:pPr>
        <w:sectPr>
          <w:pgSz w:w="11900" w:h="16838" w:orient="portrait"/>
          <w:cols w:equalWidth="0" w:num="1">
            <w:col w:w="11240"/>
          </w:cols>
          <w:pgMar w:left="320" w:top="110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1"/>
          <w:szCs w:val="21"/>
          <w:b w:val="1"/>
          <w:bCs w:val="1"/>
          <w:color w:val="auto"/>
        </w:rPr>
        <w:t>PAGE 3 -- URBAN ONE, INC. REPORTS FOURTH QUARTER 2025 RESULTS</w:t>
      </w:r>
    </w:p>
    <w:p>
      <w:pPr>
        <w:spacing w:after="0" w:line="210"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Effective January 1, 2025, the Company modified the composition of two of our reportable segments to reflect changes in how they operate their business. The Company transferred the CTV offering within our Digital segment to our Cable Television segment. This change aligns the CTV offering with the results of operations within our Cable Television segment. Prior period Cable Television and Digital segment information has been reclassified to conform to the current period presentation. In addition, prior period segment information has been recast between the Sales and marketing and the General and administrative to conform the presentation of significant segment expenses used to evaluate performance by the Chief Operating Decision Maker (“CODM”).</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Detailed segment data for the three and twelve months ended December 31, 2025 and 2024 is presented in the following tables:</w:t>
      </w:r>
    </w:p>
    <w:p>
      <w:pPr>
        <w:spacing w:after="0" w:line="261" w:lineRule="exact"/>
        <w:rPr>
          <w:sz w:val="20"/>
          <w:szCs w:val="20"/>
          <w:color w:val="auto"/>
        </w:rPr>
      </w:pPr>
    </w:p>
    <w:p>
      <w:pPr>
        <w:jc w:val="center"/>
        <w:ind w:left="26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1" w:lineRule="exact"/>
        <w:rPr>
          <w:sz w:val="20"/>
          <w:szCs w:val="20"/>
          <w:color w:val="auto"/>
        </w:rPr>
      </w:pPr>
    </w:p>
    <w:p>
      <w:pPr>
        <w:jc w:val="center"/>
        <w:ind w:left="264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(in thousands, unaudited)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6"/>
              </w:rPr>
              <w:t>Corporate/</w:t>
            </w:r>
          </w:p>
        </w:tc>
        <w:tc>
          <w:tcPr>
            <w:tcW w:w="0" w:type="dxa"/>
            <w:vAlign w:val="bottom"/>
          </w:tcPr>
          <w:p>
            <w:pPr>
              <w:spacing w:after="0"/>
              <w:rPr>
                <w:sz w:val="1"/>
                <w:szCs w:val="1"/>
                <w:color w:val="auto"/>
              </w:rPr>
            </w:pPr>
          </w:p>
        </w:tc>
      </w:tr>
      <w:tr>
        <w:trPr>
          <w:trHeight w:val="182"/>
        </w:trPr>
        <w:tc>
          <w:tcPr>
            <w:tcW w:w="2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5"/>
                <w:szCs w:val="15"/>
                <w:color w:val="auto"/>
              </w:rPr>
            </w:pP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Radio Broadcasting</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Reach Media</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Digital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Cable Television</w:t>
            </w:r>
          </w:p>
        </w:tc>
        <w:tc>
          <w:tcPr>
            <w:tcW w:w="2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Eliminations/ Other</w:t>
            </w:r>
          </w:p>
        </w:tc>
        <w:tc>
          <w:tcPr>
            <w:tcW w:w="0" w:type="dxa"/>
            <w:vAlign w:val="bottom"/>
          </w:tcPr>
          <w:p>
            <w:pPr>
              <w:spacing w:after="0"/>
              <w:rPr>
                <w:sz w:val="1"/>
                <w:szCs w:val="1"/>
                <w:color w:val="auto"/>
              </w:rPr>
            </w:pPr>
          </w:p>
        </w:tc>
      </w:tr>
      <w:tr>
        <w:trPr>
          <w:trHeight w:val="35"/>
        </w:trPr>
        <w:tc>
          <w:tcPr>
            <w:tcW w:w="266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97,828</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331"/>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35,063</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34,941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0" w:type="dxa"/>
            <w:vAlign w:val="bottom"/>
          </w:tcPr>
          <w:p>
            <w:pPr>
              <w:spacing w:after="0"/>
              <w:rPr>
                <w:sz w:val="1"/>
                <w:szCs w:val="1"/>
                <w:color w:val="auto"/>
              </w:rPr>
            </w:pPr>
          </w:p>
        </w:tc>
      </w:tr>
      <w:tr>
        <w:trPr>
          <w:trHeight w:val="232"/>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Programming and technical</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31,446</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10,683</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0" w:type="dxa"/>
            <w:vAlign w:val="bottom"/>
          </w:tcPr>
          <w:p>
            <w:pPr>
              <w:spacing w:after="0"/>
              <w:rPr>
                <w:sz w:val="1"/>
                <w:szCs w:val="1"/>
                <w:color w:val="auto"/>
              </w:rPr>
            </w:pPr>
          </w:p>
        </w:tc>
      </w:tr>
      <w:tr>
        <w:trPr>
          <w:trHeight w:val="232"/>
        </w:trPr>
        <w:tc>
          <w:tcPr>
            <w:tcW w:w="2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Sales and marketing</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34,218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0" w:type="dxa"/>
            <w:vAlign w:val="bottom"/>
          </w:tcPr>
          <w:p>
            <w:pPr>
              <w:spacing w:after="0"/>
              <w:rPr>
                <w:sz w:val="1"/>
                <w:szCs w:val="1"/>
                <w:color w:val="auto"/>
              </w:rPr>
            </w:pPr>
          </w:p>
        </w:tc>
      </w:tr>
      <w:tr>
        <w:trPr>
          <w:trHeight w:val="25"/>
        </w:trPr>
        <w:tc>
          <w:tcPr>
            <w:tcW w:w="2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24,493</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5,395</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13,049</w:t>
            </w:r>
          </w:p>
        </w:tc>
        <w:tc>
          <w:tcPr>
            <w:tcW w:w="0" w:type="dxa"/>
            <w:vAlign w:val="bottom"/>
          </w:tcPr>
          <w:p>
            <w:pPr>
              <w:spacing w:after="0"/>
              <w:rPr>
                <w:sz w:val="1"/>
                <w:szCs w:val="1"/>
                <w:color w:val="auto"/>
              </w:rPr>
            </w:pPr>
          </w:p>
        </w:tc>
      </w:tr>
      <w:tr>
        <w:trPr>
          <w:trHeight w:val="232"/>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 back/(deduct):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Severance-related costs</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58"/>
        </w:trPr>
        <w:tc>
          <w:tcPr>
            <w:tcW w:w="2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Debt refinancing costs</w:t>
            </w:r>
            <w:r>
              <w:rPr>
                <w:rFonts w:ascii="Times New Roman" w:cs="Times New Roman" w:eastAsia="Times New Roman" w:hAnsi="Times New Roman"/>
                <w:sz w:val="22"/>
                <w:szCs w:val="22"/>
                <w:color w:val="auto"/>
                <w:vertAlign w:val="superscript"/>
              </w:rPr>
              <w:t>(c)</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7,098</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7,098</w:t>
            </w:r>
          </w:p>
        </w:tc>
        <w:tc>
          <w:tcPr>
            <w:tcW w:w="0" w:type="dxa"/>
            <w:vAlign w:val="bottom"/>
          </w:tcPr>
          <w:p>
            <w:pPr>
              <w:spacing w:after="0"/>
              <w:rPr>
                <w:sz w:val="1"/>
                <w:szCs w:val="1"/>
                <w:color w:val="auto"/>
              </w:rPr>
            </w:pPr>
          </w:p>
        </w:tc>
      </w:tr>
      <w:tr>
        <w:trPr>
          <w:trHeight w:val="258"/>
        </w:trPr>
        <w:tc>
          <w:tcPr>
            <w:tcW w:w="2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income (costs)</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0" w:type="dxa"/>
            <w:vAlign w:val="bottom"/>
          </w:tcPr>
          <w:p>
            <w:pPr>
              <w:spacing w:after="0"/>
              <w:rPr>
                <w:sz w:val="1"/>
                <w:szCs w:val="1"/>
                <w:color w:val="auto"/>
              </w:rPr>
            </w:pPr>
          </w:p>
        </w:tc>
      </w:tr>
      <w:tr>
        <w:trPr>
          <w:trHeight w:val="251"/>
        </w:trPr>
        <w:tc>
          <w:tcPr>
            <w:tcW w:w="2660" w:type="dxa"/>
            <w:vAlign w:val="bottom"/>
          </w:tcPr>
          <w:p>
            <w:pPr>
              <w:ind w:left="20"/>
              <w:spacing w:after="0" w:line="250"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(2)</w:t>
            </w: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15,639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Borders>
              <w:top w:val="single" w:sz="8" w:color="auto"/>
              <w:bottom w:val="single" w:sz="8" w:color="auto"/>
            </w:tcBorders>
            <w:gridSpan w:val="2"/>
          </w:tcPr>
          <w:p>
            <w:pPr>
              <w:jc w:val="right"/>
              <w:ind w:right="331"/>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8,699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(4,969)</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2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gridSpan w:val="8"/>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 thousands, unaudited)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Digital </w:t>
            </w:r>
            <w:r>
              <w:rPr>
                <w:rFonts w:ascii="Times New Roman" w:cs="Times New Roman" w:eastAsia="Times New Roman" w:hAnsi="Times New Roman"/>
                <w:sz w:val="17"/>
                <w:szCs w:val="17"/>
                <w:b w:val="1"/>
                <w:bCs w:val="1"/>
                <w:color w:val="auto"/>
                <w:vertAlign w:val="superscript"/>
              </w:rPr>
              <w:t>(a)</w:t>
            </w:r>
          </w:p>
        </w:tc>
        <w:tc>
          <w:tcPr>
            <w:tcW w:w="8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 xml:space="preserve">Cable Television </w:t>
            </w:r>
            <w:r>
              <w:rPr>
                <w:rFonts w:ascii="Times New Roman" w:cs="Times New Roman" w:eastAsia="Times New Roman" w:hAnsi="Times New Roman"/>
                <w:sz w:val="17"/>
                <w:szCs w:val="17"/>
                <w:b w:val="1"/>
                <w:bCs w:val="1"/>
                <w:color w:val="auto"/>
                <w:w w:val="94"/>
                <w:vertAlign w:val="superscript"/>
              </w:rPr>
              <w:t>(a)</w:t>
            </w:r>
          </w:p>
        </w:tc>
        <w:tc>
          <w:tcPr>
            <w:tcW w:w="8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0" w:type="dxa"/>
            <w:vAlign w:val="bottom"/>
          </w:tcPr>
          <w:p>
            <w:pPr>
              <w:spacing w:after="0"/>
              <w:rPr>
                <w:sz w:val="1"/>
                <w:szCs w:val="1"/>
                <w:color w:val="auto"/>
              </w:rPr>
            </w:pPr>
          </w:p>
        </w:tc>
      </w:tr>
      <w:tr>
        <w:trPr>
          <w:trHeight w:val="218"/>
        </w:trPr>
        <w:tc>
          <w:tcPr>
            <w:tcW w:w="26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Radio Broadcasting</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Reach Media</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Eliminations/ Other</w:t>
            </w:r>
          </w:p>
        </w:tc>
        <w:tc>
          <w:tcPr>
            <w:tcW w:w="0" w:type="dxa"/>
            <w:vAlign w:val="bottom"/>
          </w:tcPr>
          <w:p>
            <w:pPr>
              <w:spacing w:after="0"/>
              <w:rPr>
                <w:sz w:val="1"/>
                <w:szCs w:val="1"/>
                <w:color w:val="auto"/>
              </w:rPr>
            </w:pPr>
          </w:p>
        </w:tc>
      </w:tr>
      <w:tr>
        <w:trPr>
          <w:trHeight w:val="231"/>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117,127</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47,736</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9,613</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18,270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42,014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0" w:type="dxa"/>
            <w:vAlign w:val="bottom"/>
          </w:tcPr>
          <w:p>
            <w:pPr>
              <w:spacing w:after="0"/>
              <w:rPr>
                <w:sz w:val="1"/>
                <w:szCs w:val="1"/>
                <w:color w:val="auto"/>
              </w:rPr>
            </w:pPr>
          </w:p>
        </w:tc>
      </w:tr>
      <w:tr>
        <w:trPr>
          <w:trHeight w:val="232"/>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Programming and technical</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35,409</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11,814</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3,652</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15,920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0" w:type="dxa"/>
            <w:vAlign w:val="bottom"/>
          </w:tcPr>
          <w:p>
            <w:pPr>
              <w:spacing w:after="0"/>
              <w:rPr>
                <w:sz w:val="1"/>
                <w:szCs w:val="1"/>
                <w:color w:val="auto"/>
              </w:rPr>
            </w:pPr>
          </w:p>
        </w:tc>
      </w:tr>
      <w:tr>
        <w:trPr>
          <w:trHeight w:val="258"/>
        </w:trPr>
        <w:tc>
          <w:tcPr>
            <w:tcW w:w="2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2"/>
                <w:szCs w:val="22"/>
                <w:color w:val="auto"/>
                <w:vertAlign w:val="superscript"/>
              </w:rPr>
              <w:t>(b)</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32,446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12,491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2,285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0" w:type="dxa"/>
            <w:vAlign w:val="bottom"/>
          </w:tcPr>
          <w:p>
            <w:pPr>
              <w:spacing w:after="0"/>
              <w:rPr>
                <w:sz w:val="1"/>
                <w:szCs w:val="1"/>
                <w:color w:val="auto"/>
              </w:rPr>
            </w:pPr>
          </w:p>
        </w:tc>
      </w:tr>
      <w:tr>
        <w:trPr>
          <w:trHeight w:val="258"/>
        </w:trPr>
        <w:tc>
          <w:tcPr>
            <w:tcW w:w="2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2"/>
                <w:szCs w:val="22"/>
                <w:color w:val="auto"/>
                <w:vertAlign w:val="superscript"/>
              </w:rPr>
              <w:t>(b)</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23,217</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7,582</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1,023</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8,938</w:t>
            </w:r>
          </w:p>
        </w:tc>
        <w:tc>
          <w:tcPr>
            <w:tcW w:w="0" w:type="dxa"/>
            <w:vAlign w:val="bottom"/>
          </w:tcPr>
          <w:p>
            <w:pPr>
              <w:spacing w:after="0"/>
              <w:rPr>
                <w:sz w:val="1"/>
                <w:szCs w:val="1"/>
                <w:color w:val="auto"/>
              </w:rPr>
            </w:pPr>
          </w:p>
        </w:tc>
      </w:tr>
      <w:tr>
        <w:trPr>
          <w:trHeight w:val="232"/>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 back/(deduct):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Severance-related costs</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1,881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1,086</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141</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32"/>
        </w:trPr>
        <w:tc>
          <w:tcPr>
            <w:tcW w:w="2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income (costs)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(1,066)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(1,367)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5"/>
        </w:trPr>
        <w:tc>
          <w:tcPr>
            <w:tcW w:w="2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266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(2)</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26,870</w:t>
            </w:r>
          </w:p>
        </w:tc>
        <w:tc>
          <w:tcPr>
            <w:tcW w:w="4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15,568</w:t>
            </w:r>
          </w:p>
        </w:tc>
        <w:tc>
          <w:tcPr>
            <w:tcW w:w="4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2,799</w:t>
            </w:r>
          </w:p>
        </w:tc>
        <w:tc>
          <w:tcPr>
            <w:tcW w:w="6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0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1"/>
          <w:szCs w:val="21"/>
          <w:b w:val="1"/>
          <w:bCs w:val="1"/>
          <w:color w:val="auto"/>
        </w:rPr>
        <w:t>PAGE 4 -- URBAN ONE, INC. REPORTS FOURTH QUARTER 2025 RESULTS</w:t>
      </w:r>
    </w:p>
    <w:p>
      <w:pPr>
        <w:spacing w:after="0" w:line="266" w:lineRule="exact"/>
        <w:rPr>
          <w:sz w:val="20"/>
          <w:szCs w:val="20"/>
          <w:color w:val="auto"/>
        </w:rPr>
      </w:pPr>
    </w:p>
    <w:p>
      <w:pPr>
        <w:jc w:val="center"/>
        <w:ind w:left="270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spacing w:after="0" w:line="12" w:lineRule="exact"/>
        <w:rPr>
          <w:sz w:val="20"/>
          <w:szCs w:val="20"/>
          <w:color w:val="auto"/>
        </w:rPr>
      </w:pPr>
    </w:p>
    <w:p>
      <w:pPr>
        <w:jc w:val="center"/>
        <w:ind w:left="270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3"/>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0" w:type="dxa"/>
            <w:vAlign w:val="bottom"/>
          </w:tcPr>
          <w:p>
            <w:pPr>
              <w:spacing w:after="0"/>
              <w:rPr>
                <w:sz w:val="1"/>
                <w:szCs w:val="1"/>
                <w:color w:val="auto"/>
              </w:rPr>
            </w:pPr>
          </w:p>
        </w:tc>
      </w:tr>
      <w:tr>
        <w:trPr>
          <w:trHeight w:val="195"/>
        </w:trPr>
        <w:tc>
          <w:tcPr>
            <w:tcW w:w="2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Radio Broadcasting</w:t>
            </w:r>
          </w:p>
        </w:tc>
        <w:tc>
          <w:tcPr>
            <w:tcW w:w="20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Reach Media</w:t>
            </w:r>
          </w:p>
        </w:tc>
        <w:tc>
          <w:tcPr>
            <w:tcW w:w="400" w:type="dxa"/>
            <w:vAlign w:val="bottom"/>
          </w:tcPr>
          <w:p>
            <w:pPr>
              <w:spacing w:after="0"/>
              <w:rPr>
                <w:sz w:val="16"/>
                <w:szCs w:val="16"/>
                <w:color w:val="auto"/>
              </w:rPr>
            </w:pPr>
          </w:p>
        </w:tc>
        <w:tc>
          <w:tcPr>
            <w:tcW w:w="10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Digital</w:t>
            </w:r>
          </w:p>
        </w:tc>
        <w:tc>
          <w:tcPr>
            <w:tcW w:w="12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Cable Television</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Eliminations/ Other</w:t>
            </w:r>
          </w:p>
        </w:tc>
        <w:tc>
          <w:tcPr>
            <w:tcW w:w="0" w:type="dxa"/>
            <w:vAlign w:val="bottom"/>
          </w:tcPr>
          <w:p>
            <w:pPr>
              <w:spacing w:after="0"/>
              <w:rPr>
                <w:sz w:val="1"/>
                <w:szCs w:val="1"/>
                <w:color w:val="auto"/>
              </w:rPr>
            </w:pPr>
          </w:p>
        </w:tc>
      </w:tr>
      <w:tr>
        <w:trPr>
          <w:trHeight w:val="35"/>
        </w:trPr>
        <w:tc>
          <w:tcPr>
            <w:tcW w:w="27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374,371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31,146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w:t>
            </w:r>
          </w:p>
        </w:tc>
        <w:tc>
          <w:tcPr>
            <w:tcW w:w="0" w:type="dxa"/>
            <w:vAlign w:val="bottom"/>
          </w:tcPr>
          <w:p>
            <w:pPr>
              <w:spacing w:after="0"/>
              <w:rPr>
                <w:sz w:val="1"/>
                <w:szCs w:val="1"/>
                <w:color w:val="auto"/>
              </w:rPr>
            </w:pPr>
          </w:p>
        </w:tc>
      </w:tr>
      <w:tr>
        <w:trPr>
          <w:trHeight w:val="232"/>
        </w:trPr>
        <w:tc>
          <w:tcPr>
            <w:tcW w:w="2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Programming and technical</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125,396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12,645</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0" w:type="dxa"/>
            <w:vAlign w:val="bottom"/>
          </w:tcPr>
          <w:p>
            <w:pPr>
              <w:spacing w:after="0"/>
              <w:rPr>
                <w:sz w:val="1"/>
                <w:szCs w:val="1"/>
                <w:color w:val="auto"/>
              </w:rPr>
            </w:pPr>
          </w:p>
        </w:tc>
      </w:tr>
      <w:tr>
        <w:trPr>
          <w:trHeight w:val="232"/>
        </w:trPr>
        <w:tc>
          <w:tcPr>
            <w:tcW w:w="2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Sales and marketing</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119,841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16,997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(1,966)</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87,463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hd w:val="clear" w:color="auto" w:fill="CCEEFF"/>
              </w:rPr>
              <w:t>25,828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hd w:val="clear" w:color="auto" w:fill="CCEEFF"/>
              </w:rPr>
              <w:t>3,236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hd w:val="clear" w:color="auto" w:fill="CCEEFF"/>
              </w:rPr>
              <w:t>2,189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hd w:val="clear" w:color="auto" w:fill="CCEEFF"/>
              </w:rPr>
              <w:t>15,598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hd w:val="clear" w:color="auto" w:fill="CCEEFF"/>
              </w:rPr>
              <w:t>40,612</w:t>
            </w:r>
          </w:p>
        </w:tc>
        <w:tc>
          <w:tcPr>
            <w:tcW w:w="0" w:type="dxa"/>
            <w:vAlign w:val="bottom"/>
          </w:tcPr>
          <w:p>
            <w:pPr>
              <w:spacing w:after="0"/>
              <w:rPr>
                <w:sz w:val="1"/>
                <w:szCs w:val="1"/>
                <w:color w:val="auto"/>
              </w:rPr>
            </w:pPr>
          </w:p>
        </w:tc>
      </w:tr>
      <w:tr>
        <w:trPr>
          <w:trHeight w:val="232"/>
        </w:trPr>
        <w:tc>
          <w:tcPr>
            <w:tcW w:w="2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key operating expenses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332,700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32,878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37,982</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back/(deduct):</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Severance-related costs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Litigation settlement costs</w:t>
            </w:r>
            <w:r>
              <w:rPr>
                <w:rFonts w:ascii="Times New Roman" w:cs="Times New Roman" w:eastAsia="Times New Roman" w:hAnsi="Times New Roman"/>
                <w:sz w:val="22"/>
                <w:szCs w:val="22"/>
                <w:color w:val="auto"/>
                <w:vertAlign w:val="superscript"/>
              </w:rPr>
              <w:t>(d)</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2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Debt refinancing costs</w:t>
            </w:r>
            <w:r>
              <w:rPr>
                <w:rFonts w:ascii="Times New Roman" w:cs="Times New Roman" w:eastAsia="Times New Roman" w:hAnsi="Times New Roman"/>
                <w:sz w:val="22"/>
                <w:szCs w:val="22"/>
                <w:color w:val="auto"/>
                <w:vertAlign w:val="superscript"/>
              </w:rPr>
              <w:t>(c)</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7,098</w:t>
            </w:r>
          </w:p>
        </w:tc>
        <w:tc>
          <w:tcPr>
            <w:tcW w:w="0" w:type="dxa"/>
            <w:vAlign w:val="bottom"/>
          </w:tcPr>
          <w:p>
            <w:pPr>
              <w:spacing w:after="0"/>
              <w:rPr>
                <w:sz w:val="1"/>
                <w:szCs w:val="1"/>
                <w:color w:val="auto"/>
              </w:rPr>
            </w:pPr>
          </w:p>
        </w:tc>
      </w:tr>
      <w:tr>
        <w:trPr>
          <w:trHeight w:val="258"/>
        </w:trPr>
        <w:tc>
          <w:tcPr>
            <w:tcW w:w="2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costs</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w:t>
            </w:r>
          </w:p>
        </w:tc>
        <w:tc>
          <w:tcPr>
            <w:tcW w:w="0" w:type="dxa"/>
            <w:vAlign w:val="bottom"/>
          </w:tcPr>
          <w:p>
            <w:pPr>
              <w:spacing w:after="0"/>
              <w:rPr>
                <w:sz w:val="1"/>
                <w:szCs w:val="1"/>
                <w:color w:val="auto"/>
              </w:rPr>
            </w:pPr>
          </w:p>
        </w:tc>
      </w:tr>
      <w:tr>
        <w:trPr>
          <w:trHeight w:val="251"/>
        </w:trPr>
        <w:tc>
          <w:tcPr>
            <w:tcW w:w="2720" w:type="dxa"/>
            <w:vAlign w:val="bottom"/>
          </w:tcPr>
          <w:p>
            <w:pPr>
              <w:ind w:left="20"/>
              <w:spacing w:after="0" w:line="250"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(2)</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56,657</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25,604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(1,555)</w:t>
            </w:r>
          </w:p>
        </w:tc>
        <w:tc>
          <w:tcPr>
            <w:tcW w:w="8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60,409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(30,285)</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7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3"/>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0"/>
              </w:rPr>
              <w:t xml:space="preserve">Digital </w:t>
            </w:r>
            <w:r>
              <w:rPr>
                <w:rFonts w:ascii="Times New Roman" w:cs="Times New Roman" w:eastAsia="Times New Roman" w:hAnsi="Times New Roman"/>
                <w:sz w:val="17"/>
                <w:szCs w:val="17"/>
                <w:b w:val="1"/>
                <w:bCs w:val="1"/>
                <w:color w:val="auto"/>
                <w:w w:val="90"/>
                <w:vertAlign w:val="superscript"/>
              </w:rPr>
              <w:t>(a)</w:t>
            </w:r>
          </w:p>
        </w:tc>
        <w:tc>
          <w:tcPr>
            <w:tcW w:w="120" w:type="dxa"/>
            <w:vAlign w:val="bottom"/>
          </w:tcPr>
          <w:p>
            <w:pPr>
              <w:spacing w:after="0"/>
              <w:rPr>
                <w:sz w:val="24"/>
                <w:szCs w:val="24"/>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 xml:space="preserve">Cable Television </w:t>
            </w:r>
            <w:r>
              <w:rPr>
                <w:rFonts w:ascii="Times New Roman" w:cs="Times New Roman" w:eastAsia="Times New Roman" w:hAnsi="Times New Roman"/>
                <w:sz w:val="17"/>
                <w:szCs w:val="17"/>
                <w:b w:val="1"/>
                <w:bCs w:val="1"/>
                <w:color w:val="auto"/>
                <w:w w:val="94"/>
                <w:vertAlign w:val="superscript"/>
              </w:rPr>
              <w:t>(a)</w:t>
            </w:r>
          </w:p>
        </w:tc>
        <w:tc>
          <w:tcPr>
            <w:tcW w:w="220" w:type="dxa"/>
            <w:vAlign w:val="bottom"/>
          </w:tcPr>
          <w:p>
            <w:pPr>
              <w:spacing w:after="0"/>
              <w:rPr>
                <w:sz w:val="24"/>
                <w:szCs w:val="24"/>
                <w:color w:val="auto"/>
              </w:rPr>
            </w:pPr>
          </w:p>
        </w:tc>
        <w:tc>
          <w:tcPr>
            <w:tcW w:w="11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0" w:type="dxa"/>
            <w:vAlign w:val="bottom"/>
          </w:tcPr>
          <w:p>
            <w:pPr>
              <w:spacing w:after="0"/>
              <w:rPr>
                <w:sz w:val="1"/>
                <w:szCs w:val="1"/>
                <w:color w:val="auto"/>
              </w:rPr>
            </w:pPr>
          </w:p>
        </w:tc>
      </w:tr>
      <w:tr>
        <w:trPr>
          <w:trHeight w:val="218"/>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Radio Broadcasting</w:t>
            </w:r>
          </w:p>
        </w:tc>
        <w:tc>
          <w:tcPr>
            <w:tcW w:w="20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Reach Media</w:t>
            </w:r>
          </w:p>
        </w:tc>
        <w:tc>
          <w:tcPr>
            <w:tcW w:w="4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Eliminations/ Other</w:t>
            </w:r>
          </w:p>
        </w:tc>
        <w:tc>
          <w:tcPr>
            <w:tcW w:w="0" w:type="dxa"/>
            <w:vAlign w:val="bottom"/>
          </w:tcPr>
          <w:p>
            <w:pPr>
              <w:spacing w:after="0"/>
              <w:rPr>
                <w:sz w:val="1"/>
                <w:szCs w:val="1"/>
                <w:color w:val="auto"/>
              </w:rPr>
            </w:pPr>
          </w:p>
        </w:tc>
      </w:tr>
      <w:tr>
        <w:trPr>
          <w:trHeight w:val="231"/>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449,674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176,127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(2,336)</w:t>
            </w:r>
          </w:p>
        </w:tc>
        <w:tc>
          <w:tcPr>
            <w:tcW w:w="0" w:type="dxa"/>
            <w:vAlign w:val="bottom"/>
          </w:tcPr>
          <w:p>
            <w:pPr>
              <w:spacing w:after="0"/>
              <w:rPr>
                <w:sz w:val="1"/>
                <w:szCs w:val="1"/>
                <w:color w:val="auto"/>
              </w:rPr>
            </w:pPr>
          </w:p>
        </w:tc>
      </w:tr>
      <w:tr>
        <w:trPr>
          <w:trHeight w:val="232"/>
        </w:trPr>
        <w:tc>
          <w:tcPr>
            <w:tcW w:w="2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Programming and technical</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135,235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14,475</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0" w:type="dxa"/>
            <w:vAlign w:val="bottom"/>
          </w:tcPr>
          <w:p>
            <w:pPr>
              <w:spacing w:after="0"/>
              <w:rPr>
                <w:sz w:val="1"/>
                <w:szCs w:val="1"/>
                <w:color w:val="auto"/>
              </w:rPr>
            </w:pPr>
          </w:p>
        </w:tc>
      </w:tr>
      <w:tr>
        <w:trPr>
          <w:trHeight w:val="258"/>
        </w:trPr>
        <w:tc>
          <w:tcPr>
            <w:tcW w:w="2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2"/>
                <w:szCs w:val="22"/>
                <w:color w:val="auto"/>
                <w:vertAlign w:val="superscript"/>
              </w:rPr>
              <w:t>(b)</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130,683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16,859</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32,356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(1,773)</w:t>
            </w:r>
          </w:p>
        </w:tc>
        <w:tc>
          <w:tcPr>
            <w:tcW w:w="0" w:type="dxa"/>
            <w:vAlign w:val="bottom"/>
          </w:tcPr>
          <w:p>
            <w:pPr>
              <w:spacing w:after="0"/>
              <w:rPr>
                <w:sz w:val="1"/>
                <w:szCs w:val="1"/>
                <w:color w:val="auto"/>
              </w:rPr>
            </w:pPr>
          </w:p>
        </w:tc>
      </w:tr>
      <w:tr>
        <w:trPr>
          <w:trHeight w:val="258"/>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2"/>
                <w:szCs w:val="22"/>
                <w:color w:val="auto"/>
                <w:vertAlign w:val="superscript"/>
              </w:rPr>
              <w:t>(b)</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94,154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31,314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3,702</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39,767</w:t>
            </w:r>
          </w:p>
        </w:tc>
        <w:tc>
          <w:tcPr>
            <w:tcW w:w="0" w:type="dxa"/>
            <w:vAlign w:val="bottom"/>
          </w:tcPr>
          <w:p>
            <w:pPr>
              <w:spacing w:after="0"/>
              <w:rPr>
                <w:sz w:val="1"/>
                <w:szCs w:val="1"/>
                <w:color w:val="auto"/>
              </w:rPr>
            </w:pPr>
          </w:p>
        </w:tc>
      </w:tr>
      <w:tr>
        <w:trPr>
          <w:trHeight w:val="232"/>
        </w:trPr>
        <w:tc>
          <w:tcPr>
            <w:tcW w:w="2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key operating expenses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360,072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35,036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37,104</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back/(deduct):</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Severance-related costs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income (costs)</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12,910</w:t>
            </w:r>
          </w:p>
        </w:tc>
        <w:tc>
          <w:tcPr>
            <w:tcW w:w="0" w:type="dxa"/>
            <w:vAlign w:val="bottom"/>
          </w:tcPr>
          <w:p>
            <w:pPr>
              <w:spacing w:after="0"/>
              <w:rPr>
                <w:sz w:val="1"/>
                <w:szCs w:val="1"/>
                <w:color w:val="auto"/>
              </w:rPr>
            </w:pPr>
          </w:p>
        </w:tc>
      </w:tr>
      <w:tr>
        <w:trPr>
          <w:trHeight w:val="251"/>
        </w:trPr>
        <w:tc>
          <w:tcPr>
            <w:tcW w:w="2720" w:type="dxa"/>
            <w:vAlign w:val="bottom"/>
          </w:tcPr>
          <w:p>
            <w:pPr>
              <w:ind w:left="20"/>
              <w:spacing w:after="0" w:line="250"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(2)</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103,463</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38,097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11,628</w:t>
            </w:r>
          </w:p>
        </w:tc>
        <w:tc>
          <w:tcPr>
            <w:tcW w:w="8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13,059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66,667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(25,988)</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firstLine="3"/>
        <w:spacing w:after="0"/>
        <w:tabs>
          <w:tab w:leader="none" w:pos="127"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Effective January 1, 2025, segment information for the prior periods has been recast to include reclassification of a portion of revenues from our CTV offering from the Digital segment to the Cable Television segment.</w:t>
      </w:r>
    </w:p>
    <w:p>
      <w:pPr>
        <w:spacing w:after="0" w:line="241" w:lineRule="exact"/>
        <w:rPr>
          <w:rFonts w:ascii="Times New Roman" w:cs="Times New Roman" w:eastAsia="Times New Roman" w:hAnsi="Times New Roman"/>
          <w:sz w:val="16"/>
          <w:szCs w:val="16"/>
          <w:color w:val="auto"/>
          <w:vertAlign w:val="superscript"/>
        </w:rPr>
      </w:pPr>
    </w:p>
    <w:p>
      <w:pPr>
        <w:ind w:firstLine="3"/>
        <w:spacing w:after="0" w:line="275" w:lineRule="auto"/>
        <w:tabs>
          <w:tab w:leader="none" w:pos="147"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Effective January 1, 2025, prior period segment information has been recast between Sales and marketing and General and administrative to conform the presentation of significant expenses used to evaluate performance by the CODM.</w:t>
      </w:r>
    </w:p>
    <w:p>
      <w:pPr>
        <w:spacing w:after="0" w:line="6" w:lineRule="exact"/>
        <w:rPr>
          <w:rFonts w:ascii="Times New Roman" w:cs="Times New Roman" w:eastAsia="Times New Roman" w:hAnsi="Times New Roman"/>
          <w:sz w:val="9"/>
          <w:szCs w:val="9"/>
          <w:color w:val="auto"/>
        </w:rPr>
      </w:pPr>
    </w:p>
    <w:p>
      <w:pPr>
        <w:ind w:left="160" w:hanging="157"/>
        <w:spacing w:after="0"/>
        <w:tabs>
          <w:tab w:leader="none" w:pos="16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Debt refinancing costs include third-party transaction costs related to the First Lien Senior Secured Notes and Second Lien Senior Secured Notes.</w:t>
      </w:r>
    </w:p>
    <w:p>
      <w:pPr>
        <w:spacing w:after="0" w:line="76" w:lineRule="exact"/>
        <w:rPr>
          <w:rFonts w:ascii="Times New Roman" w:cs="Times New Roman" w:eastAsia="Times New Roman" w:hAnsi="Times New Roman"/>
          <w:sz w:val="21"/>
          <w:szCs w:val="21"/>
          <w:color w:val="auto"/>
          <w:vertAlign w:val="superscript"/>
        </w:rPr>
      </w:pPr>
    </w:p>
    <w:p>
      <w:pPr>
        <w:ind w:left="160" w:hanging="157"/>
        <w:spacing w:after="0" w:line="202" w:lineRule="auto"/>
        <w:tabs>
          <w:tab w:leader="none" w:pos="160"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Non-recurring litigation settlement costs include a $3.1 million charge related to the rate increase for royalties for historical periods.</w:t>
      </w:r>
    </w:p>
    <w:p>
      <w:pPr>
        <w:sectPr>
          <w:pgSz w:w="11900" w:h="16838" w:orient="portrait"/>
          <w:cols w:equalWidth="0" w:num="1">
            <w:col w:w="11240"/>
          </w:cols>
          <w:pgMar w:left="320" w:top="106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1"/>
          <w:szCs w:val="21"/>
          <w:b w:val="1"/>
          <w:bCs w:val="1"/>
          <w:color w:val="auto"/>
        </w:rPr>
        <w:t>PAGE 5 -- URBAN ONE, INC. REPORTS FOURTH QUARTER 2025 RESULTS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gridSpan w:val="7"/>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Three Months Ended December 31,</w:t>
            </w:r>
          </w:p>
        </w:tc>
        <w:tc>
          <w:tcPr>
            <w:tcW w:w="340" w:type="dxa"/>
            <w:vAlign w:val="bottom"/>
          </w:tcPr>
          <w:p>
            <w:pPr>
              <w:spacing w:after="0"/>
              <w:rPr>
                <w:sz w:val="15"/>
                <w:szCs w:val="15"/>
                <w:color w:val="auto"/>
              </w:rPr>
            </w:pPr>
          </w:p>
        </w:tc>
        <w:tc>
          <w:tcPr>
            <w:tcW w:w="2480" w:type="dxa"/>
            <w:vAlign w:val="bottom"/>
            <w:gridSpan w:val="5"/>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5"/>
        </w:trPr>
        <w:tc>
          <w:tcPr>
            <w:tcW w:w="5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177"/>
        </w:trPr>
        <w:tc>
          <w:tcPr>
            <w:tcW w:w="5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r>
      <w:tr>
        <w:trPr>
          <w:trHeight w:val="190"/>
        </w:trPr>
        <w:tc>
          <w:tcPr>
            <w:tcW w:w="5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 SHARE DATA - basic and diluted:</w:t>
            </w:r>
          </w:p>
        </w:tc>
        <w:tc>
          <w:tcPr>
            <w:tcW w:w="340" w:type="dxa"/>
            <w:vAlign w:val="bottom"/>
          </w:tcPr>
          <w:p>
            <w:pPr>
              <w:spacing w:after="0"/>
              <w:rPr>
                <w:sz w:val="20"/>
                <w:szCs w:val="20"/>
                <w:color w:val="auto"/>
              </w:rPr>
            </w:pPr>
          </w:p>
        </w:tc>
        <w:tc>
          <w:tcPr>
            <w:tcW w:w="2580" w:type="dxa"/>
            <w:vAlign w:val="bottom"/>
            <w:gridSpan w:val="7"/>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(in thousands, except per share data)</w:t>
            </w:r>
          </w:p>
        </w:tc>
        <w:tc>
          <w:tcPr>
            <w:tcW w:w="340" w:type="dxa"/>
            <w:vAlign w:val="bottom"/>
          </w:tcPr>
          <w:p>
            <w:pPr>
              <w:spacing w:after="0"/>
              <w:rPr>
                <w:sz w:val="20"/>
                <w:szCs w:val="20"/>
                <w:color w:val="auto"/>
              </w:rPr>
            </w:pPr>
          </w:p>
        </w:tc>
        <w:tc>
          <w:tcPr>
            <w:tcW w:w="2480" w:type="dxa"/>
            <w:vAlign w:val="bottom"/>
            <w:gridSpan w:val="5"/>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w w:val="97"/>
              </w:rPr>
              <w:t>(in thousands, except per share data)</w:t>
            </w:r>
          </w:p>
        </w:tc>
      </w:tr>
      <w:tr>
        <w:trPr>
          <w:trHeight w:val="44"/>
        </w:trPr>
        <w:tc>
          <w:tcPr>
            <w:tcW w:w="5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r>
      <w:tr>
        <w:trPr>
          <w:trHeight w:val="283"/>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stockholders (basic)</w:t>
            </w:r>
            <w:r>
              <w:rPr>
                <w:rFonts w:ascii="Times New Roman" w:cs="Times New Roman" w:eastAsia="Times New Roman" w:hAnsi="Times New Roman"/>
                <w:sz w:val="22"/>
                <w:szCs w:val="22"/>
                <w:color w:val="auto"/>
                <w:vertAlign w:val="superscript"/>
              </w:rPr>
              <w:t>(a)</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550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Net loss attributable to common stockholders (diluted)</w:t>
            </w:r>
            <w:r>
              <w:rPr>
                <w:rFonts w:ascii="Times New Roman" w:cs="Times New Roman" w:eastAsia="Times New Roman" w:hAnsi="Times New Roman"/>
                <w:sz w:val="22"/>
                <w:szCs w:val="22"/>
                <w:color w:val="auto"/>
                <w:vertAlign w:val="superscript"/>
              </w:rPr>
              <w:t>(a)</w:t>
            </w: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(12.24)</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(22.23)</w:t>
            </w:r>
          </w:p>
        </w:tc>
      </w:tr>
      <w:tr>
        <w:trPr>
          <w:trHeight w:val="81"/>
        </w:trPr>
        <w:tc>
          <w:tcPr>
            <w:tcW w:w="55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r>
      <w:tr>
        <w:trPr>
          <w:trHeight w:val="258"/>
        </w:trPr>
        <w:tc>
          <w:tcPr>
            <w:tcW w:w="55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Broadcast and digital operating income</w:t>
            </w:r>
            <w:r>
              <w:rPr>
                <w:rFonts w:ascii="Times New Roman" w:cs="Times New Roman" w:eastAsia="Times New Roman" w:hAnsi="Times New Roman"/>
                <w:sz w:val="22"/>
                <w:szCs w:val="22"/>
                <w:color w:val="auto"/>
                <w:vertAlign w:val="superscript"/>
              </w:rPr>
              <w:t>(1)</w:t>
            </w:r>
          </w:p>
        </w:tc>
        <w:tc>
          <w:tcPr>
            <w:tcW w:w="340" w:type="dxa"/>
            <w:vAlign w:val="bottom"/>
            <w:tcBorders>
              <w:top w:val="single" w:sz="8" w:color="CCEEFF"/>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23,804</w:t>
            </w:r>
          </w:p>
        </w:tc>
        <w:tc>
          <w:tcPr>
            <w:tcW w:w="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38,601</w:t>
            </w:r>
          </w:p>
        </w:tc>
        <w:tc>
          <w:tcPr>
            <w:tcW w:w="8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92,442</w:t>
            </w:r>
          </w:p>
        </w:tc>
        <w:tc>
          <w:tcPr>
            <w:tcW w:w="10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140,181</w:t>
            </w:r>
          </w:p>
        </w:tc>
      </w:tr>
      <w:tr>
        <w:trPr>
          <w:trHeight w:val="25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Broadcast and digital operating income</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 xml:space="preserve"> reconciliation:</w:t>
            </w:r>
          </w:p>
        </w:tc>
        <w:tc>
          <w:tcPr>
            <w:tcW w:w="3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r>
      <w:tr>
        <w:trPr>
          <w:trHeight w:val="232"/>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(54,395)</w:t>
            </w:r>
          </w:p>
        </w:tc>
        <w:tc>
          <w:tcPr>
            <w:tcW w:w="8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(35,658)</w:t>
            </w:r>
          </w:p>
        </w:tc>
        <w:tc>
          <w:tcPr>
            <w:tcW w:w="8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(146,869)</w:t>
            </w:r>
          </w:p>
        </w:tc>
        <w:tc>
          <w:tcPr>
            <w:tcW w:w="10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(105,394)</w:t>
            </w:r>
          </w:p>
        </w:tc>
      </w:tr>
      <w:tr>
        <w:trPr>
          <w:trHeight w:val="25"/>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back/(deduct) certain non-broadcast and digital operating income items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2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included in net loss:</w:t>
            </w:r>
          </w:p>
        </w:tc>
        <w:tc>
          <w:tcPr>
            <w:tcW w:w="3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r>
      <w:tr>
        <w:trPr>
          <w:trHeight w:val="232"/>
        </w:trPr>
        <w:tc>
          <w:tcPr>
            <w:tcW w:w="5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and investment income</w:t>
            </w:r>
          </w:p>
        </w:tc>
        <w:tc>
          <w:tcPr>
            <w:tcW w:w="3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(5,980)</w:t>
            </w:r>
          </w:p>
        </w:tc>
      </w:tr>
      <w:tr>
        <w:trPr>
          <w:trHeight w:val="25"/>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8"/>
        </w:trPr>
        <w:tc>
          <w:tcPr>
            <w:tcW w:w="5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48,571</w:t>
            </w:r>
          </w:p>
        </w:tc>
      </w:tr>
      <w:tr>
        <w:trPr>
          <w:trHeight w:val="232"/>
        </w:trPr>
        <w:tc>
          <w:tcPr>
            <w:tcW w:w="5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(Benefit from) provision for income taxes</w:t>
            </w:r>
          </w:p>
        </w:tc>
        <w:tc>
          <w:tcPr>
            <w:tcW w:w="3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(9,165)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27,583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9,759</w:t>
            </w:r>
          </w:p>
        </w:tc>
      </w:tr>
      <w:tr>
        <w:trPr>
          <w:trHeight w:val="25"/>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8"/>
        </w:trPr>
        <w:tc>
          <w:tcPr>
            <w:tcW w:w="5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Corporate selling, general and administrative expenses</w:t>
            </w:r>
            <w:r>
              <w:rPr>
                <w:rFonts w:ascii="Times New Roman" w:cs="Times New Roman" w:eastAsia="Times New Roman" w:hAnsi="Times New Roman"/>
                <w:sz w:val="22"/>
                <w:szCs w:val="22"/>
                <w:color w:val="auto"/>
                <w:vertAlign w:val="superscript"/>
              </w:rPr>
              <w:t>(e)</w:t>
            </w:r>
          </w:p>
        </w:tc>
        <w:tc>
          <w:tcPr>
            <w:tcW w:w="3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16,131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50,767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50,579</w:t>
            </w:r>
          </w:p>
        </w:tc>
      </w:tr>
      <w:tr>
        <w:trPr>
          <w:trHeight w:val="232"/>
        </w:trPr>
        <w:tc>
          <w:tcPr>
            <w:tcW w:w="5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Stock-based compensation</w:t>
            </w:r>
          </w:p>
        </w:tc>
        <w:tc>
          <w:tcPr>
            <w:tcW w:w="3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2,101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5,716</w:t>
            </w:r>
          </w:p>
        </w:tc>
      </w:tr>
      <w:tr>
        <w:trPr>
          <w:trHeight w:val="25"/>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8"/>
        </w:trPr>
        <w:tc>
          <w:tcPr>
            <w:tcW w:w="5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Gain on retirement of debt</w:t>
            </w: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(23,271)</w:t>
            </w:r>
          </w:p>
        </w:tc>
      </w:tr>
      <w:tr>
        <w:trPr>
          <w:trHeight w:val="232"/>
        </w:trPr>
        <w:tc>
          <w:tcPr>
            <w:tcW w:w="5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expense (income), net</w:t>
            </w:r>
          </w:p>
        </w:tc>
        <w:tc>
          <w:tcPr>
            <w:tcW w:w="3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(896)</w:t>
            </w:r>
          </w:p>
        </w:tc>
      </w:tr>
      <w:tr>
        <w:trPr>
          <w:trHeight w:val="25"/>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8"/>
        </w:trPr>
        <w:tc>
          <w:tcPr>
            <w:tcW w:w="5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Loss from unconsolidated joint venture</w:t>
            </w: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r>
      <w:tr>
        <w:trPr>
          <w:trHeight w:val="232"/>
        </w:trPr>
        <w:tc>
          <w:tcPr>
            <w:tcW w:w="5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6,131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1,635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7,716</w:t>
            </w:r>
          </w:p>
        </w:tc>
      </w:tr>
      <w:tr>
        <w:trPr>
          <w:trHeight w:val="25"/>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8"/>
        </w:trPr>
        <w:tc>
          <w:tcPr>
            <w:tcW w:w="5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interests</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w:t>
            </w:r>
          </w:p>
        </w:tc>
      </w:tr>
      <w:tr>
        <w:trPr>
          <w:trHeight w:val="232"/>
        </w:trPr>
        <w:tc>
          <w:tcPr>
            <w:tcW w:w="5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Impairment of goodwill and intangible assets</w:t>
            </w:r>
          </w:p>
        </w:tc>
        <w:tc>
          <w:tcPr>
            <w:tcW w:w="3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55,295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24,174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191,816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151,755</w:t>
            </w:r>
          </w:p>
        </w:tc>
      </w:tr>
      <w:tr>
        <w:trPr>
          <w:trHeight w:val="25"/>
        </w:trPr>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76"/>
        </w:trPr>
        <w:tc>
          <w:tcPr>
            <w:tcW w:w="5500" w:type="dxa"/>
            <w:vAlign w:val="bottom"/>
            <w:tcBorders>
              <w:bottom w:val="single" w:sz="8" w:color="CCEEFF"/>
            </w:tcBorders>
            <w:shd w:val="clear" w:color="auto" w:fill="CCEEFF"/>
          </w:tcPr>
          <w:p>
            <w:pPr>
              <w:ind w:left="40"/>
              <w:spacing w:after="0" w:line="250" w:lineRule="exact"/>
              <w:rPr>
                <w:sz w:val="20"/>
                <w:szCs w:val="20"/>
                <w:color w:val="auto"/>
              </w:rPr>
            </w:pPr>
            <w:r>
              <w:rPr>
                <w:rFonts w:ascii="Times New Roman" w:cs="Times New Roman" w:eastAsia="Times New Roman" w:hAnsi="Times New Roman"/>
                <w:sz w:val="17"/>
                <w:szCs w:val="17"/>
                <w:color w:val="auto"/>
              </w:rPr>
              <w:t>Broadcast and digital operating income</w:t>
            </w:r>
            <w:r>
              <w:rPr>
                <w:rFonts w:ascii="Times New Roman" w:cs="Times New Roman" w:eastAsia="Times New Roman" w:hAnsi="Times New Roman"/>
                <w:sz w:val="22"/>
                <w:szCs w:val="22"/>
                <w:color w:val="auto"/>
                <w:vertAlign w:val="superscript"/>
              </w:rPr>
              <w:t>(1)</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23,804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38,601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92,442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140,181</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r>
        <w:trPr>
          <w:trHeight w:val="25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(2)</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15,639</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26,870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56,657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103,463</w:t>
            </w:r>
          </w:p>
        </w:tc>
      </w:tr>
      <w:tr>
        <w:trPr>
          <w:trHeight w:val="258"/>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22"/>
                <w:szCs w:val="22"/>
                <w:b w:val="1"/>
                <w:bCs w:val="1"/>
                <w:color w:val="auto"/>
                <w:vertAlign w:val="superscript"/>
              </w:rPr>
              <w:t>(2)</w:t>
            </w:r>
            <w:r>
              <w:rPr>
                <w:rFonts w:ascii="Times New Roman" w:cs="Times New Roman" w:eastAsia="Times New Roman" w:hAnsi="Times New Roman"/>
                <w:sz w:val="17"/>
                <w:szCs w:val="17"/>
                <w:b w:val="1"/>
                <w:bCs w:val="1"/>
                <w:color w:val="auto"/>
              </w:rPr>
              <w:t xml:space="preserve"> reconciliation:</w:t>
            </w: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3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(54,395)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(35,658)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(146,869)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(105,394)</w:t>
            </w:r>
          </w:p>
        </w:tc>
      </w:tr>
      <w:tr>
        <w:trPr>
          <w:trHeight w:val="232"/>
        </w:trPr>
        <w:tc>
          <w:tcPr>
            <w:tcW w:w="5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and investment income</w:t>
            </w:r>
          </w:p>
        </w:tc>
        <w:tc>
          <w:tcPr>
            <w:tcW w:w="3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(5,980)</w:t>
            </w:r>
          </w:p>
        </w:tc>
      </w:tr>
      <w:tr>
        <w:trPr>
          <w:trHeight w:val="25"/>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8"/>
        </w:trPr>
        <w:tc>
          <w:tcPr>
            <w:tcW w:w="5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48,571</w:t>
            </w:r>
          </w:p>
        </w:tc>
      </w:tr>
      <w:tr>
        <w:trPr>
          <w:trHeight w:val="232"/>
        </w:trPr>
        <w:tc>
          <w:tcPr>
            <w:tcW w:w="5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(Benefit from) provision for income taxes</w:t>
            </w:r>
          </w:p>
        </w:tc>
        <w:tc>
          <w:tcPr>
            <w:tcW w:w="3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(9,165)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27,583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9,759</w:t>
            </w:r>
          </w:p>
        </w:tc>
      </w:tr>
      <w:tr>
        <w:trPr>
          <w:trHeight w:val="25"/>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6,131</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7,716</w:t>
            </w:r>
          </w:p>
        </w:tc>
      </w:tr>
      <w:tr>
        <w:trPr>
          <w:trHeight w:val="258"/>
        </w:trPr>
        <w:tc>
          <w:tcPr>
            <w:tcW w:w="5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22"/>
                <w:szCs w:val="22"/>
                <w:color w:val="auto"/>
                <w:vertAlign w:val="superscript"/>
              </w:rPr>
              <w:t>(2)</w:t>
            </w: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(49,097)</w:t>
            </w:r>
          </w:p>
        </w:tc>
        <w:tc>
          <w:tcPr>
            <w:tcW w:w="80" w:type="dxa"/>
            <w:vAlign w:val="bottom"/>
          </w:tcPr>
          <w:p>
            <w:pPr>
              <w:spacing w:after="0"/>
              <w:rPr>
                <w:sz w:val="22"/>
                <w:szCs w:val="22"/>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3,963</w:t>
            </w:r>
          </w:p>
        </w:tc>
        <w:tc>
          <w:tcPr>
            <w:tcW w:w="80" w:type="dxa"/>
            <w:vAlign w:val="bottom"/>
          </w:tcPr>
          <w:p>
            <w:pPr>
              <w:spacing w:after="0"/>
              <w:rPr>
                <w:sz w:val="22"/>
                <w:szCs w:val="22"/>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(108,492)</w:t>
            </w:r>
          </w:p>
        </w:tc>
        <w:tc>
          <w:tcPr>
            <w:tcW w:w="100" w:type="dxa"/>
            <w:vAlign w:val="bottom"/>
          </w:tcPr>
          <w:p>
            <w:pPr>
              <w:spacing w:after="0"/>
              <w:rPr>
                <w:sz w:val="22"/>
                <w:szCs w:val="22"/>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(45,328)</w:t>
            </w:r>
          </w:p>
        </w:tc>
      </w:tr>
      <w:tr>
        <w:trPr>
          <w:trHeight w:val="238"/>
        </w:trPr>
        <w:tc>
          <w:tcPr>
            <w:tcW w:w="5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Stock-based compensation</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5,716</w:t>
            </w:r>
          </w:p>
        </w:tc>
      </w:tr>
      <w:tr>
        <w:trPr>
          <w:trHeight w:val="232"/>
        </w:trPr>
        <w:tc>
          <w:tcPr>
            <w:tcW w:w="5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Gain on retirement of debt</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(23,271)</w:t>
            </w:r>
          </w:p>
        </w:tc>
      </w:tr>
      <w:tr>
        <w:trPr>
          <w:trHeight w:val="25"/>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8"/>
        </w:trPr>
        <w:tc>
          <w:tcPr>
            <w:tcW w:w="5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Other expense (income), net</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w:t>
            </w:r>
          </w:p>
        </w:tc>
      </w:tr>
      <w:tr>
        <w:trPr>
          <w:trHeight w:val="232"/>
        </w:trPr>
        <w:tc>
          <w:tcPr>
            <w:tcW w:w="5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Loss from unconsolidated joint venture</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411</w:t>
            </w:r>
          </w:p>
        </w:tc>
      </w:tr>
      <w:tr>
        <w:trPr>
          <w:trHeight w:val="25"/>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8"/>
        </w:trPr>
        <w:tc>
          <w:tcPr>
            <w:tcW w:w="5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interests</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w:t>
            </w:r>
          </w:p>
        </w:tc>
      </w:tr>
      <w:tr>
        <w:trPr>
          <w:trHeight w:val="258"/>
        </w:trPr>
        <w:tc>
          <w:tcPr>
            <w:tcW w:w="5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Corporate costs</w:t>
            </w:r>
            <w:r>
              <w:rPr>
                <w:rFonts w:ascii="Times New Roman" w:cs="Times New Roman" w:eastAsia="Times New Roman" w:hAnsi="Times New Roman"/>
                <w:sz w:val="22"/>
                <w:szCs w:val="22"/>
                <w:color w:val="auto"/>
                <w:vertAlign w:val="superscript"/>
              </w:rPr>
              <w:t>(b)</w:t>
            </w:r>
          </w:p>
        </w:tc>
        <w:tc>
          <w:tcPr>
            <w:tcW w:w="34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(1,574)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8,658</w:t>
            </w:r>
          </w:p>
        </w:tc>
      </w:tr>
      <w:tr>
        <w:trPr>
          <w:trHeight w:val="258"/>
        </w:trPr>
        <w:tc>
          <w:tcPr>
            <w:tcW w:w="5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Debt refinancing costs</w:t>
            </w:r>
            <w:r>
              <w:rPr>
                <w:rFonts w:ascii="Times New Roman" w:cs="Times New Roman" w:eastAsia="Times New Roman" w:hAnsi="Times New Roman"/>
                <w:sz w:val="22"/>
                <w:szCs w:val="22"/>
                <w:color w:val="auto"/>
                <w:vertAlign w:val="superscript"/>
              </w:rPr>
              <w:t>(c)</w:t>
            </w:r>
          </w:p>
        </w:tc>
        <w:tc>
          <w:tcPr>
            <w:tcW w:w="3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5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Litigation Settlement costs</w:t>
            </w:r>
            <w:r>
              <w:rPr>
                <w:rFonts w:ascii="Times New Roman" w:cs="Times New Roman" w:eastAsia="Times New Roman" w:hAnsi="Times New Roman"/>
                <w:sz w:val="22"/>
                <w:szCs w:val="22"/>
                <w:color w:val="auto"/>
                <w:vertAlign w:val="superscript"/>
              </w:rPr>
              <w:t>(d)</w:t>
            </w: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5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Severance-related costs</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2,712</w:t>
            </w:r>
          </w:p>
        </w:tc>
      </w:tr>
      <w:tr>
        <w:trPr>
          <w:trHeight w:val="232"/>
        </w:trPr>
        <w:tc>
          <w:tcPr>
            <w:tcW w:w="5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Impairment of goodwill and intangible assets</w:t>
            </w:r>
          </w:p>
        </w:tc>
        <w:tc>
          <w:tcPr>
            <w:tcW w:w="3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55,295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24,174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191,816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151,755</w:t>
            </w:r>
          </w:p>
        </w:tc>
      </w:tr>
      <w:tr>
        <w:trPr>
          <w:trHeight w:val="25"/>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8"/>
        </w:trPr>
        <w:tc>
          <w:tcPr>
            <w:tcW w:w="5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loss from ceased non-core businesses initiatives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2,491</w:t>
            </w:r>
          </w:p>
        </w:tc>
      </w:tr>
      <w:tr>
        <w:trPr>
          <w:trHeight w:val="251"/>
        </w:trPr>
        <w:tc>
          <w:tcPr>
            <w:tcW w:w="5500" w:type="dxa"/>
            <w:vAlign w:val="bottom"/>
          </w:tcPr>
          <w:p>
            <w:pPr>
              <w:ind w:left="20"/>
              <w:spacing w:after="0" w:line="250"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(2)</w:t>
            </w: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15,639</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26,870</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56,657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103,463</w:t>
            </w:r>
          </w:p>
        </w:tc>
      </w:tr>
      <w:tr>
        <w:trPr>
          <w:trHeight w:val="20"/>
        </w:trPr>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160" w:hanging="157"/>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Weighted-average shares outstanding used in the computation of basic and diluted net loss to common stockholders per share have been retroactively adjusted to reflect the 1-for-10 Reverse Stock Split that occurred on January 22, 2026.</w:t>
      </w:r>
    </w:p>
    <w:p>
      <w:pPr>
        <w:spacing w:after="0" w:line="18" w:lineRule="exact"/>
        <w:rPr>
          <w:rFonts w:ascii="Times New Roman" w:cs="Times New Roman" w:eastAsia="Times New Roman" w:hAnsi="Times New Roman"/>
          <w:sz w:val="11"/>
          <w:szCs w:val="11"/>
          <w:color w:val="auto"/>
        </w:rPr>
      </w:pPr>
    </w:p>
    <w:p>
      <w:pPr>
        <w:ind w:left="160" w:hanging="157"/>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Corporate costs primarily include professional fees and other nonrecurring items related to the material weakness remediation efforts.</w:t>
      </w:r>
    </w:p>
    <w:p>
      <w:pPr>
        <w:spacing w:after="0" w:line="10" w:lineRule="exact"/>
        <w:rPr>
          <w:rFonts w:ascii="Times New Roman" w:cs="Times New Roman" w:eastAsia="Times New Roman" w:hAnsi="Times New Roman"/>
          <w:sz w:val="11"/>
          <w:szCs w:val="11"/>
          <w:color w:val="auto"/>
        </w:rPr>
      </w:pPr>
    </w:p>
    <w:p>
      <w:pPr>
        <w:ind w:left="160" w:hanging="157"/>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Debt refinancing costs include third-party transaction costs related to the First Lien Senior Secured Notes and Second Lien Senior Secured Notes.</w:t>
      </w:r>
    </w:p>
    <w:p>
      <w:pPr>
        <w:spacing w:after="0" w:line="2" w:lineRule="exact"/>
        <w:rPr>
          <w:rFonts w:ascii="Times New Roman" w:cs="Times New Roman" w:eastAsia="Times New Roman" w:hAnsi="Times New Roman"/>
          <w:sz w:val="11"/>
          <w:szCs w:val="11"/>
          <w:color w:val="auto"/>
        </w:rPr>
      </w:pPr>
    </w:p>
    <w:p>
      <w:pPr>
        <w:ind w:left="160" w:hanging="157"/>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Non-recurring litigation settlement costs include a $3.1 million charge related to the rate increase for royalties for historical periods.</w:t>
      </w:r>
    </w:p>
    <w:p>
      <w:pPr>
        <w:spacing w:after="0" w:line="6" w:lineRule="exact"/>
        <w:rPr>
          <w:rFonts w:ascii="Times New Roman" w:cs="Times New Roman" w:eastAsia="Times New Roman" w:hAnsi="Times New Roman"/>
          <w:sz w:val="11"/>
          <w:szCs w:val="11"/>
          <w:color w:val="auto"/>
        </w:rPr>
      </w:pPr>
    </w:p>
    <w:p>
      <w:pPr>
        <w:ind w:left="160" w:hanging="157"/>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Corporate selling, general and administrative expenses consists of expenses associated with our corporate headquarters and facilities, including personnel as well as other corporate overhead functions.</w:t>
      </w:r>
    </w:p>
    <w:p>
      <w:pPr>
        <w:sectPr>
          <w:pgSz w:w="11900" w:h="16838" w:orient="portrait"/>
          <w:cols w:equalWidth="0" w:num="1">
            <w:col w:w="11240"/>
          </w:cols>
          <w:pgMar w:left="320" w:top="89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1"/>
          <w:szCs w:val="21"/>
          <w:b w:val="1"/>
          <w:bCs w:val="1"/>
          <w:color w:val="auto"/>
        </w:rPr>
        <w:t>PAGE 6 -- URBAN ONE, INC. REPORTS FOURTH QUARTER 2025 RESULTS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18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r>
      <w:tr>
        <w:trPr>
          <w:trHeight w:val="182"/>
        </w:trPr>
        <w:tc>
          <w:tcPr>
            <w:tcW w:w="8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5"/>
        </w:trPr>
        <w:tc>
          <w:tcPr>
            <w:tcW w:w="84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48"/>
        </w:trPr>
        <w:tc>
          <w:tcPr>
            <w:tcW w:w="8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5"/>
          </w:tcPr>
          <w:p>
            <w:pPr>
              <w:jc w:val="right"/>
              <w:ind w:right="980"/>
              <w:spacing w:after="0" w:line="148"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77"/>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SELECTED CONSOLIDATED BALANCE SHEET DATA:</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25"/>
        </w:trPr>
        <w:tc>
          <w:tcPr>
            <w:tcW w:w="8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26,358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137,574</w:t>
            </w:r>
          </w:p>
        </w:tc>
      </w:tr>
      <w:tr>
        <w:trPr>
          <w:trHeight w:val="258"/>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r>
              <w:rPr>
                <w:rFonts w:ascii="Times New Roman" w:cs="Times New Roman" w:eastAsia="Times New Roman" w:hAnsi="Times New Roman"/>
                <w:sz w:val="22"/>
                <w:szCs w:val="22"/>
                <w:color w:val="auto"/>
                <w:vertAlign w:val="superscript"/>
              </w:rPr>
              <w:t>(a)</w:t>
            </w:r>
          </w:p>
        </w:tc>
        <w:tc>
          <w:tcPr>
            <w:tcW w:w="120" w:type="dxa"/>
            <w:vAlign w:val="bottom"/>
          </w:tcPr>
          <w:p>
            <w:pPr>
              <w:spacing w:after="0"/>
              <w:rPr>
                <w:sz w:val="22"/>
                <w:szCs w:val="22"/>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279,653</w:t>
            </w:r>
          </w:p>
        </w:tc>
        <w:tc>
          <w:tcPr>
            <w:tcW w:w="18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490,024</w:t>
            </w:r>
          </w:p>
        </w:tc>
      </w:tr>
      <w:tr>
        <w:trPr>
          <w:trHeight w:val="23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592,994</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944,790</w:t>
            </w:r>
          </w:p>
        </w:tc>
      </w:tr>
      <w:tr>
        <w:trPr>
          <w:trHeight w:val="232"/>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long-term debt, net</w:t>
            </w:r>
          </w:p>
        </w:tc>
        <w:tc>
          <w:tcPr>
            <w:tcW w:w="1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429,742</w:t>
            </w:r>
          </w:p>
        </w:tc>
        <w:tc>
          <w:tcPr>
            <w:tcW w:w="18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579,069</w:t>
            </w:r>
          </w:p>
        </w:tc>
      </w:tr>
      <w:tr>
        <w:trPr>
          <w:trHeight w:val="25"/>
        </w:trPr>
        <w:tc>
          <w:tcPr>
            <w:tcW w:w="8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565,760</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765,857</w:t>
            </w:r>
          </w:p>
        </w:tc>
      </w:tr>
      <w:tr>
        <w:trPr>
          <w:trHeight w:val="232"/>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24,603</w:t>
            </w:r>
          </w:p>
        </w:tc>
        <w:tc>
          <w:tcPr>
            <w:tcW w:w="18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170,945</w:t>
            </w:r>
          </w:p>
        </w:tc>
      </w:tr>
      <w:tr>
        <w:trPr>
          <w:trHeight w:val="25"/>
        </w:trPr>
        <w:tc>
          <w:tcPr>
            <w:tcW w:w="8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2"/>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Redeemable non-controlling interests</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2,631</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7,988</w:t>
            </w:r>
          </w:p>
        </w:tc>
      </w:tr>
      <w:tr>
        <w:trPr>
          <w:trHeight w:val="25"/>
        </w:trPr>
        <w:tc>
          <w:tcPr>
            <w:tcW w:w="8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41" w:lineRule="exact"/>
        <w:rPr>
          <w:sz w:val="20"/>
          <w:szCs w:val="20"/>
          <w:color w:val="auto"/>
        </w:rPr>
      </w:pPr>
    </w:p>
    <w:p>
      <w:pPr>
        <w:ind w:left="140" w:hanging="137"/>
        <w:spacing w:after="0"/>
        <w:tabs>
          <w:tab w:leader="none" w:pos="14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Intangible assets, net includes Goodwill, net, Radio Broadcasting Licenses, net, Other Intangible Assets, net, and Current Portion of Launch Assets, net.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100" w:type="dxa"/>
            <w:vAlign w:val="bottom"/>
          </w:tcPr>
          <w:p>
            <w:pPr>
              <w:spacing w:after="0"/>
              <w:rPr>
                <w:sz w:val="13"/>
                <w:szCs w:val="13"/>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c>
          <w:tcPr>
            <w:tcW w:w="0" w:type="dxa"/>
            <w:vAlign w:val="bottom"/>
          </w:tcPr>
          <w:p>
            <w:pPr>
              <w:spacing w:after="0"/>
              <w:rPr>
                <w:sz w:val="1"/>
                <w:szCs w:val="1"/>
                <w:color w:val="auto"/>
              </w:rPr>
            </w:pPr>
          </w:p>
        </w:tc>
      </w:tr>
      <w:tr>
        <w:trPr>
          <w:trHeight w:val="182"/>
        </w:trPr>
        <w:tc>
          <w:tcPr>
            <w:tcW w:w="8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48"/>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SELECTED LEVERAGE DATA:</w:t>
            </w: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4"/>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8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Borders>
              <w:bottom w:val="single" w:sz="8" w:color="auto"/>
            </w:tcBorders>
            <w:gridSpan w:val="4"/>
          </w:tcPr>
          <w:p>
            <w:pPr>
              <w:spacing w:after="0" w:line="135"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8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10.500% First Lien Senior Secured Notes due 2030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60,600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7.625% Second Lien Secured Notes due 2031</w:t>
            </w:r>
          </w:p>
        </w:tc>
        <w:tc>
          <w:tcPr>
            <w:tcW w:w="1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291,020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8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7.375% senior secured notes due February 2028</w:t>
            </w:r>
            <w:r>
              <w:rPr>
                <w:rFonts w:ascii="Times New Roman" w:cs="Times New Roman" w:eastAsia="Times New Roman" w:hAnsi="Times New Roman"/>
                <w:sz w:val="22"/>
                <w:szCs w:val="22"/>
                <w:color w:val="auto"/>
                <w:vertAlign w:val="superscript"/>
              </w:rPr>
              <w:t>(b)</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584,575</w:t>
            </w:r>
          </w:p>
        </w:tc>
        <w:tc>
          <w:tcPr>
            <w:tcW w:w="0" w:type="dxa"/>
            <w:vAlign w:val="bottom"/>
          </w:tcPr>
          <w:p>
            <w:pPr>
              <w:spacing w:after="0"/>
              <w:rPr>
                <w:sz w:val="1"/>
                <w:szCs w:val="1"/>
                <w:color w:val="auto"/>
              </w:rPr>
            </w:pPr>
          </w:p>
        </w:tc>
      </w:tr>
      <w:tr>
        <w:trPr>
          <w:trHeight w:val="232"/>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Unamortized debt issuance costs</w:t>
            </w:r>
          </w:p>
        </w:tc>
        <w:tc>
          <w:tcPr>
            <w:tcW w:w="1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(5,506)</w:t>
            </w:r>
          </w:p>
        </w:tc>
        <w:tc>
          <w:tcPr>
            <w:tcW w:w="0" w:type="dxa"/>
            <w:vAlign w:val="bottom"/>
          </w:tcPr>
          <w:p>
            <w:pPr>
              <w:spacing w:after="0"/>
              <w:rPr>
                <w:sz w:val="1"/>
                <w:szCs w:val="1"/>
                <w:color w:val="auto"/>
              </w:rPr>
            </w:pPr>
          </w:p>
        </w:tc>
      </w:tr>
      <w:tr>
        <w:trPr>
          <w:trHeight w:val="25"/>
        </w:trPr>
        <w:tc>
          <w:tcPr>
            <w:tcW w:w="8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Premium</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69,174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429,742</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579,069</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 Subsequent to the effectiveness of the supplemental indenture on December 18, 2025, these notes are no longer secured. While these notes are styled as senior secured notes they are no longer secured by collateral.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Refinancing</w:t>
      </w:r>
    </w:p>
    <w:p>
      <w:pPr>
        <w:spacing w:after="0" w:line="221"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 xml:space="preserve">The Company performed an assessment of the 2025 Refinancing and determined it met the criteria of a troubled debt restructuring under Accounting Standards Codification No. 470-60, </w:t>
      </w:r>
      <w:r>
        <w:rPr>
          <w:rFonts w:ascii="Times New Roman" w:cs="Times New Roman" w:eastAsia="Times New Roman" w:hAnsi="Times New Roman"/>
          <w:sz w:val="17"/>
          <w:szCs w:val="17"/>
          <w:i w:val="1"/>
          <w:iCs w:val="1"/>
          <w:color w:val="auto"/>
        </w:rPr>
        <w:t>Troubled Debt Restructurings by Debtors</w:t>
      </w:r>
      <w:r>
        <w:rPr>
          <w:rFonts w:ascii="Times New Roman" w:cs="Times New Roman" w:eastAsia="Times New Roman" w:hAnsi="Times New Roman"/>
          <w:sz w:val="17"/>
          <w:szCs w:val="17"/>
          <w:color w:val="auto"/>
        </w:rPr>
        <w:t xml:space="preserve"> ("ASU 470-60"). For each series of the 2028 Notes exchanged, the undiscounted future cash flows associated with the 2030 First Lien Notes and 2031 Second Lien Notes were compared to the carrying value of the 2028 Notes, including deferred issuance costs. As the undiscounted cash flows associated with the 2030 First Lien Notes and 2031 Second Lien Notes exceeded the carrying value of the applicable 2028 Notes exchanged, no gain was recorded.</w:t>
      </w:r>
    </w:p>
    <w:p>
      <w:pPr>
        <w:spacing w:after="0" w:line="17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In accordance with ASU 470-60, the carrying value of the 2030 First Lien Notes and 2031 Second Lien Notes was established at the carrying value of the applicable 2028 Notes. The difference between the principal amount of the 2031 Second Lien Notes and 2030 First Lien Notes and the carrying value of the applicable 2028 Notes was recorded as a premium and is included in long-term debt, net on the Company’s consolidated balance sheets. The Company recorded a premium of approximately $69.2 million on the 2031 Second Lien Notes and 2030 First Lien Notes as the difference between the principal balance of the 2031 Second Lien Notes and 2030 First Lien Notes and the carrying value of the 2028 Notes exchanged.</w:t>
      </w:r>
    </w:p>
    <w:p>
      <w:pPr>
        <w:spacing w:after="0" w:line="175"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 premium will result in interest expense being recognized at an effective interest rate of approximately 2.68% and 3.91% through the term of the 2030 First Lien Notes and 2031 Second Lien Notes. The difference in the contractual interest payments and interest expense will reduce the premium.</w:t>
      </w:r>
    </w:p>
    <w:p>
      <w:pPr>
        <w:sectPr>
          <w:pgSz w:w="11900" w:h="16838" w:orient="portrait"/>
          <w:cols w:equalWidth="0" w:num="1">
            <w:col w:w="11240"/>
          </w:cols>
          <w:pgMar w:left="320" w:top="110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21"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This press release includes forward-looking statements within the meaning of Section 27A of the Securities Act of 1933 and Section 21E of the Securities Exchange Act of 1934. Forward-looking statements represent management's current expectations and are based upon information available to Urban One at the time of this release. These forward-looking statements involve known and unknown risks, uncertainties, and other factors, some of which are beyond Urban One's control, which may cause the actual results to differ materially from any future results, performance or achievements expressed or implied by such forward-looking statements. Important factors that could cause actual results to differ materially are described in Urban One’s reports on Forms 10-K, 10-Q, 8-K and other filings with the Securities and Exchange Commission (the “SEC”). Urban One does not undertake any duty to update any forward-looking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PAGE 7 -- URBAN ONE, INC. REPORTS FOURTH QUARTER 2025 RESULTS</w:t>
      </w:r>
    </w:p>
    <w:p>
      <w:pPr>
        <w:spacing w:after="0" w:line="210"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For the three months ended December 31, 2025, we recognized approximately $97.8 million in net revenue compared to approximately $117.1 million during the three months ended December 31, 2024. These amounts are net of agency commissions. We recognized approximately $35.1 million of revenue from our Radio Broadcasting segment during the three months ended December 31, 2025, compared to approximately $47.7 million for the three months ended December 31, 2024, a decrease of approximately $12.6 million, primarily driven by non-returning political revenues of $8.8 million and weaker overall market demand from the national and local advertisers. We recognized approximately $13.8 million of revenue from our Reach Media segment during the three months ended December 31, 2025, compared to approximately $9.6 million for the three months ended December 31, 2024, an increase of approximately $4.2 million. The increase was primarily driven by an increase in event revenue due to the timing of the Fantastic Voyage Cruise in the fourth quarter of 2025 vs. the second quarter of 2024. We recognized approximately $14.7 million of revenue from our Digital segment during the three months ended December 31, 2025, compared to approximately $18.3 million during the three months ended December 31, 2024, a decrease of approximately $3.6 million. The decrease was primarily driven by the decrease in direct revenue streams and political revenue. We recognized approximately $34.9 million of revenue from our Cable Television segment during the three months ended December 31, 2025, compared to approximately $42.0 million during the three months ended December 31, 2024, a decrease of approximately $7.1 million. The decrease was primarily driven by the churn of subscribers and lower advertising sales.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charts indicate the sources of our net revenues for the three months and year ended December 31, 2025:</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00" w:type="dxa"/>
            <w:vAlign w:val="bottom"/>
          </w:tcPr>
          <w:p>
            <w:pPr>
              <w:spacing w:after="0"/>
              <w:rPr>
                <w:sz w:val="15"/>
                <w:szCs w:val="15"/>
                <w:color w:val="auto"/>
              </w:rPr>
            </w:pPr>
          </w:p>
        </w:tc>
        <w:tc>
          <w:tcPr>
            <w:tcW w:w="30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53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5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300" w:type="dxa"/>
            <w:vAlign w:val="bottom"/>
            <w:vMerge w:val="continue"/>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unaudited)</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5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Radio advertising</w:t>
            </w: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37,054</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43,978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(6,924)</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32"/>
        </w:trPr>
        <w:tc>
          <w:tcPr>
            <w:tcW w:w="5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Political advertising</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13,479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(12,643)</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5"/>
        </w:trPr>
        <w:tc>
          <w:tcPr>
            <w:tcW w:w="5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Digital advertising</w:t>
            </w:r>
            <w:r>
              <w:rPr>
                <w:rFonts w:ascii="Times New Roman" w:cs="Times New Roman" w:eastAsia="Times New Roman" w:hAnsi="Times New Roman"/>
                <w:sz w:val="22"/>
                <w:szCs w:val="22"/>
                <w:color w:val="auto"/>
                <w:vertAlign w:val="superscript"/>
              </w:rPr>
              <w:t>(a)</w:t>
            </w:r>
          </w:p>
        </w:tc>
        <w:tc>
          <w:tcPr>
            <w:tcW w:w="8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14,681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58"/>
        </w:trPr>
        <w:tc>
          <w:tcPr>
            <w:tcW w:w="5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Cable Television advertising</w:t>
            </w:r>
            <w:r>
              <w:rPr>
                <w:rFonts w:ascii="Times New Roman" w:cs="Times New Roman" w:eastAsia="Times New Roman" w:hAnsi="Times New Roman"/>
                <w:sz w:val="22"/>
                <w:szCs w:val="22"/>
                <w:color w:val="auto"/>
                <w:vertAlign w:val="superscript"/>
              </w:rPr>
              <w:t>(a)</w:t>
            </w:r>
          </w:p>
        </w:tc>
        <w:tc>
          <w:tcPr>
            <w:tcW w:w="8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18,334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23,453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(5,119)</w:t>
            </w:r>
          </w:p>
        </w:tc>
        <w:tc>
          <w:tcPr>
            <w:tcW w:w="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38"/>
        </w:trPr>
        <w:tc>
          <w:tcPr>
            <w:tcW w:w="5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Cable Television affiliate fees</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16,532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(1,629)</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32"/>
        </w:trPr>
        <w:tc>
          <w:tcPr>
            <w:tcW w:w="5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Event revenues &amp; other</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10,391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8,190</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5"/>
        </w:trPr>
        <w:tc>
          <w:tcPr>
            <w:tcW w:w="53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97,828</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117,127</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(19,299)</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099"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80" w:type="dxa"/>
            <w:vAlign w:val="bottom"/>
          </w:tcPr>
          <w:p>
            <w:pPr>
              <w:spacing w:after="0"/>
              <w:rPr>
                <w:sz w:val="15"/>
                <w:szCs w:val="15"/>
                <w:color w:val="auto"/>
              </w:rPr>
            </w:pPr>
          </w:p>
        </w:tc>
        <w:tc>
          <w:tcPr>
            <w:tcW w:w="302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52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5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280" w:type="dxa"/>
            <w:vAlign w:val="bottom"/>
            <w:vMerge w:val="continue"/>
          </w:tcPr>
          <w:p>
            <w:pPr>
              <w:spacing w:after="0"/>
              <w:rPr>
                <w:sz w:val="22"/>
                <w:szCs w:val="22"/>
                <w:color w:val="auto"/>
              </w:rPr>
            </w:pP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5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Radio advertising</w:t>
            </w: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150,021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175,731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(25,710)</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32"/>
        </w:trPr>
        <w:tc>
          <w:tcPr>
            <w:tcW w:w="5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Political advertising</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20,439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(19,009)</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5"/>
        </w:trPr>
        <w:tc>
          <w:tcPr>
            <w:tcW w:w="5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Digital advertising</w:t>
            </w:r>
            <w:r>
              <w:rPr>
                <w:rFonts w:ascii="Times New Roman" w:cs="Times New Roman" w:eastAsia="Times New Roman" w:hAnsi="Times New Roman"/>
                <w:sz w:val="22"/>
                <w:szCs w:val="22"/>
                <w:color w:val="auto"/>
                <w:vertAlign w:val="superscript"/>
              </w:rPr>
              <w:t>(a)</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47,829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59,064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(11,235)</w:t>
            </w: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58"/>
        </w:trPr>
        <w:tc>
          <w:tcPr>
            <w:tcW w:w="5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Cable Television advertising</w:t>
            </w:r>
            <w:r>
              <w:rPr>
                <w:rFonts w:ascii="Times New Roman" w:cs="Times New Roman" w:eastAsia="Times New Roman" w:hAnsi="Times New Roman"/>
                <w:sz w:val="22"/>
                <w:szCs w:val="22"/>
                <w:color w:val="auto"/>
                <w:vertAlign w:val="superscript"/>
              </w:rPr>
              <w:t>(a)</w:t>
            </w:r>
          </w:p>
        </w:tc>
        <w:tc>
          <w:tcPr>
            <w:tcW w:w="8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98,532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(9,122)</w:t>
            </w:r>
          </w:p>
        </w:tc>
        <w:tc>
          <w:tcPr>
            <w:tcW w:w="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38"/>
        </w:trPr>
        <w:tc>
          <w:tcPr>
            <w:tcW w:w="5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Cable Television affiliate fees</w:t>
            </w:r>
          </w:p>
        </w:tc>
        <w:tc>
          <w:tcPr>
            <w:tcW w:w="8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77,071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(7,672)</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32"/>
        </w:trPr>
        <w:tc>
          <w:tcPr>
            <w:tcW w:w="5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Event revenues &amp; other</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(2,555)</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25"/>
        </w:trPr>
        <w:tc>
          <w:tcPr>
            <w:tcW w:w="52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374,371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449,674</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(75,303)</w:t>
            </w: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firstLine="3"/>
        <w:spacing w:after="0"/>
        <w:tabs>
          <w:tab w:leader="none" w:pos="127"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Effective January 1, 2025, segment information for the prior periods has been recast to include reclassification of a portion of revenues from our CTV offering from the Digital segment to the Cable Television segment.</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ectPr>
          <w:pgSz w:w="11900" w:h="16838" w:orient="portrait"/>
          <w:cols w:equalWidth="0" w:num="1">
            <w:col w:w="11240"/>
          </w:cols>
          <w:pgMar w:left="320" w:top="114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1"/>
          <w:szCs w:val="21"/>
          <w:b w:val="1"/>
          <w:bCs w:val="1"/>
          <w:color w:val="auto"/>
        </w:rPr>
        <w:t>PAGE 8 -- URBAN ONE, INC. REPORTS FOURTH QUARTER 2025 RESULTS</w:t>
      </w:r>
    </w:p>
    <w:p>
      <w:pPr>
        <w:spacing w:after="0" w:line="210"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Operating expenses, excluding depreciation and amortization, stock-based compensation, and impairment of goodwill and intangible assets, were approximately $90.2 million for the three months ended December 31, 2025, compared to approximately $91.1 million for the comparable period in 2024. Operating expenses in the three months ended December 31, 2025 include $7.7 million of debt refinancing costs as well as $6.7 million of expenses related to the Fantastic Voyage cruise, which took place in the fourth quarter of 2025 vs. the second quarter of 2024. Excluding these expense items, operating expenses were down by approximately 17.0%, driven mainly by revenue-related variable expenses such as commissions, sales rep fees, traffic acquisition costs as well as headcount related costs and third-party professional fees.</w:t>
      </w:r>
    </w:p>
    <w:p>
      <w:pPr>
        <w:spacing w:after="0" w:line="96"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Impairment of goodwill and intangible assets was approximately $55.3 million during the three months ended December 31, 2025, compared to $24.2 million for the three months ended December 31, 2024. The impairment loss of $55.3 million during the three months ended December 31, 2025 consists of impairment losses of $0.5 million within the Reach Media reporting unit, $53.1 million within the Cable Television reporting unit and $1.7 million within the Digital reporting unit.</w:t>
      </w:r>
    </w:p>
    <w:p>
      <w:pPr>
        <w:spacing w:after="0" w:line="81"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Depreciation and amortization expense was approximately $6.1 million for the three months ended December 31, 2025, compared to approximately $1.6 million for the three months ended December 31, 2024, an increase of approximately $4.5 million which is primarily driven by the additional TV One Trade Name and radio broadcasting license amortization of approximately $4.4 million.</w:t>
      </w:r>
    </w:p>
    <w:p>
      <w:pPr>
        <w:spacing w:after="0" w:line="75"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Interest and investment income was approximately $0.4 million for the three months ended December 31, 2025, compared to approximately $1.1 million for the three months ended December 31, 2024. The decrease was driven by lower cash and cash equivalents balances in interest bearing accounts during the three months ended December 31, 2025, than in the corresponding period in 2024.</w:t>
      </w:r>
    </w:p>
    <w:p>
      <w:pPr>
        <w:spacing w:after="0" w:line="88"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Interest expense was approximately $8.7 million for the three months ended December 31, 2025, compared to approximately $11.5 million for the three months ended December 31, 2024, a decrease of approximately $2.8 million. The decrease was driven by lower outstanding balance of the 2028 Notes due to repurchases of approximately $96.7 million of its 2028 Notes at an average price of approximately 53.6% of par, during the first nine months in 2025.</w:t>
      </w:r>
    </w:p>
    <w:p>
      <w:pPr>
        <w:spacing w:after="0" w:line="7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For the three months ended December 31, 2025, we recorded a benefit from income taxes of approximately $9.2 million on the pre-tax loss of approximately $63.5 million resulting with an annual effective tax rate of 14.4%. The difference between the effective rate and the Company’s statutory rate relates primarily to the effect of state taxes, changes in our valuation allowance, and permanent differences associated with non-deductible expenses. For the three months ended December 31, 2024, we recorded a benefit from income taxes of approximately $27.6 million on pre-tax loss of approximately $7.8 million resulting with an annual effective tax rate of 352.0%.</w:t>
      </w:r>
    </w:p>
    <w:p>
      <w:pPr>
        <w:spacing w:after="0" w:line="175"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Other pertinent financial information includes capital expenditures of approximately $3.2 million and $1.3 million for the three months ended December 31, 2025 and 2024, respectively. The increase in capital expenditure is driven by the build-out of a studio in the Indianapolis radio market.</w:t>
      </w:r>
    </w:p>
    <w:p>
      <w:pPr>
        <w:spacing w:after="0" w:line="151"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During the three months ended December 31, 2025, the Company did not repurchase any shares of Class A Common Stock. During the three months ended December 31, 2025, the Company repurchased 13,773 shares of Class D Common Stock in the amount of approximately $0.1 million at an average price of $8.20 per share. During the three months ended December 31, 2024, the Company repurchased 138,654 shares of Class A Common Stock in the amount of approximately $2.1 million at an average price of $15.02 per share, of which 90,889 shares of Class A were held in treasury stock as of December 31, 2024. During the three months ended December 31, 2024, the Company repurchased 70,329 shares of Class D Common Stock in the amount of approximately $0.7 million at an average price of $10.22 per share. All share information and average share prices have been retroactively adjusted to reflect the 1-for-10 Reverse Stock Split that occurred on January 22,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Financial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comparative purposes, the following more detailed statements of operations for the three months December 31, 2025 are included.</w:t>
      </w:r>
    </w:p>
    <w:p>
      <w:pPr>
        <w:sectPr>
          <w:pgSz w:w="11900" w:h="16838" w:orient="portrait"/>
          <w:cols w:equalWidth="0" w:num="1">
            <w:col w:w="11240"/>
          </w:cols>
          <w:pgMar w:left="320" w:top="110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1"/>
          <w:szCs w:val="21"/>
          <w:b w:val="1"/>
          <w:bCs w:val="1"/>
          <w:color w:val="auto"/>
        </w:rPr>
        <w:t>PAGE 9 -- URBAN ONE, INC. REPORTS FOURTH QUARTER 2025 RESULTS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Three Months Ended December 31, 2025</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0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4"/>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7"/>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w w:val="98"/>
              </w:rPr>
              <w:t>(in thousands, unaudited)</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7"/>
              </w:rPr>
              <w:t>All Other -</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Radio</w:t>
            </w:r>
          </w:p>
        </w:tc>
        <w:tc>
          <w:tcPr>
            <w:tcW w:w="120" w:type="dxa"/>
            <w:vAlign w:val="bottom"/>
          </w:tcPr>
          <w:p>
            <w:pPr>
              <w:spacing w:after="0"/>
              <w:rPr>
                <w:sz w:val="17"/>
                <w:szCs w:val="17"/>
                <w:color w:val="auto"/>
              </w:rPr>
            </w:pPr>
          </w:p>
        </w:tc>
        <w:tc>
          <w:tcPr>
            <w:tcW w:w="12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Reach</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Cable</w:t>
            </w:r>
          </w:p>
        </w:tc>
        <w:tc>
          <w:tcPr>
            <w:tcW w:w="180" w:type="dxa"/>
            <w:vAlign w:val="bottom"/>
          </w:tcPr>
          <w:p>
            <w:pPr>
              <w:spacing w:after="0"/>
              <w:rPr>
                <w:sz w:val="17"/>
                <w:szCs w:val="17"/>
                <w:color w:val="auto"/>
              </w:rPr>
            </w:pPr>
          </w:p>
        </w:tc>
        <w:tc>
          <w:tcPr>
            <w:tcW w:w="11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6"/>
              </w:rPr>
              <w:t>Corporate/</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Broadcasting</w:t>
            </w:r>
          </w:p>
        </w:tc>
        <w:tc>
          <w:tcPr>
            <w:tcW w:w="120" w:type="dxa"/>
            <w:vAlign w:val="bottom"/>
          </w:tcPr>
          <w:p>
            <w:pPr>
              <w:spacing w:after="0"/>
              <w:rPr>
                <w:sz w:val="17"/>
                <w:szCs w:val="17"/>
                <w:color w:val="auto"/>
              </w:rPr>
            </w:pPr>
          </w:p>
        </w:tc>
        <w:tc>
          <w:tcPr>
            <w:tcW w:w="12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Media</w:t>
            </w:r>
          </w:p>
        </w:tc>
        <w:tc>
          <w:tcPr>
            <w:tcW w:w="280" w:type="dxa"/>
            <w:vAlign w:val="bottom"/>
          </w:tcPr>
          <w:p>
            <w:pPr>
              <w:spacing w:after="0"/>
              <w:rPr>
                <w:sz w:val="17"/>
                <w:szCs w:val="17"/>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Digital</w:t>
            </w: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Television</w:t>
            </w:r>
          </w:p>
        </w:tc>
        <w:tc>
          <w:tcPr>
            <w:tcW w:w="180" w:type="dxa"/>
            <w:vAlign w:val="bottom"/>
          </w:tcPr>
          <w:p>
            <w:pPr>
              <w:spacing w:after="0"/>
              <w:rPr>
                <w:sz w:val="17"/>
                <w:szCs w:val="17"/>
                <w:color w:val="auto"/>
              </w:rPr>
            </w:pPr>
          </w:p>
        </w:tc>
        <w:tc>
          <w:tcPr>
            <w:tcW w:w="11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0" w:type="dxa"/>
            <w:vAlign w:val="bottom"/>
          </w:tcPr>
          <w:p>
            <w:pPr>
              <w:spacing w:after="0"/>
              <w:rPr>
                <w:sz w:val="1"/>
                <w:szCs w:val="1"/>
                <w:color w:val="auto"/>
              </w:rPr>
            </w:pP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0" w:type="dxa"/>
            <w:vAlign w:val="bottom"/>
          </w:tcPr>
          <w:p>
            <w:pPr>
              <w:spacing w:after="0"/>
              <w:rPr>
                <w:sz w:val="1"/>
                <w:szCs w:val="1"/>
                <w:color w:val="auto"/>
              </w:rPr>
            </w:pPr>
          </w:p>
        </w:tc>
      </w:tr>
      <w:tr>
        <w:trPr>
          <w:trHeight w:val="232"/>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Programming and technical</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0" w:type="dxa"/>
            <w:vAlign w:val="bottom"/>
          </w:tcPr>
          <w:p>
            <w:pPr>
              <w:spacing w:after="0"/>
              <w:rPr>
                <w:sz w:val="1"/>
                <w:szCs w:val="1"/>
                <w:color w:val="auto"/>
              </w:rPr>
            </w:pPr>
          </w:p>
        </w:tc>
      </w:tr>
      <w:tr>
        <w:trPr>
          <w:trHeight w:val="258"/>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r>
              <w:rPr>
                <w:rFonts w:ascii="Times New Roman" w:cs="Times New Roman" w:eastAsia="Times New Roman" w:hAnsi="Times New Roman"/>
                <w:sz w:val="22"/>
                <w:szCs w:val="22"/>
                <w:color w:val="auto"/>
                <w:vertAlign w:val="superscript"/>
              </w:rPr>
              <w:t>(a)</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9,943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9,313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12,585</w:t>
            </w:r>
          </w:p>
        </w:tc>
        <w:tc>
          <w:tcPr>
            <w:tcW w:w="0" w:type="dxa"/>
            <w:vAlign w:val="bottom"/>
          </w:tcPr>
          <w:p>
            <w:pPr>
              <w:spacing w:after="0"/>
              <w:rPr>
                <w:sz w:val="1"/>
                <w:szCs w:val="1"/>
                <w:color w:val="auto"/>
              </w:rPr>
            </w:pPr>
          </w:p>
        </w:tc>
      </w:tr>
      <w:tr>
        <w:trPr>
          <w:trHeight w:val="23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32"/>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of goodwill and intangible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151,873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31,138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13,452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14,987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79,517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12,779</w:t>
            </w:r>
          </w:p>
        </w:tc>
        <w:tc>
          <w:tcPr>
            <w:tcW w:w="0" w:type="dxa"/>
            <w:vAlign w:val="bottom"/>
          </w:tcPr>
          <w:p>
            <w:pPr>
              <w:spacing w:after="0"/>
              <w:rPr>
                <w:sz w:val="1"/>
                <w:szCs w:val="1"/>
                <w:color w:val="auto"/>
              </w:rPr>
            </w:pPr>
          </w:p>
        </w:tc>
      </w:tr>
      <w:tr>
        <w:trPr>
          <w:trHeight w:val="25"/>
        </w:trPr>
        <w:tc>
          <w:tcPr>
            <w:tcW w:w="3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(loss) income</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(13,468)</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AND INVESTMENT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(8,728)</w:t>
            </w:r>
          </w:p>
        </w:tc>
        <w:tc>
          <w:tcPr>
            <w:tcW w:w="0" w:type="dxa"/>
            <w:vAlign w:val="bottom"/>
          </w:tcPr>
          <w:p>
            <w:pPr>
              <w:spacing w:after="0"/>
              <w:rPr>
                <w:sz w:val="1"/>
                <w:szCs w:val="1"/>
                <w:color w:val="auto"/>
              </w:rPr>
            </w:pPr>
          </w:p>
        </w:tc>
      </w:tr>
      <w:tr>
        <w:trPr>
          <w:trHeight w:val="232"/>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0" w:type="dxa"/>
            <w:vAlign w:val="bottom"/>
          </w:tcPr>
          <w:p>
            <w:pPr>
              <w:spacing w:after="0"/>
              <w:rPr>
                <w:sz w:val="1"/>
                <w:szCs w:val="1"/>
                <w:color w:val="auto"/>
              </w:rPr>
            </w:pPr>
          </w:p>
        </w:tc>
      </w:tr>
      <w:tr>
        <w:trPr>
          <w:trHeight w:val="25"/>
        </w:trPr>
        <w:tc>
          <w:tcPr>
            <w:tcW w:w="3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income from consolidated operations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before benefit from (provision for) income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taxes</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(63,515)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(44,576)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(22,472)</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 FROM (PROVISION FOR)</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3,847</w:t>
            </w:r>
          </w:p>
        </w:tc>
        <w:tc>
          <w:tcPr>
            <w:tcW w:w="0" w:type="dxa"/>
            <w:vAlign w:val="bottom"/>
          </w:tcPr>
          <w:p>
            <w:pPr>
              <w:spacing w:after="0"/>
              <w:rPr>
                <w:sz w:val="1"/>
                <w:szCs w:val="1"/>
                <w:color w:val="auto"/>
              </w:rPr>
            </w:pPr>
          </w:p>
        </w:tc>
      </w:tr>
      <w:tr>
        <w:trPr>
          <w:trHeight w:val="25"/>
        </w:trPr>
        <w:tc>
          <w:tcPr>
            <w:tcW w:w="3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(18,625)</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3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 ATTRIBUTABLE</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(54,395)</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(34,912)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(18,625)</w:t>
            </w:r>
          </w:p>
        </w:tc>
        <w:tc>
          <w:tcPr>
            <w:tcW w:w="0" w:type="dxa"/>
            <w:vAlign w:val="bottom"/>
          </w:tcPr>
          <w:p>
            <w:pPr>
              <w:spacing w:after="0"/>
              <w:rPr>
                <w:sz w:val="1"/>
                <w:szCs w:val="1"/>
                <w:color w:val="auto"/>
              </w:rPr>
            </w:pPr>
          </w:p>
        </w:tc>
      </w:tr>
      <w:tr>
        <w:trPr>
          <w:trHeight w:val="243"/>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 COMMON STOCKHOLDERS</w:t>
            </w: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gridSpan w:val="2"/>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gridSpan w:val="2"/>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08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15,639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8,699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1,808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120" w:hanging="117"/>
        <w:spacing w:after="0"/>
        <w:tabs>
          <w:tab w:leader="none" w:pos="12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Corporate selling, general and administrative expenses have been collapsed with Selling, general and administrative expenses in the consolidated statements of operations.</w:t>
      </w:r>
    </w:p>
    <w:p>
      <w:pPr>
        <w:sectPr>
          <w:pgSz w:w="11900" w:h="16838" w:orient="portrait"/>
          <w:cols w:equalWidth="0" w:num="1">
            <w:col w:w="11240"/>
          </w:cols>
          <w:pgMar w:left="320" w:top="110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1"/>
          <w:szCs w:val="21"/>
          <w:b w:val="1"/>
          <w:bCs w:val="1"/>
          <w:color w:val="auto"/>
        </w:rPr>
        <w:t>PAGE 10 -- URBAN ONE, INC. REPORTS FOURTH QUARTER 2025 RESULTS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Three Months Ended December 31, 2024</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4"/>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40" w:type="dxa"/>
            <w:vAlign w:val="bottom"/>
            <w:gridSpan w:val="6"/>
          </w:tcPr>
          <w:p>
            <w:pPr>
              <w:jc w:val="center"/>
              <w:ind w:right="640"/>
              <w:spacing w:after="0" w:line="148" w:lineRule="exact"/>
              <w:rPr>
                <w:sz w:val="20"/>
                <w:szCs w:val="20"/>
                <w:color w:val="auto"/>
              </w:rPr>
            </w:pPr>
            <w:r>
              <w:rPr>
                <w:rFonts w:ascii="Times New Roman" w:cs="Times New Roman" w:eastAsia="Times New Roman" w:hAnsi="Times New Roman"/>
                <w:sz w:val="14"/>
                <w:szCs w:val="14"/>
                <w:b w:val="1"/>
                <w:bCs w:val="1"/>
                <w:color w:val="auto"/>
                <w:w w:val="98"/>
              </w:rPr>
              <w:t>(in thousands, unaudited)</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7"/>
              </w:rPr>
              <w:t>All Other -</w:t>
            </w:r>
          </w:p>
        </w:tc>
        <w:tc>
          <w:tcPr>
            <w:tcW w:w="0" w:type="dxa"/>
            <w:vAlign w:val="bottom"/>
          </w:tcPr>
          <w:p>
            <w:pPr>
              <w:spacing w:after="0"/>
              <w:rPr>
                <w:sz w:val="1"/>
                <w:szCs w:val="1"/>
                <w:color w:val="auto"/>
              </w:rPr>
            </w:pPr>
          </w:p>
        </w:tc>
      </w:tr>
      <w:tr>
        <w:trPr>
          <w:trHeight w:val="206"/>
        </w:trPr>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Radio</w:t>
            </w:r>
          </w:p>
        </w:tc>
        <w:tc>
          <w:tcPr>
            <w:tcW w:w="100" w:type="dxa"/>
            <w:vAlign w:val="bottom"/>
          </w:tcPr>
          <w:p>
            <w:pPr>
              <w:spacing w:after="0"/>
              <w:rPr>
                <w:sz w:val="17"/>
                <w:szCs w:val="17"/>
                <w:color w:val="auto"/>
              </w:rPr>
            </w:pPr>
          </w:p>
        </w:tc>
        <w:tc>
          <w:tcPr>
            <w:tcW w:w="12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Reach</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Cable</w:t>
            </w:r>
          </w:p>
        </w:tc>
        <w:tc>
          <w:tcPr>
            <w:tcW w:w="200" w:type="dxa"/>
            <w:vAlign w:val="bottom"/>
          </w:tcPr>
          <w:p>
            <w:pPr>
              <w:spacing w:after="0"/>
              <w:rPr>
                <w:sz w:val="17"/>
                <w:szCs w:val="17"/>
                <w:color w:val="auto"/>
              </w:rPr>
            </w:pPr>
          </w:p>
        </w:tc>
        <w:tc>
          <w:tcPr>
            <w:tcW w:w="10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Broadcasting</w:t>
            </w:r>
          </w:p>
        </w:tc>
        <w:tc>
          <w:tcPr>
            <w:tcW w:w="100" w:type="dxa"/>
            <w:vAlign w:val="bottom"/>
          </w:tcPr>
          <w:p>
            <w:pPr>
              <w:spacing w:after="0"/>
              <w:rPr>
                <w:sz w:val="19"/>
                <w:szCs w:val="19"/>
                <w:color w:val="auto"/>
              </w:rPr>
            </w:pPr>
          </w:p>
        </w:tc>
        <w:tc>
          <w:tcPr>
            <w:tcW w:w="12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Media</w:t>
            </w:r>
          </w:p>
        </w:tc>
        <w:tc>
          <w:tcPr>
            <w:tcW w:w="240" w:type="dxa"/>
            <w:vAlign w:val="bottom"/>
          </w:tcPr>
          <w:p>
            <w:pPr>
              <w:spacing w:after="0"/>
              <w:rPr>
                <w:sz w:val="19"/>
                <w:szCs w:val="19"/>
                <w:color w:val="auto"/>
              </w:rPr>
            </w:pPr>
          </w:p>
        </w:tc>
        <w:tc>
          <w:tcPr>
            <w:tcW w:w="11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Digital </w:t>
            </w:r>
            <w:r>
              <w:rPr>
                <w:rFonts w:ascii="Times New Roman" w:cs="Times New Roman" w:eastAsia="Times New Roman" w:hAnsi="Times New Roman"/>
                <w:sz w:val="17"/>
                <w:szCs w:val="17"/>
                <w:b w:val="1"/>
                <w:bCs w:val="1"/>
                <w:color w:val="auto"/>
                <w:vertAlign w:val="superscript"/>
              </w:rPr>
              <w:t>(a)</w:t>
            </w:r>
          </w:p>
        </w:tc>
        <w:tc>
          <w:tcPr>
            <w:tcW w:w="20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2"/>
              </w:rPr>
              <w:t xml:space="preserve">Television </w:t>
            </w:r>
            <w:r>
              <w:rPr>
                <w:rFonts w:ascii="Times New Roman" w:cs="Times New Roman" w:eastAsia="Times New Roman" w:hAnsi="Times New Roman"/>
                <w:sz w:val="17"/>
                <w:szCs w:val="17"/>
                <w:b w:val="1"/>
                <w:bCs w:val="1"/>
                <w:color w:val="auto"/>
                <w:w w:val="92"/>
                <w:vertAlign w:val="superscript"/>
              </w:rPr>
              <w:t>(a)</w:t>
            </w:r>
          </w:p>
        </w:tc>
        <w:tc>
          <w:tcPr>
            <w:tcW w:w="200" w:type="dxa"/>
            <w:vAlign w:val="bottom"/>
          </w:tcPr>
          <w:p>
            <w:pPr>
              <w:spacing w:after="0"/>
              <w:rPr>
                <w:sz w:val="19"/>
                <w:szCs w:val="19"/>
                <w:color w:val="auto"/>
              </w:rPr>
            </w:pPr>
          </w:p>
        </w:tc>
        <w:tc>
          <w:tcPr>
            <w:tcW w:w="10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6"/>
              </w:rPr>
              <w:t>Eliminations</w:t>
            </w:r>
          </w:p>
        </w:tc>
        <w:tc>
          <w:tcPr>
            <w:tcW w:w="0" w:type="dxa"/>
            <w:vAlign w:val="bottom"/>
          </w:tcPr>
          <w:p>
            <w:pPr>
              <w:spacing w:after="0"/>
              <w:rPr>
                <w:sz w:val="1"/>
                <w:szCs w:val="1"/>
                <w:color w:val="auto"/>
              </w:rPr>
            </w:pPr>
          </w:p>
        </w:tc>
      </w:tr>
      <w:tr>
        <w:trPr>
          <w:trHeight w:val="231"/>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0" w:type="dxa"/>
            <w:vAlign w:val="bottom"/>
          </w:tcPr>
          <w:p>
            <w:pPr>
              <w:spacing w:after="0"/>
              <w:rPr>
                <w:sz w:val="1"/>
                <w:szCs w:val="1"/>
                <w:color w:val="auto"/>
              </w:rPr>
            </w:pPr>
          </w:p>
        </w:tc>
      </w:tr>
      <w:tr>
        <w:trPr>
          <w:trHeight w:val="232"/>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Programming and technical</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35,409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15,920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0" w:type="dxa"/>
            <w:vAlign w:val="bottom"/>
          </w:tcPr>
          <w:p>
            <w:pPr>
              <w:spacing w:after="0"/>
              <w:rPr>
                <w:sz w:val="1"/>
                <w:szCs w:val="1"/>
                <w:color w:val="auto"/>
              </w:rPr>
            </w:pPr>
          </w:p>
        </w:tc>
      </w:tr>
      <w:tr>
        <w:trPr>
          <w:trHeight w:val="258"/>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r>
              <w:rPr>
                <w:rFonts w:ascii="Times New Roman" w:cs="Times New Roman" w:eastAsia="Times New Roman" w:hAnsi="Times New Roman"/>
                <w:sz w:val="22"/>
                <w:szCs w:val="22"/>
                <w:color w:val="auto"/>
                <w:vertAlign w:val="superscript"/>
              </w:rPr>
              <w:t>(b, c)</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55,663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20,073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3,309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11,625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12,116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8,540</w:t>
            </w:r>
          </w:p>
        </w:tc>
        <w:tc>
          <w:tcPr>
            <w:tcW w:w="0" w:type="dxa"/>
            <w:vAlign w:val="bottom"/>
          </w:tcPr>
          <w:p>
            <w:pPr>
              <w:spacing w:after="0"/>
              <w:rPr>
                <w:sz w:val="1"/>
                <w:szCs w:val="1"/>
                <w:color w:val="auto"/>
              </w:rPr>
            </w:pPr>
          </w:p>
        </w:tc>
      </w:tr>
      <w:tr>
        <w:trPr>
          <w:trHeight w:val="238"/>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w:t>
            </w:r>
          </w:p>
        </w:tc>
        <w:tc>
          <w:tcPr>
            <w:tcW w:w="0" w:type="dxa"/>
            <w:vAlign w:val="bottom"/>
          </w:tcPr>
          <w:p>
            <w:pPr>
              <w:spacing w:after="0"/>
              <w:rPr>
                <w:sz w:val="1"/>
                <w:szCs w:val="1"/>
                <w:color w:val="auto"/>
              </w:rPr>
            </w:pPr>
          </w:p>
        </w:tc>
      </w:tr>
      <w:tr>
        <w:trPr>
          <w:trHeight w:val="232"/>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5"/>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of goodwill and intangible assets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118,982</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33,335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6,982</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16,214</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52,580</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9,871</w:t>
            </w:r>
          </w:p>
        </w:tc>
        <w:tc>
          <w:tcPr>
            <w:tcW w:w="0" w:type="dxa"/>
            <w:vAlign w:val="bottom"/>
          </w:tcPr>
          <w:p>
            <w:pPr>
              <w:spacing w:after="0"/>
              <w:rPr>
                <w:sz w:val="1"/>
                <w:szCs w:val="1"/>
                <w:color w:val="auto"/>
              </w:rPr>
            </w:pPr>
          </w:p>
        </w:tc>
      </w:tr>
      <w:tr>
        <w:trPr>
          <w:trHeight w:val="25"/>
        </w:trPr>
        <w:tc>
          <w:tcPr>
            <w:tcW w:w="3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(loss) income</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(10,377)</w:t>
            </w:r>
          </w:p>
        </w:tc>
        <w:tc>
          <w:tcPr>
            <w:tcW w:w="0" w:type="dxa"/>
            <w:vAlign w:val="bottom"/>
          </w:tcPr>
          <w:p>
            <w:pPr>
              <w:spacing w:after="0"/>
              <w:rPr>
                <w:sz w:val="1"/>
                <w:szCs w:val="1"/>
                <w:color w:val="auto"/>
              </w:rPr>
            </w:pPr>
          </w:p>
        </w:tc>
      </w:tr>
      <w:tr>
        <w:trPr>
          <w:trHeight w:val="232"/>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AND INVESTMENT INCOME</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0" w:type="dxa"/>
            <w:vAlign w:val="bottom"/>
          </w:tcPr>
          <w:p>
            <w:pPr>
              <w:spacing w:after="0"/>
              <w:rPr>
                <w:sz w:val="1"/>
                <w:szCs w:val="1"/>
                <w:color w:val="auto"/>
              </w:rPr>
            </w:pPr>
          </w:p>
        </w:tc>
      </w:tr>
      <w:tr>
        <w:trPr>
          <w:trHeight w:val="25"/>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(11,461)</w:t>
            </w:r>
          </w:p>
        </w:tc>
        <w:tc>
          <w:tcPr>
            <w:tcW w:w="0" w:type="dxa"/>
            <w:vAlign w:val="bottom"/>
          </w:tcPr>
          <w:p>
            <w:pPr>
              <w:spacing w:after="0"/>
              <w:rPr>
                <w:sz w:val="1"/>
                <w:szCs w:val="1"/>
                <w:color w:val="auto"/>
              </w:rPr>
            </w:pPr>
          </w:p>
        </w:tc>
      </w:tr>
      <w:tr>
        <w:trPr>
          <w:trHeight w:val="232"/>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RETIREMENT OF DEBT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0" w:type="dxa"/>
            <w:vAlign w:val="bottom"/>
          </w:tcPr>
          <w:p>
            <w:pPr>
              <w:spacing w:after="0"/>
              <w:rPr>
                <w:sz w:val="1"/>
                <w:szCs w:val="1"/>
                <w:color w:val="auto"/>
              </w:rPr>
            </w:pPr>
          </w:p>
        </w:tc>
      </w:tr>
      <w:tr>
        <w:trPr>
          <w:trHeight w:val="25"/>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income from consolidated operations</w:t>
            </w: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before (provision for) benefit from income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(16,271)</w:t>
            </w:r>
          </w:p>
        </w:tc>
        <w:tc>
          <w:tcPr>
            <w:tcW w:w="0" w:type="dxa"/>
            <w:vAlign w:val="bottom"/>
          </w:tcPr>
          <w:p>
            <w:pPr>
              <w:spacing w:after="0"/>
              <w:rPr>
                <w:sz w:val="1"/>
                <w:szCs w:val="1"/>
                <w:color w:val="auto"/>
              </w:rPr>
            </w:pPr>
          </w:p>
        </w:tc>
      </w:tr>
      <w:tr>
        <w:trPr>
          <w:trHeight w:val="25"/>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BENEFIT FROM</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(27,583)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(13,722)</w:t>
            </w:r>
          </w:p>
        </w:tc>
        <w:tc>
          <w:tcPr>
            <w:tcW w:w="0" w:type="dxa"/>
            <w:vAlign w:val="bottom"/>
          </w:tcPr>
          <w:p>
            <w:pPr>
              <w:spacing w:after="0"/>
              <w:rPr>
                <w:sz w:val="1"/>
                <w:szCs w:val="1"/>
                <w:color w:val="auto"/>
              </w:rPr>
            </w:pPr>
          </w:p>
        </w:tc>
      </w:tr>
      <w:tr>
        <w:trPr>
          <w:trHeight w:val="225"/>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(35,419)</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10,268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(6,930)</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(10,182)</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(29,993)</w:t>
            </w:r>
          </w:p>
        </w:tc>
        <w:tc>
          <w:tcPr>
            <w:tcW w:w="0" w:type="dxa"/>
            <w:vAlign w:val="bottom"/>
          </w:tcPr>
          <w:p>
            <w:pPr>
              <w:spacing w:after="0"/>
              <w:rPr>
                <w:sz w:val="1"/>
                <w:szCs w:val="1"/>
                <w:color w:val="auto"/>
              </w:rPr>
            </w:pPr>
          </w:p>
        </w:tc>
      </w:tr>
      <w:tr>
        <w:trPr>
          <w:trHeight w:val="25"/>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 ATTRIBUTABLE</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(35,658)</w:t>
            </w:r>
          </w:p>
        </w:tc>
        <w:tc>
          <w:tcPr>
            <w:tcW w:w="8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10,268</w:t>
            </w:r>
          </w:p>
        </w:tc>
        <w:tc>
          <w:tcPr>
            <w:tcW w:w="100" w:type="dxa"/>
            <w:vAlign w:val="bottom"/>
          </w:tcPr>
          <w:p>
            <w:pPr>
              <w:spacing w:after="0"/>
              <w:rPr>
                <w:sz w:val="17"/>
                <w:szCs w:val="1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8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(6,930)</w:t>
            </w:r>
          </w:p>
        </w:tc>
        <w:tc>
          <w:tcPr>
            <w:tcW w:w="8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(10,182)</w:t>
            </w:r>
          </w:p>
        </w:tc>
        <w:tc>
          <w:tcPr>
            <w:tcW w:w="8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(29,017)</w:t>
            </w:r>
          </w:p>
        </w:tc>
        <w:tc>
          <w:tcPr>
            <w:tcW w:w="0" w:type="dxa"/>
            <w:vAlign w:val="bottom"/>
          </w:tcPr>
          <w:p>
            <w:pPr>
              <w:spacing w:after="0"/>
              <w:rPr>
                <w:sz w:val="1"/>
                <w:szCs w:val="1"/>
                <w:color w:val="auto"/>
              </w:rPr>
            </w:pPr>
          </w:p>
        </w:tc>
      </w:tr>
      <w:tr>
        <w:trPr>
          <w:trHeight w:val="228"/>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 COMMON STOCKHOLDERS</w:t>
            </w:r>
          </w:p>
        </w:tc>
        <w:tc>
          <w:tcPr>
            <w:tcW w:w="16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3180" w:type="dxa"/>
            <w:vAlign w:val="bottom"/>
            <w:tcBorders>
              <w:bottom w:val="single" w:sz="8" w:color="CCEEFF"/>
            </w:tcBorders>
            <w:shd w:val="clear" w:color="auto" w:fill="CCEEFF"/>
          </w:tcPr>
          <w:p>
            <w:pPr>
              <w:ind w:left="20"/>
              <w:spacing w:after="0" w:line="249"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26,870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2,799</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14,456</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(8,670)</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120" w:hanging="117"/>
        <w:spacing w:after="0"/>
        <w:tabs>
          <w:tab w:leader="none" w:pos="12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Effective January 1, 2025, segment information for the prior periods has been recast to include reclassification of a portion of revenues from our CTV offering from Digital to Cable Television.</w:t>
      </w:r>
    </w:p>
    <w:p>
      <w:pPr>
        <w:spacing w:after="0" w:line="174" w:lineRule="exact"/>
        <w:rPr>
          <w:rFonts w:ascii="Times New Roman" w:cs="Times New Roman" w:eastAsia="Times New Roman" w:hAnsi="Times New Roman"/>
          <w:sz w:val="14"/>
          <w:szCs w:val="14"/>
          <w:color w:val="auto"/>
          <w:vertAlign w:val="superscript"/>
        </w:rPr>
      </w:pPr>
    </w:p>
    <w:p>
      <w:pPr>
        <w:ind w:left="120" w:hanging="117"/>
        <w:spacing w:after="0"/>
        <w:tabs>
          <w:tab w:leader="none" w:pos="12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Corporate selling, general and administrative expenses have been collapsed with Selling, general and administrative expenses in the consolidated statements of operations.</w:t>
      </w:r>
    </w:p>
    <w:p>
      <w:pPr>
        <w:spacing w:after="0" w:line="174" w:lineRule="exact"/>
        <w:rPr>
          <w:rFonts w:ascii="Times New Roman" w:cs="Times New Roman" w:eastAsia="Times New Roman" w:hAnsi="Times New Roman"/>
          <w:sz w:val="9"/>
          <w:szCs w:val="9"/>
          <w:color w:val="auto"/>
        </w:rPr>
      </w:pPr>
    </w:p>
    <w:p>
      <w:pPr>
        <w:ind w:firstLine="3"/>
        <w:spacing w:after="0" w:line="275" w:lineRule="auto"/>
        <w:tabs>
          <w:tab w:leader="none" w:pos="144"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Effective January 1, 2025, prior period segment information has been realigned between the Sales and marketing and the General and administrative significant segment expenses. This provides the CODM with a more appropriate alignment of significant segment expenses used to evaluate segment performance.</w:t>
      </w:r>
    </w:p>
    <w:p>
      <w:pPr>
        <w:sectPr>
          <w:pgSz w:w="11900" w:h="16838" w:orient="portrait"/>
          <w:cols w:equalWidth="0" w:num="1">
            <w:col w:w="11240"/>
          </w:cols>
          <w:pgMar w:left="320" w:top="8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1"/>
          <w:szCs w:val="21"/>
          <w:b w:val="1"/>
          <w:bCs w:val="1"/>
          <w:color w:val="auto"/>
        </w:rPr>
        <w:t>PAGE 11 -- URBAN ONE, INC. REPORTS FOURTH QUARTER 2025 RESULTS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Year Ended December 31, 2025</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0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3"/>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5"/>
          </w:tcPr>
          <w:p>
            <w:pPr>
              <w:jc w:val="center"/>
              <w:ind w:left="518"/>
              <w:spacing w:after="0" w:line="148"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7"/>
              </w:rPr>
              <w:t>All Other -</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Radio</w:t>
            </w:r>
          </w:p>
        </w:tc>
        <w:tc>
          <w:tcPr>
            <w:tcW w:w="260" w:type="dxa"/>
            <w:vAlign w:val="bottom"/>
          </w:tcPr>
          <w:p>
            <w:pPr>
              <w:spacing w:after="0"/>
              <w:rPr>
                <w:sz w:val="17"/>
                <w:szCs w:val="17"/>
                <w:color w:val="auto"/>
              </w:rPr>
            </w:pPr>
          </w:p>
        </w:tc>
        <w:tc>
          <w:tcPr>
            <w:tcW w:w="11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Reach</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Cable</w:t>
            </w:r>
          </w:p>
        </w:tc>
        <w:tc>
          <w:tcPr>
            <w:tcW w:w="180" w:type="dxa"/>
            <w:vAlign w:val="bottom"/>
          </w:tcPr>
          <w:p>
            <w:pPr>
              <w:spacing w:after="0"/>
              <w:rPr>
                <w:sz w:val="17"/>
                <w:szCs w:val="17"/>
                <w:color w:val="auto"/>
              </w:rPr>
            </w:pPr>
          </w:p>
        </w:tc>
        <w:tc>
          <w:tcPr>
            <w:tcW w:w="11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6"/>
              </w:rPr>
              <w:t>Corporate/</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Broadcasting</w:t>
            </w:r>
          </w:p>
        </w:tc>
        <w:tc>
          <w:tcPr>
            <w:tcW w:w="260" w:type="dxa"/>
            <w:vAlign w:val="bottom"/>
          </w:tcPr>
          <w:p>
            <w:pPr>
              <w:spacing w:after="0"/>
              <w:rPr>
                <w:sz w:val="17"/>
                <w:szCs w:val="17"/>
                <w:color w:val="auto"/>
              </w:rPr>
            </w:pPr>
          </w:p>
        </w:tc>
        <w:tc>
          <w:tcPr>
            <w:tcW w:w="11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Media</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Digital</w:t>
            </w: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Television</w:t>
            </w:r>
          </w:p>
        </w:tc>
        <w:tc>
          <w:tcPr>
            <w:tcW w:w="180" w:type="dxa"/>
            <w:vAlign w:val="bottom"/>
          </w:tcPr>
          <w:p>
            <w:pPr>
              <w:spacing w:after="0"/>
              <w:rPr>
                <w:sz w:val="17"/>
                <w:szCs w:val="17"/>
                <w:color w:val="auto"/>
              </w:rPr>
            </w:pPr>
          </w:p>
        </w:tc>
        <w:tc>
          <w:tcPr>
            <w:tcW w:w="11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0" w:type="dxa"/>
            <w:vAlign w:val="bottom"/>
          </w:tcPr>
          <w:p>
            <w:pPr>
              <w:spacing w:after="0"/>
              <w:rPr>
                <w:sz w:val="1"/>
                <w:szCs w:val="1"/>
                <w:color w:val="auto"/>
              </w:rPr>
            </w:pP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31,146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158,994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w:t>
            </w:r>
          </w:p>
        </w:tc>
        <w:tc>
          <w:tcPr>
            <w:tcW w:w="0" w:type="dxa"/>
            <w:vAlign w:val="bottom"/>
          </w:tcPr>
          <w:p>
            <w:pPr>
              <w:spacing w:after="0"/>
              <w:rPr>
                <w:sz w:val="1"/>
                <w:szCs w:val="1"/>
                <w:color w:val="auto"/>
              </w:rPr>
            </w:pPr>
          </w:p>
        </w:tc>
      </w:tr>
      <w:tr>
        <w:trPr>
          <w:trHeight w:val="232"/>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Programming and technical</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0" w:type="dxa"/>
            <w:vAlign w:val="bottom"/>
          </w:tcPr>
          <w:p>
            <w:pPr>
              <w:spacing w:after="0"/>
              <w:rPr>
                <w:sz w:val="1"/>
                <w:szCs w:val="1"/>
                <w:color w:val="auto"/>
              </w:rPr>
            </w:pPr>
          </w:p>
        </w:tc>
      </w:tr>
      <w:tr>
        <w:trPr>
          <w:trHeight w:val="258"/>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r>
              <w:rPr>
                <w:rFonts w:ascii="Times New Roman" w:cs="Times New Roman" w:eastAsia="Times New Roman" w:hAnsi="Times New Roman"/>
                <w:sz w:val="22"/>
                <w:szCs w:val="22"/>
                <w:color w:val="auto"/>
                <w:vertAlign w:val="superscript"/>
              </w:rPr>
              <w:t>(a)</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207,300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71,604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38,644</w:t>
            </w:r>
          </w:p>
        </w:tc>
        <w:tc>
          <w:tcPr>
            <w:tcW w:w="0" w:type="dxa"/>
            <w:vAlign w:val="bottom"/>
          </w:tcPr>
          <w:p>
            <w:pPr>
              <w:spacing w:after="0"/>
              <w:rPr>
                <w:sz w:val="1"/>
                <w:szCs w:val="1"/>
                <w:color w:val="auto"/>
              </w:rPr>
            </w:pPr>
          </w:p>
        </w:tc>
      </w:tr>
      <w:tr>
        <w:trPr>
          <w:trHeight w:val="23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0" w:type="dxa"/>
            <w:vAlign w:val="bottom"/>
          </w:tcPr>
          <w:p>
            <w:pPr>
              <w:spacing w:after="0"/>
              <w:rPr>
                <w:sz w:val="1"/>
                <w:szCs w:val="1"/>
                <w:color w:val="auto"/>
              </w:rPr>
            </w:pPr>
          </w:p>
        </w:tc>
      </w:tr>
      <w:tr>
        <w:trPr>
          <w:trHeight w:val="232"/>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of goodwill and intangible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191,816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544,492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262,858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33,552</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53,778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154,986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39,318</w:t>
            </w:r>
          </w:p>
        </w:tc>
        <w:tc>
          <w:tcPr>
            <w:tcW w:w="0" w:type="dxa"/>
            <w:vAlign w:val="bottom"/>
          </w:tcPr>
          <w:p>
            <w:pPr>
              <w:spacing w:after="0"/>
              <w:rPr>
                <w:sz w:val="1"/>
                <w:szCs w:val="1"/>
                <w:color w:val="auto"/>
              </w:rPr>
            </w:pPr>
          </w:p>
        </w:tc>
      </w:tr>
      <w:tr>
        <w:trPr>
          <w:trHeight w:val="25"/>
        </w:trPr>
        <w:tc>
          <w:tcPr>
            <w:tcW w:w="3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(loss) income</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(42,023)</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AND INVESTMENT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2,492</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(38,652)</w:t>
            </w:r>
          </w:p>
        </w:tc>
        <w:tc>
          <w:tcPr>
            <w:tcW w:w="0" w:type="dxa"/>
            <w:vAlign w:val="bottom"/>
          </w:tcPr>
          <w:p>
            <w:pPr>
              <w:spacing w:after="0"/>
              <w:rPr>
                <w:sz w:val="1"/>
                <w:szCs w:val="1"/>
                <w:color w:val="auto"/>
              </w:rPr>
            </w:pPr>
          </w:p>
        </w:tc>
      </w:tr>
      <w:tr>
        <w:trPr>
          <w:trHeight w:val="232"/>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RETIREMENT OF DEBT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44,009</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income from consolidated operations</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before benefit from (provision for) income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(162,889)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(123,782)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(34,631)</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FROM (PROVISION FOR)</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(16,434)</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 FROM</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OPERATIONS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(146,879)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(51,065)</w:t>
            </w:r>
          </w:p>
        </w:tc>
        <w:tc>
          <w:tcPr>
            <w:tcW w:w="0" w:type="dxa"/>
            <w:vAlign w:val="bottom"/>
          </w:tcPr>
          <w:p>
            <w:pPr>
              <w:spacing w:after="0"/>
              <w:rPr>
                <w:sz w:val="1"/>
                <w:szCs w:val="1"/>
                <w:color w:val="auto"/>
              </w:rPr>
            </w:pPr>
          </w:p>
        </w:tc>
      </w:tr>
      <w:tr>
        <w:trPr>
          <w:trHeight w:val="25"/>
        </w:trPr>
        <w:tc>
          <w:tcPr>
            <w:tcW w:w="3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(51,065)</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ATTRIBUTABLE TO NON-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CONTROLLING INTERESTS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3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 ATTRIBUTABLE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(92,831)</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(2,569)</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(3,480)</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(51,065)</w:t>
            </w:r>
          </w:p>
        </w:tc>
        <w:tc>
          <w:tcPr>
            <w:tcW w:w="0" w:type="dxa"/>
            <w:vAlign w:val="bottom"/>
          </w:tcPr>
          <w:p>
            <w:pPr>
              <w:spacing w:after="0"/>
              <w:rPr>
                <w:sz w:val="1"/>
                <w:szCs w:val="1"/>
                <w:color w:val="auto"/>
              </w:rPr>
            </w:pPr>
          </w:p>
        </w:tc>
      </w:tr>
      <w:tr>
        <w:trPr>
          <w:trHeight w:val="283"/>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 COMMON STOCKHOLDERS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(146,869)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vMerge w:val="continue"/>
            <w:shd w:val="clear" w:color="auto" w:fill="CCEEFF"/>
          </w:tcPr>
          <w:p>
            <w:pPr>
              <w:spacing w:after="0"/>
              <w:rPr>
                <w:sz w:val="24"/>
                <w:szCs w:val="24"/>
                <w:color w:val="auto"/>
              </w:rPr>
            </w:pPr>
          </w:p>
        </w:tc>
        <w:tc>
          <w:tcPr>
            <w:tcW w:w="110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vMerge w:val="continue"/>
            <w:shd w:val="clear" w:color="auto" w:fill="CCEEFF"/>
          </w:tcPr>
          <w:p>
            <w:pPr>
              <w:spacing w:after="0"/>
              <w:rPr>
                <w:sz w:val="24"/>
                <w:szCs w:val="24"/>
                <w:color w:val="auto"/>
              </w:rPr>
            </w:pPr>
          </w:p>
        </w:tc>
        <w:tc>
          <w:tcPr>
            <w:tcW w:w="1000" w:type="dxa"/>
            <w:vAlign w:val="bottom"/>
            <w:tcBorders>
              <w:bottom w:val="single" w:sz="8" w:color="auto"/>
            </w:tcBorders>
            <w:gridSpan w:val="2"/>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vMerge w:val="continue"/>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vMerge w:val="continue"/>
            <w:shd w:val="clear" w:color="auto" w:fill="CCEEFF"/>
          </w:tcPr>
          <w:p>
            <w:pPr>
              <w:spacing w:after="0"/>
              <w:rPr>
                <w:sz w:val="24"/>
                <w:szCs w:val="24"/>
                <w:color w:val="auto"/>
              </w:rPr>
            </w:pPr>
          </w:p>
        </w:tc>
        <w:tc>
          <w:tcPr>
            <w:tcW w:w="106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vMerge w:val="continue"/>
            <w:shd w:val="clear" w:color="auto" w:fill="CCEEFF"/>
          </w:tcPr>
          <w:p>
            <w:pPr>
              <w:spacing w:after="0"/>
              <w:rPr>
                <w:sz w:val="24"/>
                <w:szCs w:val="24"/>
                <w:color w:val="auto"/>
              </w:rPr>
            </w:pPr>
          </w:p>
        </w:tc>
        <w:tc>
          <w:tcPr>
            <w:tcW w:w="1100" w:type="dxa"/>
            <w:vAlign w:val="bottom"/>
            <w:tcBorders>
              <w:bottom w:val="single" w:sz="8" w:color="auto"/>
            </w:tcBorders>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80" w:type="dxa"/>
            <w:vAlign w:val="bottom"/>
            <w:tcBorders>
              <w:top w:val="single" w:sz="8" w:color="CCEEFF"/>
            </w:tcBorders>
          </w:tcPr>
          <w:p>
            <w:pPr>
              <w:ind w:left="20"/>
              <w:spacing w:after="0" w:line="229"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(2)</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56,657</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25,604</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(1,555)</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2,484</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60,409</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(30,285)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0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1"/>
          <w:szCs w:val="21"/>
          <w:b w:val="1"/>
          <w:bCs w:val="1"/>
          <w:color w:val="auto"/>
        </w:rPr>
        <w:t>PAGE 12 -- URBAN ONE, INC. REPORTS FOURTH QUARTER 2025 RESULTS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Year Ended December 31, 2024</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0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4"/>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80" w:type="dxa"/>
            <w:vAlign w:val="bottom"/>
            <w:gridSpan w:val="7"/>
          </w:tcPr>
          <w:p>
            <w:pPr>
              <w:jc w:val="center"/>
              <w:ind w:right="360"/>
              <w:spacing w:after="0" w:line="148"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7"/>
              </w:rPr>
              <w:t>All Other -</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Radio</w:t>
            </w:r>
          </w:p>
        </w:tc>
        <w:tc>
          <w:tcPr>
            <w:tcW w:w="260" w:type="dxa"/>
            <w:vAlign w:val="bottom"/>
          </w:tcPr>
          <w:p>
            <w:pPr>
              <w:spacing w:after="0"/>
              <w:rPr>
                <w:sz w:val="17"/>
                <w:szCs w:val="17"/>
                <w:color w:val="auto"/>
              </w:rPr>
            </w:pPr>
          </w:p>
        </w:tc>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Reach</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Cable</w:t>
            </w:r>
          </w:p>
        </w:tc>
        <w:tc>
          <w:tcPr>
            <w:tcW w:w="180" w:type="dxa"/>
            <w:vAlign w:val="bottom"/>
          </w:tcPr>
          <w:p>
            <w:pPr>
              <w:spacing w:after="0"/>
              <w:rPr>
                <w:sz w:val="17"/>
                <w:szCs w:val="17"/>
                <w:color w:val="auto"/>
              </w:rPr>
            </w:pPr>
          </w:p>
        </w:tc>
        <w:tc>
          <w:tcPr>
            <w:tcW w:w="11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6"/>
              </w:rPr>
              <w:t>Corporate/</w:t>
            </w:r>
          </w:p>
        </w:tc>
        <w:tc>
          <w:tcPr>
            <w:tcW w:w="0" w:type="dxa"/>
            <w:vAlign w:val="bottom"/>
          </w:tcPr>
          <w:p>
            <w:pPr>
              <w:spacing w:after="0"/>
              <w:rPr>
                <w:sz w:val="1"/>
                <w:szCs w:val="1"/>
                <w:color w:val="auto"/>
              </w:rPr>
            </w:pPr>
          </w:p>
        </w:tc>
      </w:tr>
      <w:tr>
        <w:trPr>
          <w:trHeight w:val="229"/>
        </w:trPr>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Broadcasting</w:t>
            </w:r>
          </w:p>
        </w:tc>
        <w:tc>
          <w:tcPr>
            <w:tcW w:w="260" w:type="dxa"/>
            <w:vAlign w:val="bottom"/>
          </w:tcPr>
          <w:p>
            <w:pPr>
              <w:spacing w:after="0"/>
              <w:rPr>
                <w:sz w:val="19"/>
                <w:szCs w:val="19"/>
                <w:color w:val="auto"/>
              </w:rPr>
            </w:pPr>
          </w:p>
        </w:tc>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Media</w:t>
            </w:r>
          </w:p>
        </w:tc>
        <w:tc>
          <w:tcPr>
            <w:tcW w:w="240" w:type="dxa"/>
            <w:vAlign w:val="bottom"/>
          </w:tcPr>
          <w:p>
            <w:pPr>
              <w:spacing w:after="0"/>
              <w:rPr>
                <w:sz w:val="19"/>
                <w:szCs w:val="19"/>
                <w:color w:val="auto"/>
              </w:rPr>
            </w:pP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Digital </w:t>
            </w:r>
            <w:r>
              <w:rPr>
                <w:rFonts w:ascii="Times New Roman" w:cs="Times New Roman" w:eastAsia="Times New Roman" w:hAnsi="Times New Roman"/>
                <w:sz w:val="17"/>
                <w:szCs w:val="17"/>
                <w:b w:val="1"/>
                <w:bCs w:val="1"/>
                <w:color w:val="auto"/>
                <w:vertAlign w:val="superscript"/>
              </w:rPr>
              <w:t>(a)</w:t>
            </w:r>
          </w:p>
        </w:tc>
        <w:tc>
          <w:tcPr>
            <w:tcW w:w="18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2"/>
              </w:rPr>
              <w:t xml:space="preserve">Television </w:t>
            </w:r>
            <w:r>
              <w:rPr>
                <w:rFonts w:ascii="Times New Roman" w:cs="Times New Roman" w:eastAsia="Times New Roman" w:hAnsi="Times New Roman"/>
                <w:sz w:val="17"/>
                <w:szCs w:val="17"/>
                <w:b w:val="1"/>
                <w:bCs w:val="1"/>
                <w:color w:val="auto"/>
                <w:w w:val="92"/>
                <w:vertAlign w:val="superscript"/>
              </w:rPr>
              <w:t>(a)</w:t>
            </w:r>
          </w:p>
        </w:tc>
        <w:tc>
          <w:tcPr>
            <w:tcW w:w="180" w:type="dxa"/>
            <w:vAlign w:val="bottom"/>
          </w:tcPr>
          <w:p>
            <w:pPr>
              <w:spacing w:after="0"/>
              <w:rPr>
                <w:sz w:val="19"/>
                <w:szCs w:val="19"/>
                <w:color w:val="auto"/>
              </w:rPr>
            </w:pPr>
          </w:p>
        </w:tc>
        <w:tc>
          <w:tcPr>
            <w:tcW w:w="11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0" w:type="dxa"/>
            <w:vAlign w:val="bottom"/>
          </w:tcPr>
          <w:p>
            <w:pPr>
              <w:spacing w:after="0"/>
              <w:rPr>
                <w:sz w:val="1"/>
                <w:szCs w:val="1"/>
                <w:color w:val="auto"/>
              </w:rPr>
            </w:pPr>
          </w:p>
        </w:tc>
      </w:tr>
      <w:tr>
        <w:trPr>
          <w:trHeight w:val="231"/>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449,674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176,127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(2,336)</w:t>
            </w:r>
          </w:p>
        </w:tc>
        <w:tc>
          <w:tcPr>
            <w:tcW w:w="0" w:type="dxa"/>
            <w:vAlign w:val="bottom"/>
          </w:tcPr>
          <w:p>
            <w:pPr>
              <w:spacing w:after="0"/>
              <w:rPr>
                <w:sz w:val="1"/>
                <w:szCs w:val="1"/>
                <w:color w:val="auto"/>
              </w:rPr>
            </w:pPr>
          </w:p>
        </w:tc>
      </w:tr>
      <w:tr>
        <w:trPr>
          <w:trHeight w:val="232"/>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Programming and technical</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135,235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46,357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0" w:type="dxa"/>
            <w:vAlign w:val="bottom"/>
          </w:tcPr>
          <w:p>
            <w:pPr>
              <w:spacing w:after="0"/>
              <w:rPr>
                <w:sz w:val="1"/>
                <w:szCs w:val="1"/>
                <w:color w:val="auto"/>
              </w:rPr>
            </w:pPr>
          </w:p>
        </w:tc>
      </w:tr>
      <w:tr>
        <w:trPr>
          <w:trHeight w:val="258"/>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r>
              <w:rPr>
                <w:rFonts w:ascii="Times New Roman" w:cs="Times New Roman" w:eastAsia="Times New Roman" w:hAnsi="Times New Roman"/>
                <w:sz w:val="22"/>
                <w:szCs w:val="22"/>
                <w:color w:val="auto"/>
                <w:vertAlign w:val="superscript"/>
              </w:rPr>
              <w:t>(b, c)</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224,837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82,255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20,561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34,610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37,994</w:t>
            </w:r>
          </w:p>
        </w:tc>
        <w:tc>
          <w:tcPr>
            <w:tcW w:w="0" w:type="dxa"/>
            <w:vAlign w:val="bottom"/>
          </w:tcPr>
          <w:p>
            <w:pPr>
              <w:spacing w:after="0"/>
              <w:rPr>
                <w:sz w:val="1"/>
                <w:szCs w:val="1"/>
                <w:color w:val="auto"/>
              </w:rPr>
            </w:pPr>
          </w:p>
        </w:tc>
      </w:tr>
      <w:tr>
        <w:trPr>
          <w:trHeight w:val="23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3,660</w:t>
            </w:r>
          </w:p>
        </w:tc>
        <w:tc>
          <w:tcPr>
            <w:tcW w:w="0" w:type="dxa"/>
            <w:vAlign w:val="bottom"/>
          </w:tcPr>
          <w:p>
            <w:pPr>
              <w:spacing w:after="0"/>
              <w:rPr>
                <w:sz w:val="1"/>
                <w:szCs w:val="1"/>
                <w:color w:val="auto"/>
              </w:rPr>
            </w:pPr>
          </w:p>
        </w:tc>
      </w:tr>
      <w:tr>
        <w:trPr>
          <w:trHeight w:val="232"/>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of goodwill and intangible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151,755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118,492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525,259</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252,385</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35,256</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51,056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144,819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41,743</w:t>
            </w:r>
          </w:p>
        </w:tc>
        <w:tc>
          <w:tcPr>
            <w:tcW w:w="0" w:type="dxa"/>
            <w:vAlign w:val="bottom"/>
          </w:tcPr>
          <w:p>
            <w:pPr>
              <w:spacing w:after="0"/>
              <w:rPr>
                <w:sz w:val="1"/>
                <w:szCs w:val="1"/>
                <w:color w:val="auto"/>
              </w:rPr>
            </w:pPr>
          </w:p>
        </w:tc>
      </w:tr>
      <w:tr>
        <w:trPr>
          <w:trHeight w:val="25"/>
        </w:trPr>
        <w:tc>
          <w:tcPr>
            <w:tcW w:w="3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(loss) income</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(75,585)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(86,582)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(44,079)</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AND INVESTMENT</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5,980</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(48,571)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(48,337)</w:t>
            </w:r>
          </w:p>
        </w:tc>
        <w:tc>
          <w:tcPr>
            <w:tcW w:w="0" w:type="dxa"/>
            <w:vAlign w:val="bottom"/>
          </w:tcPr>
          <w:p>
            <w:pPr>
              <w:spacing w:after="0"/>
              <w:rPr>
                <w:sz w:val="1"/>
                <w:szCs w:val="1"/>
                <w:color w:val="auto"/>
              </w:rPr>
            </w:pPr>
          </w:p>
        </w:tc>
      </w:tr>
      <w:tr>
        <w:trPr>
          <w:trHeight w:val="232"/>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RETIREMENT OF DEBT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23,271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23,271</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income from consolidated operations</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before (provision for) benefit from income</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11,754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(62,229)</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BENEFIT FROM</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(8,968)</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 FROM</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OPERATIONS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(68,479)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(71,197)</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UNCONSOLIDATED</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JOINT VENTURE,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0" w:type="dxa"/>
            <w:vAlign w:val="bottom"/>
          </w:tcPr>
          <w:p>
            <w:pPr>
              <w:spacing w:after="0"/>
              <w:rPr>
                <w:sz w:val="1"/>
                <w:szCs w:val="1"/>
                <w:color w:val="auto"/>
              </w:rPr>
            </w:pPr>
          </w:p>
        </w:tc>
      </w:tr>
      <w:tr>
        <w:trPr>
          <w:trHeight w:val="225"/>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(104,179)</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(68,479)</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8,677</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3,621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23,610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(71,608)</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 ATTRIBUTABLE</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(105,394)</w:t>
            </w:r>
          </w:p>
        </w:tc>
        <w:tc>
          <w:tcPr>
            <w:tcW w:w="8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(68,479)</w:t>
            </w:r>
          </w:p>
        </w:tc>
        <w:tc>
          <w:tcPr>
            <w:tcW w:w="8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7,462</w:t>
            </w:r>
          </w:p>
        </w:tc>
        <w:tc>
          <w:tcPr>
            <w:tcW w:w="8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3,621</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23,610</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(71,608)</w:t>
            </w:r>
          </w:p>
        </w:tc>
        <w:tc>
          <w:tcPr>
            <w:tcW w:w="0" w:type="dxa"/>
            <w:vAlign w:val="bottom"/>
          </w:tcPr>
          <w:p>
            <w:pPr>
              <w:spacing w:after="0"/>
              <w:rPr>
                <w:sz w:val="1"/>
                <w:szCs w:val="1"/>
                <w:color w:val="auto"/>
              </w:rPr>
            </w:pPr>
          </w:p>
        </w:tc>
      </w:tr>
      <w:tr>
        <w:trPr>
          <w:trHeight w:val="228"/>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 COMMON STOCKHOLDERS</w:t>
            </w:r>
          </w:p>
        </w:tc>
        <w:tc>
          <w:tcPr>
            <w:tcW w:w="1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3080" w:type="dxa"/>
            <w:vAlign w:val="bottom"/>
            <w:tcBorders>
              <w:bottom w:val="single" w:sz="8" w:color="CCEEFF"/>
            </w:tcBorders>
            <w:shd w:val="clear" w:color="auto" w:fill="CCEEFF"/>
          </w:tcPr>
          <w:p>
            <w:pPr>
              <w:ind w:left="20"/>
              <w:spacing w:after="0" w:line="249"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103,463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38,097</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11,628</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(25,988)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left="120" w:hanging="117"/>
        <w:spacing w:after="0"/>
        <w:tabs>
          <w:tab w:leader="none" w:pos="120"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Effective January 1, 2025, segment information for the prior periods has been recast to include reclassification of a portion of revenues from our CTV offering from Digital to Cable Television.</w:t>
      </w:r>
    </w:p>
    <w:p>
      <w:pPr>
        <w:spacing w:after="0" w:line="212" w:lineRule="exact"/>
        <w:rPr>
          <w:rFonts w:ascii="Times New Roman" w:cs="Times New Roman" w:eastAsia="Times New Roman" w:hAnsi="Times New Roman"/>
          <w:sz w:val="14"/>
          <w:szCs w:val="14"/>
          <w:color w:val="auto"/>
          <w:vertAlign w:val="superscript"/>
        </w:rPr>
      </w:pPr>
    </w:p>
    <w:p>
      <w:pPr>
        <w:ind w:left="120" w:hanging="117"/>
        <w:spacing w:after="0"/>
        <w:tabs>
          <w:tab w:leader="none" w:pos="120"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Corporate selling, general and administrative expenses have been collapsed with Selling, general and administrative expenses in the consolidated statements of operations.</w:t>
      </w:r>
    </w:p>
    <w:p>
      <w:pPr>
        <w:spacing w:after="0" w:line="199" w:lineRule="exact"/>
        <w:rPr>
          <w:rFonts w:ascii="Times New Roman" w:cs="Times New Roman" w:eastAsia="Times New Roman" w:hAnsi="Times New Roman"/>
          <w:sz w:val="14"/>
          <w:szCs w:val="14"/>
          <w:color w:val="auto"/>
          <w:vertAlign w:val="superscript"/>
        </w:rPr>
      </w:pPr>
    </w:p>
    <w:p>
      <w:pPr>
        <w:ind w:firstLine="3"/>
        <w:spacing w:after="0" w:line="275" w:lineRule="auto"/>
        <w:tabs>
          <w:tab w:leader="none" w:pos="144"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Effective January 1, 2025, prior period segment information has been realigned between the Sales and marketing and the General and administrative significant segment expenses. This provides the CODM with a more appropriate alignment of significant segment expenses used to evaluate segment performance.</w:t>
      </w:r>
    </w:p>
    <w:p>
      <w:pPr>
        <w:sectPr>
          <w:pgSz w:w="11900" w:h="16838" w:orient="portrait"/>
          <w:cols w:equalWidth="0" w:num="1">
            <w:col w:w="11240"/>
          </w:cols>
          <w:pgMar w:left="320" w:top="110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1"/>
          <w:szCs w:val="21"/>
          <w:b w:val="1"/>
          <w:bCs w:val="1"/>
          <w:color w:val="auto"/>
        </w:rPr>
        <w:t>PAGE 13 -- URBAN ONE, INC. REPORTS FOURTH QUARTER 2025 RESULTS</w:t>
      </w:r>
    </w:p>
    <w:p>
      <w:pPr>
        <w:spacing w:after="0" w:line="210"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Urban One, Inc. will hold a conference call to discuss its results for the fourth fiscal quarter of 2025. The conference call is scheduled for Thursday March 12, 2026 at 10:00 a.m. EDT. To participate on this call, U.S. callers may dial toll-free (+1) 888-596-4144; international callers may dial direct (+1) 646-968-2525. The Access Code is 9077729.</w:t>
      </w:r>
    </w:p>
    <w:p>
      <w:pPr>
        <w:spacing w:after="0" w:line="165"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A replay of the conference call will be available from 2:00 p.m. EDT March 12, 2026 until 11:59 p.m. EDT March 19, 2026. Callers may access the replay by calling (+1) 800-770-2030; international callers may dial direct (+1) 609-800-9909. The replay Access Code is 9077729.</w:t>
      </w:r>
    </w:p>
    <w:p>
      <w:pPr>
        <w:spacing w:after="0" w:line="151"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Access to live audio and a replay of the conference call will also be available on Urban One's corporate website at www.urban1.com. The replay will be made available on the website for seven days after the call.</w:t>
      </w:r>
    </w:p>
    <w:p>
      <w:pPr>
        <w:spacing w:after="0" w:line="147"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Urban One Inc. </w:t>
      </w:r>
      <w:r>
        <w:rPr>
          <w:rFonts w:ascii="Times New Roman" w:cs="Times New Roman" w:eastAsia="Times New Roman" w:hAnsi="Times New Roman"/>
          <w:sz w:val="17"/>
          <w:szCs w:val="17"/>
          <w:color w:val="auto"/>
        </w:rPr>
        <w:t>(urban1.com), together with its subsidiaries, is the largest diversified media company that primarily targets Black Americans and urban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consumers in the United States. The Company owns </w:t>
      </w:r>
      <w:r>
        <w:rPr>
          <w:rFonts w:ascii="Times New Roman" w:cs="Times New Roman" w:eastAsia="Times New Roman" w:hAnsi="Times New Roman"/>
          <w:sz w:val="17"/>
          <w:szCs w:val="17"/>
          <w:b w:val="1"/>
          <w:bCs w:val="1"/>
          <w:color w:val="auto"/>
        </w:rPr>
        <w:t>TV One, LLC</w:t>
      </w:r>
      <w:r>
        <w:rPr>
          <w:rFonts w:ascii="Times New Roman" w:cs="Times New Roman" w:eastAsia="Times New Roman" w:hAnsi="Times New Roman"/>
          <w:sz w:val="17"/>
          <w:szCs w:val="17"/>
          <w:color w:val="auto"/>
        </w:rPr>
        <w:t xml:space="preserve"> (tvone.tv), a television network serving more than 30 million households, offering a broad range of original programming, classic series and movies designed to entertain, inform, and inspire a diverse audience of adult Black viewers. As of December 31, 2025, we owned and/or operated 76 independently formatted, revenue producing broadcast stations (including 58 FM or AM stations, 16 HD stations, and the 2 low power television stations we operate), located in 13 of the most populous African-American markets in the United States. Through its controlling interest in </w:t>
      </w:r>
      <w:r>
        <w:rPr>
          <w:rFonts w:ascii="Times New Roman" w:cs="Times New Roman" w:eastAsia="Times New Roman" w:hAnsi="Times New Roman"/>
          <w:sz w:val="17"/>
          <w:szCs w:val="17"/>
          <w:b w:val="1"/>
          <w:bCs w:val="1"/>
          <w:color w:val="auto"/>
        </w:rPr>
        <w:t xml:space="preserve">Reach Media, Inc. </w:t>
      </w:r>
      <w:r>
        <w:rPr>
          <w:rFonts w:ascii="Times New Roman" w:cs="Times New Roman" w:eastAsia="Times New Roman" w:hAnsi="Times New Roman"/>
          <w:sz w:val="17"/>
          <w:szCs w:val="17"/>
          <w:color w:val="auto"/>
        </w:rPr>
        <w:t>(blackamericaweb.com), the Company also operates syndicated programming including the Rickey Smiley Morning Show, and the DL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Hughley Show. In addition to its radio and television broadcast assets, Urban One owns </w:t>
      </w:r>
      <w:r>
        <w:rPr>
          <w:rFonts w:ascii="Times New Roman" w:cs="Times New Roman" w:eastAsia="Times New Roman" w:hAnsi="Times New Roman"/>
          <w:sz w:val="17"/>
          <w:szCs w:val="17"/>
          <w:b w:val="1"/>
          <w:bCs w:val="1"/>
          <w:color w:val="auto"/>
        </w:rPr>
        <w:t>iOne Digital</w:t>
      </w:r>
      <w:r>
        <w:rPr>
          <w:rFonts w:ascii="Times New Roman" w:cs="Times New Roman" w:eastAsia="Times New Roman" w:hAnsi="Times New Roman"/>
          <w:sz w:val="17"/>
          <w:szCs w:val="17"/>
          <w:color w:val="auto"/>
        </w:rPr>
        <w:t xml:space="preserve"> (ionedigital.com), our wholly owned digital platform serving the African American community through social content, news, information, and entertainment websites, including its Cassius, Bossip, HipHopWired and MadameNoire digital platforms and brands. Through our national multi-media operations, we provide advertisers with a unique and powerful delivery mechanism to the African American and urban audiences.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w:t>
      </w:r>
    </w:p>
    <w:p>
      <w:pPr>
        <w:spacing w:after="0" w:line="114" w:lineRule="exact"/>
        <w:rPr>
          <w:sz w:val="20"/>
          <w:szCs w:val="20"/>
          <w:color w:val="auto"/>
        </w:rPr>
      </w:pPr>
    </w:p>
    <w:p>
      <w:pPr>
        <w:jc w:val="both"/>
        <w:ind w:left="160" w:hanging="157"/>
        <w:spacing w:after="0"/>
        <w:tabs>
          <w:tab w:leader="none" w:pos="153"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“Broadcast and digital operating income”: The radio broadcasting industry commonly refers to “station operating income” which consists of net loss before depreciation and amortization, income taxes, interest expense, interest and investment income, non-controlling interests in income of subsidiaries, other income, net, loss from unconsolidated joint venture, corporate selling, general and administrative expenses, stock-based compensation, impairment of goodwill and intangible assets, and (gain) loss on retirement of debt. However, given the diverse nature of our business, station operating income is not truly reflective of our multi-media operation and, therefore, we use the term “broadcast and digital operating income.” Broadcast and digital operating income is not a measure of financial performance under GAAP. Nevertheless, broadcast and digital operating income is a significant measure used by our management to evaluate the operating performance of our core operating segments. Broadcast and digital operating income provides helpful information about our results of operations, apart from expenses associated with our fixed assets and goodwill and intangible assets, income taxes, investments, impairment charges, debt financings and retirements, corporate overhead and stock-based compensation. Our measure of broadcast and digital operating income is similar to industry use of station operating income; however, it reflects our more diverse business and therefore is not completely analogous to “station operating income” or other similarly titled measures as used by other companies. Broadcast and digital operating income does not represent operating income or loss, or cash flow from operating activities, as those terms are defined under GAAP, and should not be considered as an alternative to those measurements as an indicator of our performance.</w:t>
      </w:r>
    </w:p>
    <w:p>
      <w:pPr>
        <w:spacing w:after="0" w:line="97" w:lineRule="exact"/>
        <w:rPr>
          <w:sz w:val="20"/>
          <w:szCs w:val="20"/>
          <w:color w:val="auto"/>
        </w:rPr>
      </w:pPr>
    </w:p>
    <w:p>
      <w:pPr>
        <w:jc w:val="both"/>
        <w:ind w:left="160" w:hanging="157"/>
        <w:spacing w:after="0" w:line="225" w:lineRule="auto"/>
        <w:tabs>
          <w:tab w:leader="none" w:pos="153"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“Adjusted EBITDA": Adjusted EBITDA consists of net (loss) income plus (1) depreciation and amortization, income taxes, interest expense, net income attributable to non-controlling interests, impairment of goodwill and intangible assets, stock-based compensation, (gain) loss on retirement of debt, employment agreement award and other compensation, corporate costs, non-recurring</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litigation settlement costs, non-recurring debt refinancing costs, severance-related costs, investment income, loss from unconsolidated joint venture, loss from ceased non-core business initiatives less</w:t>
      </w:r>
    </w:p>
    <w:p>
      <w:pPr>
        <w:spacing w:after="0" w:line="8" w:lineRule="exact"/>
        <w:rPr>
          <w:sz w:val="20"/>
          <w:szCs w:val="20"/>
          <w:color w:val="auto"/>
        </w:rPr>
      </w:pPr>
    </w:p>
    <w:p>
      <w:pPr>
        <w:jc w:val="both"/>
        <w:ind w:left="160" w:hanging="2"/>
        <w:spacing w:after="0" w:line="248" w:lineRule="auto"/>
        <w:tabs>
          <w:tab w:leader="none" w:pos="37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net and interest and investment income. Net (loss) income before interest income, interest expense, income taxes, depreciation and amortization is commonly referred to in our business as “EBITDA.” Adjusted EBITDA and EBITDA are not measures of financial performance under GAAP. We believe Adjusted EBITDA is often a useful measure of a company’s operating performance and is a significant measure used by our management to evaluate the operating performance of our business. Accordingly, based on the previous description of Adjusted EBITDA, we believe that it provides useful information about the operating performance of our business, apart from the expenses associated with our fixed assets and goodwill and intangible assets, or capital structure. Adjusted EBITDA is frequently used as one of the measures for comparing businesses in the broadcasting industry, although our measure of Adjusted EBITDA may not be comparable to similarly titled measures of other companies, including, but not limited to the fact that our definition includes the results of all four of our operating segments (Radio Broadcasting, Reach Media, Digital, and Cable Television). Business activities unrelated to these four segments are included in an “all other” category which the Company refers to as “All other - corporate/eliminations.” Adjusted EBITDA and EBITDA do not purport to represent operating income or cash flow from operating activities, as those terms are defined under GAAP, and should not be considered as alternatives to those measurements as an indicator of our performance.</w:t>
      </w:r>
    </w:p>
    <w:p>
      <w:pPr>
        <w:spacing w:after="0" w:line="87" w:lineRule="exact"/>
        <w:rPr>
          <w:sz w:val="20"/>
          <w:szCs w:val="20"/>
          <w:color w:val="auto"/>
        </w:rPr>
      </w:pPr>
    </w:p>
    <w:p>
      <w:pPr>
        <w:ind w:left="160" w:hanging="157"/>
        <w:spacing w:after="0" w:line="217" w:lineRule="auto"/>
        <w:tabs>
          <w:tab w:leader="none" w:pos="153"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the three months ended December 31, 2025 and 2024, Urban One had 4,444,458 and 4,565,959 shares of common stock outstanding on a weighted average basis (basic), respectively. For the twelve months ended December 31, 2025 and 2024, Urban One had 4,458,325 and 4,740,287 shares of common stock outstanding on a weighted average basis (basic), respectively.</w:t>
      </w:r>
    </w:p>
    <w:p>
      <w:pPr>
        <w:spacing w:after="0" w:line="93" w:lineRule="exact"/>
        <w:rPr>
          <w:sz w:val="20"/>
          <w:szCs w:val="20"/>
          <w:color w:val="auto"/>
        </w:rPr>
      </w:pPr>
    </w:p>
    <w:p>
      <w:pPr>
        <w:jc w:val="both"/>
        <w:ind w:left="160" w:hanging="157"/>
        <w:spacing w:after="0" w:line="233" w:lineRule="auto"/>
        <w:tabs>
          <w:tab w:leader="none" w:pos="153"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the three months ended December 31, 2025 and 2024, Urban One had 4,444,458 and 4,565,959 shares of common stock outstanding on a weighted average basis (fully diluted for outstanding stock awards), respectively. For the twelve months ended December 31, 2025 and 2024, Urban One had 4,458,325 and 4,740,287 shares of common stock outstanding on a weighted average basis (fully diluted for outstanding stock awards), respectively.</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bullet"/>
      <w:start w:val="1"/>
    </w:lvl>
  </w:abstractNum>
  <w:abstractNum w:abstractNumId="10">
    <w:nsid w:val="140E0F76"/>
    <w:multiLevelType w:val="hybridMultilevel"/>
    <w:lvl w:ilvl="0">
      <w:lvlJc w:val="left"/>
      <w:lvlText w:val="2"/>
      <w:numFmt w:val="bullet"/>
      <w:start w:val="1"/>
    </w:lvl>
  </w:abstractNum>
  <w:abstractNum w:abstractNumId="11">
    <w:nsid w:val="3352255A"/>
    <w:multiLevelType w:val="hybridMultilevel"/>
    <w:lvl w:ilvl="0">
      <w:lvlJc w:val="left"/>
      <w:lvlText w:val="(%1)"/>
      <w:numFmt w:val="decimal"/>
      <w:start w:val="2"/>
    </w:lvl>
  </w:abstractNum>
  <w:abstractNum w:abstractNumId="12">
    <w:nsid w:val="109CF92E"/>
    <w:multiLevelType w:val="hybridMultilevel"/>
    <w:lvl w:ilvl="0">
      <w:lvlJc w:val="left"/>
      <w:lvlText w:val="3"/>
      <w:numFmt w:val="bullet"/>
      <w:start w:val="1"/>
    </w:lvl>
  </w:abstractNum>
  <w:abstractNum w:abstractNumId="13">
    <w:nsid w:val="DED7263"/>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2026-03-17T06:03:15Z</dcterms:created>
  <dcterms:modified xsi:type="dcterms:W3CDTF">2026-03-17T06:03:15Z</dcterms:modified>
</cp:coreProperties>
</file>