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0"/>
        <w:spacing w:after="0"/>
        <w:rPr>
          <w:sz w:val="20"/>
          <w:szCs w:val="20"/>
          <w:color w:val="auto"/>
        </w:rPr>
      </w:pPr>
      <w:r>
        <w:rPr>
          <w:rFonts w:ascii="Courier New" w:cs="Courier New" w:eastAsia="Courier New" w:hAnsi="Courier New"/>
          <w:sz w:val="14"/>
          <w:szCs w:val="14"/>
          <w:color w:val="auto"/>
        </w:rPr>
        <w:t>As filed with the Securities and Exchange Commission on July 17, 2001.</w:t>
      </w:r>
    </w:p>
    <w:p>
      <w:pPr>
        <w:spacing w:after="0" w:line="8" w:lineRule="exact"/>
        <w:rPr>
          <w:sz w:val="24"/>
          <w:szCs w:val="24"/>
          <w:color w:val="auto"/>
        </w:rPr>
      </w:pPr>
    </w:p>
    <w:p>
      <w:pPr>
        <w:ind w:left="4600"/>
        <w:spacing w:after="0"/>
        <w:rPr>
          <w:sz w:val="20"/>
          <w:szCs w:val="20"/>
          <w:color w:val="auto"/>
        </w:rPr>
      </w:pPr>
      <w:r>
        <w:rPr>
          <w:rFonts w:ascii="Courier New" w:cs="Courier New" w:eastAsia="Courier New" w:hAnsi="Courier New"/>
          <w:sz w:val="14"/>
          <w:szCs w:val="14"/>
          <w:color w:val="auto"/>
        </w:rPr>
        <w:t>Registration No. 333-</w:t>
      </w:r>
    </w:p>
    <w:p>
      <w:pPr>
        <w:spacing w:after="0" w:line="8" w:lineRule="exact"/>
        <w:rPr>
          <w:sz w:val="24"/>
          <w:szCs w:val="2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AND EXCHANGE COMMISSION</w:t>
      </w:r>
    </w:p>
    <w:p>
      <w:pPr>
        <w:spacing w:after="0" w:line="8" w:lineRule="exact"/>
        <w:rPr>
          <w:rFonts w:ascii="Courier New" w:cs="Courier New" w:eastAsia="Courier New" w:hAnsi="Courier New"/>
          <w:sz w:val="14"/>
          <w:szCs w:val="14"/>
          <w:color w:val="auto"/>
        </w:rPr>
      </w:pPr>
    </w:p>
    <w:p>
      <w:pPr>
        <w:ind w:left="2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Washington, D.C. 20549</w:t>
      </w:r>
    </w:p>
    <w:p>
      <w:pPr>
        <w:spacing w:after="0" w:line="8" w:lineRule="exact"/>
        <w:rPr>
          <w:rFonts w:ascii="Courier New" w:cs="Courier New" w:eastAsia="Courier New" w:hAnsi="Courier New"/>
          <w:sz w:val="14"/>
          <w:szCs w:val="14"/>
          <w:color w:val="auto"/>
        </w:rPr>
      </w:pPr>
    </w:p>
    <w:p>
      <w:pPr>
        <w:ind w:left="2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FORM S-4</w:t>
      </w:r>
    </w:p>
    <w:p>
      <w:pPr>
        <w:spacing w:after="0" w:line="8" w:lineRule="exact"/>
        <w:rPr>
          <w:rFonts w:ascii="Courier New" w:cs="Courier New" w:eastAsia="Courier New" w:hAnsi="Courier New"/>
          <w:sz w:val="14"/>
          <w:szCs w:val="14"/>
          <w:color w:val="auto"/>
        </w:rPr>
      </w:pPr>
    </w:p>
    <w:p>
      <w:pPr>
        <w:ind w:left="2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w:t>
      </w:r>
    </w:p>
    <w:p>
      <w:pPr>
        <w:spacing w:after="0" w:line="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Under</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Securities Act of 1933</w:t>
      </w:r>
    </w:p>
    <w:p>
      <w:pPr>
        <w:spacing w:after="0" w:line="8"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RADIO ONE, INC.*</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5" w:lineRule="exact"/>
        <w:rPr>
          <w:sz w:val="24"/>
          <w:szCs w:val="24"/>
          <w:color w:val="auto"/>
        </w:rPr>
      </w:pPr>
    </w:p>
    <w:tbl>
      <w:tblPr>
        <w:tblLayout w:type="fixed"/>
        <w:tblInd w:w="360" w:type="dxa"/>
        <w:tblCellMar>
          <w:top w:w="0" w:type="dxa"/>
          <w:left w:w="0" w:type="dxa"/>
          <w:bottom w:w="0" w:type="dxa"/>
          <w:right w:w="0" w:type="dxa"/>
        </w:tblCellMar>
      </w:tblPr>
      <w:tr>
        <w:trPr>
          <w:trHeight w:val="162"/>
        </w:trPr>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Delaware</w:t>
            </w:r>
          </w:p>
        </w:tc>
        <w:tc>
          <w:tcPr>
            <w:tcW w:w="300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4832</w:t>
            </w:r>
          </w:p>
        </w:tc>
        <w:tc>
          <w:tcPr>
            <w:tcW w:w="1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52-1166660</w:t>
            </w:r>
          </w:p>
        </w:tc>
      </w:tr>
      <w:tr>
        <w:trPr>
          <w:trHeight w:val="167"/>
        </w:trPr>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(State or other</w:t>
            </w:r>
          </w:p>
        </w:tc>
        <w:tc>
          <w:tcPr>
            <w:tcW w:w="30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(Primary Standard</w:t>
            </w:r>
          </w:p>
        </w:tc>
        <w:tc>
          <w:tcPr>
            <w:tcW w:w="18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jurisdiction of</w:t>
            </w:r>
          </w:p>
        </w:tc>
        <w:tc>
          <w:tcPr>
            <w:tcW w:w="300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Industrial</w:t>
            </w:r>
          </w:p>
        </w:tc>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rPr>
              <w:t>Identification No.)</w:t>
            </w:r>
          </w:p>
        </w:tc>
      </w:tr>
      <w:tr>
        <w:trPr>
          <w:trHeight w:val="167"/>
        </w:trPr>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incorporation or</w:t>
            </w:r>
          </w:p>
        </w:tc>
        <w:tc>
          <w:tcPr>
            <w:tcW w:w="300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Classification Number)</w:t>
            </w:r>
          </w:p>
        </w:tc>
        <w:tc>
          <w:tcPr>
            <w:tcW w:w="1860" w:type="dxa"/>
            <w:vAlign w:val="bottom"/>
          </w:tcPr>
          <w:p>
            <w:pPr>
              <w:spacing w:after="0"/>
              <w:rPr>
                <w:sz w:val="14"/>
                <w:szCs w:val="14"/>
                <w:color w:val="auto"/>
              </w:rPr>
            </w:pPr>
          </w:p>
        </w:tc>
      </w:tr>
      <w:tr>
        <w:trPr>
          <w:trHeight w:val="167"/>
        </w:trPr>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organization)</w:t>
            </w:r>
          </w:p>
        </w:tc>
        <w:tc>
          <w:tcPr>
            <w:tcW w:w="3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r>
      <w:tr>
        <w:trPr>
          <w:trHeight w:val="167"/>
        </w:trPr>
        <w:tc>
          <w:tcPr>
            <w:tcW w:w="1380" w:type="dxa"/>
            <w:vAlign w:val="bottom"/>
          </w:tcPr>
          <w:p>
            <w:pPr>
              <w:spacing w:after="0"/>
              <w:rPr>
                <w:sz w:val="14"/>
                <w:szCs w:val="14"/>
                <w:color w:val="auto"/>
              </w:rPr>
            </w:pPr>
          </w:p>
        </w:tc>
        <w:tc>
          <w:tcPr>
            <w:tcW w:w="4860" w:type="dxa"/>
            <w:vAlign w:val="bottom"/>
            <w:gridSpan w:val="2"/>
          </w:tcPr>
          <w:p>
            <w:pPr>
              <w:jc w:val="center"/>
              <w:ind w:right="1408"/>
              <w:spacing w:after="0"/>
              <w:rPr>
                <w:sz w:val="20"/>
                <w:szCs w:val="20"/>
                <w:color w:val="auto"/>
              </w:rPr>
            </w:pPr>
            <w:r>
              <w:rPr>
                <w:rFonts w:ascii="Courier New" w:cs="Courier New" w:eastAsia="Courier New" w:hAnsi="Courier New"/>
                <w:sz w:val="14"/>
                <w:szCs w:val="14"/>
                <w:color w:val="auto"/>
              </w:rPr>
              <w:t>5900 Princess Garden Parkway, 7th Floor</w:t>
            </w:r>
          </w:p>
        </w:tc>
      </w:tr>
      <w:tr>
        <w:trPr>
          <w:trHeight w:val="167"/>
        </w:trPr>
        <w:tc>
          <w:tcPr>
            <w:tcW w:w="1380" w:type="dxa"/>
            <w:vAlign w:val="bottom"/>
          </w:tcPr>
          <w:p>
            <w:pPr>
              <w:spacing w:after="0"/>
              <w:rPr>
                <w:sz w:val="14"/>
                <w:szCs w:val="14"/>
                <w:color w:val="auto"/>
              </w:rPr>
            </w:pPr>
          </w:p>
        </w:tc>
        <w:tc>
          <w:tcPr>
            <w:tcW w:w="300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Lanham, MD 20706-2969</w:t>
            </w:r>
          </w:p>
        </w:tc>
        <w:tc>
          <w:tcPr>
            <w:tcW w:w="1860" w:type="dxa"/>
            <w:vAlign w:val="bottom"/>
          </w:tcPr>
          <w:p>
            <w:pPr>
              <w:spacing w:after="0"/>
              <w:rPr>
                <w:sz w:val="14"/>
                <w:szCs w:val="14"/>
                <w:color w:val="auto"/>
              </w:rPr>
            </w:pPr>
          </w:p>
        </w:tc>
      </w:tr>
      <w:tr>
        <w:trPr>
          <w:trHeight w:val="167"/>
        </w:trPr>
        <w:tc>
          <w:tcPr>
            <w:tcW w:w="1380" w:type="dxa"/>
            <w:vAlign w:val="bottom"/>
          </w:tcPr>
          <w:p>
            <w:pPr>
              <w:spacing w:after="0"/>
              <w:rPr>
                <w:sz w:val="14"/>
                <w:szCs w:val="14"/>
                <w:color w:val="auto"/>
              </w:rPr>
            </w:pPr>
          </w:p>
        </w:tc>
        <w:tc>
          <w:tcPr>
            <w:tcW w:w="30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Telephone: (301) 306-1111</w:t>
            </w:r>
          </w:p>
        </w:tc>
        <w:tc>
          <w:tcPr>
            <w:tcW w:w="1860" w:type="dxa"/>
            <w:vAlign w:val="bottom"/>
          </w:tcPr>
          <w:p>
            <w:pPr>
              <w:spacing w:after="0"/>
              <w:rPr>
                <w:sz w:val="14"/>
                <w:szCs w:val="14"/>
                <w:color w:val="auto"/>
              </w:rPr>
            </w:pPr>
          </w:p>
        </w:tc>
      </w:tr>
    </w:tbl>
    <w:p>
      <w:pPr>
        <w:spacing w:after="0" w:line="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registrants' principal executive offices)</w:t>
      </w:r>
    </w:p>
    <w:p>
      <w:pPr>
        <w:spacing w:after="0" w:line="8"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ALFRED C. LIGGINS, III</w:t>
      </w:r>
    </w:p>
    <w:p>
      <w:pPr>
        <w:spacing w:after="0" w:line="8"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Chief Executive Officer and President</w:t>
      </w:r>
    </w:p>
    <w:p>
      <w:pPr>
        <w:spacing w:after="0" w:line="8"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Radio One, Inc.</w:t>
      </w:r>
    </w:p>
    <w:p>
      <w:pPr>
        <w:spacing w:after="0" w:line="8"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5900 Princess Garden Parkway, 7th Floor</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Lanham, MD 20706-2969</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Telephone: (301) 306-1111</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of agent for service)</w:t>
      </w:r>
    </w:p>
    <w:p>
      <w:pPr>
        <w:spacing w:after="0" w:line="8"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Copies to:</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TERRANCE L. BESSEY, ESQ.</w:t>
      </w:r>
    </w:p>
    <w:p>
      <w:pPr>
        <w:spacing w:after="0" w:line="8"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Kirkland &amp; Ellis</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655 Fifteenth Street, N.W.</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Washington, DC 20005-5793</w:t>
      </w:r>
    </w:p>
    <w:p>
      <w:pPr>
        <w:spacing w:after="0" w:line="8" w:lineRule="exact"/>
        <w:rPr>
          <w:sz w:val="24"/>
          <w:szCs w:val="24"/>
          <w:color w:val="auto"/>
        </w:rPr>
      </w:pPr>
    </w:p>
    <w:p>
      <w:pPr>
        <w:ind w:left="3400" w:hanging="527"/>
        <w:spacing w:after="0"/>
        <w:tabs>
          <w:tab w:leader="none" w:pos="340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879-5000</w:t>
      </w:r>
    </w:p>
    <w:p>
      <w:pPr>
        <w:spacing w:after="0" w:line="175" w:lineRule="exact"/>
        <w:rPr>
          <w:rFonts w:ascii="Courier New" w:cs="Courier New" w:eastAsia="Courier New" w:hAnsi="Courier New"/>
          <w:sz w:val="14"/>
          <w:szCs w:val="14"/>
          <w:color w:val="auto"/>
        </w:rPr>
      </w:pPr>
    </w:p>
    <w:p>
      <w:pPr>
        <w:ind w:left="360" w:right="3639" w:hanging="347"/>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The companies listed on the next page are also included in this Form S-4 Registration Statement as additional Registrants.</w:t>
      </w:r>
    </w:p>
    <w:p>
      <w:pPr>
        <w:spacing w:after="0" w:line="160" w:lineRule="exact"/>
        <w:rPr>
          <w:sz w:val="24"/>
          <w:szCs w:val="24"/>
          <w:color w:val="auto"/>
        </w:rPr>
      </w:pPr>
    </w:p>
    <w:p>
      <w:pPr>
        <w:ind w:right="3539" w:firstLine="260"/>
        <w:spacing w:after="0" w:line="255" w:lineRule="auto"/>
        <w:rPr>
          <w:sz w:val="20"/>
          <w:szCs w:val="20"/>
          <w:color w:val="auto"/>
        </w:rPr>
      </w:pPr>
      <w:r>
        <w:rPr>
          <w:rFonts w:ascii="Courier New" w:cs="Courier New" w:eastAsia="Courier New" w:hAnsi="Courier New"/>
          <w:sz w:val="14"/>
          <w:szCs w:val="14"/>
          <w:color w:val="auto"/>
        </w:rPr>
        <w:t>Approximate date of commencement of proposed sale of the securities to the public: The exchange offer will commence as soon as practicable after the effective date of this Registration Statement.</w:t>
      </w:r>
    </w:p>
    <w:p>
      <w:pPr>
        <w:spacing w:after="0" w:line="162" w:lineRule="exact"/>
        <w:rPr>
          <w:sz w:val="24"/>
          <w:szCs w:val="24"/>
          <w:color w:val="auto"/>
        </w:rPr>
      </w:pPr>
    </w:p>
    <w:p>
      <w:pPr>
        <w:ind w:right="3379" w:firstLine="260"/>
        <w:spacing w:after="0" w:line="255" w:lineRule="auto"/>
        <w:rPr>
          <w:sz w:val="20"/>
          <w:szCs w:val="20"/>
          <w:color w:val="auto"/>
        </w:rPr>
      </w:pPr>
      <w:r>
        <w:rPr>
          <w:rFonts w:ascii="Courier New" w:cs="Courier New" w:eastAsia="Courier New" w:hAnsi="Courier New"/>
          <w:sz w:val="14"/>
          <w:szCs w:val="14"/>
          <w:color w:val="auto"/>
        </w:rPr>
        <w:t>If the securities being registered on this form are being offered in connection with the formation of a holding company and there is compliance with General Instruction G, check the following box. [_]</w:t>
      </w:r>
    </w:p>
    <w:p>
      <w:pPr>
        <w:spacing w:after="0" w:line="162" w:lineRule="exact"/>
        <w:rPr>
          <w:sz w:val="24"/>
          <w:szCs w:val="24"/>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163" w:lineRule="exact"/>
        <w:rPr>
          <w:sz w:val="24"/>
          <w:szCs w:val="24"/>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163"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CALCULATION OF REGISTRATION FEE</w:t>
      </w:r>
    </w:p>
    <w:p>
      <w:pPr>
        <w:spacing w:after="0" w:line="8" w:lineRule="exact"/>
        <w:rPr>
          <w:sz w:val="24"/>
          <w:szCs w:val="2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4"/>
          <w:szCs w:val="24"/>
          <w:color w:val="auto"/>
        </w:rPr>
      </w:pPr>
    </w:p>
    <w:p>
      <w:pPr>
        <w:ind w:left="4700"/>
        <w:spacing w:after="0"/>
        <w:rPr>
          <w:sz w:val="20"/>
          <w:szCs w:val="20"/>
          <w:color w:val="auto"/>
        </w:rPr>
      </w:pPr>
      <w:r>
        <w:rPr>
          <w:rFonts w:ascii="Courier New" w:cs="Courier New" w:eastAsia="Courier New" w:hAnsi="Courier New"/>
          <w:sz w:val="14"/>
          <w:szCs w:val="14"/>
          <w:color w:val="auto"/>
        </w:rPr>
        <w:t>Proposed</w:t>
      </w:r>
    </w:p>
    <w:p>
      <w:pPr>
        <w:spacing w:after="0" w:line="8" w:lineRule="exact"/>
        <w:rPr>
          <w:sz w:val="24"/>
          <w:szCs w:val="24"/>
          <w:color w:val="auto"/>
        </w:rPr>
      </w:pPr>
    </w:p>
    <w:p>
      <w:pPr>
        <w:ind w:left="3560"/>
        <w:spacing w:after="0"/>
        <w:tabs>
          <w:tab w:leader="none" w:pos="4680" w:val="left"/>
          <w:tab w:leader="none" w:pos="580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maximum</w:t>
      </w:r>
      <w:r>
        <w:rPr>
          <w:sz w:val="20"/>
          <w:szCs w:val="20"/>
          <w:color w:val="auto"/>
        </w:rPr>
        <w:tab/>
      </w:r>
      <w:r>
        <w:rPr>
          <w:rFonts w:ascii="Courier New" w:cs="Courier New" w:eastAsia="Courier New" w:hAnsi="Courier New"/>
          <w:sz w:val="14"/>
          <w:szCs w:val="14"/>
          <w:color w:val="auto"/>
        </w:rPr>
        <w:t>Amount of</w:t>
      </w:r>
    </w:p>
    <w:p>
      <w:pPr>
        <w:spacing w:after="0" w:line="8" w:lineRule="exact"/>
        <w:rPr>
          <w:sz w:val="24"/>
          <w:szCs w:val="24"/>
          <w:color w:val="auto"/>
        </w:rPr>
      </w:pPr>
    </w:p>
    <w:p>
      <w:pPr>
        <w:ind w:left="620"/>
        <w:spacing w:after="0"/>
        <w:tabs>
          <w:tab w:leader="none" w:pos="3540" w:val="left"/>
          <w:tab w:leader="none" w:pos="4420" w:val="left"/>
        </w:tabs>
        <w:rPr>
          <w:sz w:val="20"/>
          <w:szCs w:val="20"/>
          <w:color w:val="auto"/>
        </w:rPr>
      </w:pPr>
      <w:r>
        <w:rPr>
          <w:rFonts w:ascii="Courier New" w:cs="Courier New" w:eastAsia="Courier New" w:hAnsi="Courier New"/>
          <w:sz w:val="14"/>
          <w:szCs w:val="14"/>
          <w:color w:val="auto"/>
        </w:rPr>
        <w:t>Title of each class of</w:t>
      </w:r>
      <w:r>
        <w:rPr>
          <w:sz w:val="20"/>
          <w:szCs w:val="20"/>
          <w:color w:val="auto"/>
        </w:rPr>
        <w:tab/>
      </w:r>
      <w:r>
        <w:rPr>
          <w:rFonts w:ascii="Courier New" w:cs="Courier New" w:eastAsia="Courier New" w:hAnsi="Courier New"/>
          <w:sz w:val="14"/>
          <w:szCs w:val="14"/>
          <w:color w:val="auto"/>
        </w:rPr>
        <w:t>to be</w:t>
      </w:r>
      <w:r>
        <w:rPr>
          <w:sz w:val="20"/>
          <w:szCs w:val="20"/>
          <w:color w:val="auto"/>
        </w:rPr>
        <w:tab/>
      </w:r>
      <w:r>
        <w:rPr>
          <w:rFonts w:ascii="Courier New" w:cs="Courier New" w:eastAsia="Courier New" w:hAnsi="Courier New"/>
          <w:sz w:val="14"/>
          <w:szCs w:val="14"/>
          <w:color w:val="auto"/>
        </w:rPr>
        <w:t>offering price registration</w:t>
      </w:r>
    </w:p>
    <w:p>
      <w:pPr>
        <w:spacing w:after="0" w:line="8" w:lineRule="exact"/>
        <w:rPr>
          <w:sz w:val="24"/>
          <w:szCs w:val="24"/>
          <w:color w:val="auto"/>
        </w:rPr>
      </w:pPr>
    </w:p>
    <w:p>
      <w:pPr>
        <w:ind w:left="440"/>
        <w:spacing w:after="0"/>
        <w:tabs>
          <w:tab w:leader="none" w:pos="3380" w:val="left"/>
          <w:tab w:leader="none" w:pos="4680" w:val="left"/>
          <w:tab w:leader="none" w:pos="6060" w:val="left"/>
        </w:tabs>
        <w:rPr>
          <w:sz w:val="20"/>
          <w:szCs w:val="20"/>
          <w:color w:val="auto"/>
        </w:rPr>
      </w:pPr>
      <w:r>
        <w:rPr>
          <w:rFonts w:ascii="Courier New" w:cs="Courier New" w:eastAsia="Courier New" w:hAnsi="Courier New"/>
          <w:sz w:val="14"/>
          <w:szCs w:val="14"/>
          <w:color w:val="auto"/>
        </w:rPr>
        <w:t>securities to be registered</w:t>
      </w:r>
      <w:r>
        <w:rPr>
          <w:sz w:val="20"/>
          <w:szCs w:val="20"/>
          <w:color w:val="auto"/>
        </w:rPr>
        <w:tab/>
      </w:r>
      <w:r>
        <w:rPr>
          <w:rFonts w:ascii="Courier New" w:cs="Courier New" w:eastAsia="Courier New" w:hAnsi="Courier New"/>
          <w:sz w:val="14"/>
          <w:szCs w:val="14"/>
          <w:color w:val="auto"/>
        </w:rPr>
        <w:t>registered</w:t>
      </w:r>
      <w:r>
        <w:rPr>
          <w:sz w:val="20"/>
          <w:szCs w:val="20"/>
          <w:color w:val="auto"/>
        </w:rPr>
        <w:tab/>
      </w:r>
      <w:r>
        <w:rPr>
          <w:rFonts w:ascii="Courier New" w:cs="Courier New" w:eastAsia="Courier New" w:hAnsi="Courier New"/>
          <w:sz w:val="14"/>
          <w:szCs w:val="14"/>
          <w:color w:val="auto"/>
        </w:rPr>
        <w:t>per unit</w:t>
      </w:r>
      <w:r>
        <w:rPr>
          <w:sz w:val="20"/>
          <w:szCs w:val="20"/>
          <w:color w:val="auto"/>
        </w:rPr>
        <w:tab/>
      </w:r>
      <w:r>
        <w:rPr>
          <w:rFonts w:ascii="Courier New" w:cs="Courier New" w:eastAsia="Courier New" w:hAnsi="Courier New"/>
          <w:sz w:val="14"/>
          <w:szCs w:val="14"/>
          <w:color w:val="auto"/>
        </w:rPr>
        <w:t>fee</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8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Senior</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Subordinated Notes due</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2011,</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series</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$300,000,000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$1,000.00</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$75,000(/2/)</w:t>
            </w:r>
          </w:p>
        </w:tc>
      </w:tr>
    </w:tbl>
    <w:p>
      <w:pPr>
        <w:spacing w:after="0" w:line="4" w:lineRule="exact"/>
        <w:rPr>
          <w:sz w:val="24"/>
          <w:szCs w:val="2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 of Senior Subordinated</w:t>
      </w:r>
    </w:p>
    <w:p>
      <w:pPr>
        <w:spacing w:after="0" w:line="175" w:lineRule="exact"/>
        <w:rPr>
          <w:sz w:val="24"/>
          <w:szCs w:val="2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520" w:right="3719" w:hanging="519"/>
        <w:spacing w:after="0" w:line="252" w:lineRule="auto"/>
        <w:tabs>
          <w:tab w:leader="none" w:pos="500" w:val="left"/>
        </w:tabs>
        <w:rPr>
          <w:sz w:val="20"/>
          <w:szCs w:val="20"/>
          <w:color w:val="auto"/>
        </w:rPr>
      </w:pPr>
      <w:r>
        <w:rPr>
          <w:rFonts w:ascii="Courier New" w:cs="Courier New" w:eastAsia="Courier New" w:hAnsi="Courier New"/>
          <w:sz w:val="14"/>
          <w:szCs w:val="14"/>
          <w:color w:val="auto"/>
        </w:rPr>
        <w:t>(/1/)</w:t>
        <w:tab/>
        <w:t>All subsidiary guarantors are wholly owned subsidiaries of Radio One, Inc., and each have guaranteed the Notes being registered.</w:t>
      </w:r>
    </w:p>
    <w:p>
      <w:pPr>
        <w:spacing w:after="0" w:line="1" w:lineRule="exact"/>
        <w:rPr>
          <w:sz w:val="24"/>
          <w:szCs w:val="24"/>
          <w:color w:val="auto"/>
        </w:rPr>
      </w:pPr>
    </w:p>
    <w:p>
      <w:pPr>
        <w:ind w:left="520" w:right="3459" w:hanging="519"/>
        <w:spacing w:after="0" w:line="252" w:lineRule="auto"/>
        <w:tabs>
          <w:tab w:leader="none" w:pos="500" w:val="left"/>
        </w:tabs>
        <w:rPr>
          <w:sz w:val="20"/>
          <w:szCs w:val="20"/>
          <w:color w:val="auto"/>
        </w:rPr>
      </w:pPr>
      <w:r>
        <w:rPr>
          <w:rFonts w:ascii="Courier New" w:cs="Courier New" w:eastAsia="Courier New" w:hAnsi="Courier New"/>
          <w:sz w:val="14"/>
          <w:szCs w:val="14"/>
          <w:color w:val="auto"/>
        </w:rPr>
        <w:t>(/2/)</w:t>
        <w:tab/>
        <w:t>Calculated in accordance with Rule 457 under the Securities Act of 1933, as amended.</w:t>
      </w:r>
    </w:p>
    <w:p>
      <w:pPr>
        <w:spacing w:after="0" w:line="1" w:lineRule="exact"/>
        <w:rPr>
          <w:sz w:val="24"/>
          <w:szCs w:val="24"/>
          <w:color w:val="auto"/>
        </w:rPr>
      </w:pPr>
    </w:p>
    <w:p>
      <w:pPr>
        <w:ind w:left="520" w:right="3539" w:hanging="519"/>
        <w:spacing w:after="0" w:line="252" w:lineRule="auto"/>
        <w:tabs>
          <w:tab w:leader="none" w:pos="500" w:val="left"/>
        </w:tabs>
        <w:rPr>
          <w:sz w:val="20"/>
          <w:szCs w:val="20"/>
          <w:color w:val="auto"/>
        </w:rPr>
      </w:pPr>
      <w:r>
        <w:rPr>
          <w:rFonts w:ascii="Courier New" w:cs="Courier New" w:eastAsia="Courier New" w:hAnsi="Courier New"/>
          <w:sz w:val="14"/>
          <w:szCs w:val="14"/>
          <w:color w:val="auto"/>
        </w:rPr>
        <w:t>(/3/)</w:t>
        <w:tab/>
        <w:t>Pursuant to Rule 457(n), no separate fee is payable with respect to the guarantees being registered hereby.</w:t>
      </w:r>
    </w:p>
    <w:p>
      <w:pPr>
        <w:spacing w:after="0" w:line="1"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Registrants hereby amend this Registration Statement on such date or dates as may be necessary to delay its effective date until the Registrants shall file a further amendment that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0239"/>
          </w:cols>
          <w:pgMar w:left="220" w:top="564" w:right="1440" w:bottom="0" w:gutter="0" w:footer="0" w:header="0"/>
        </w:sectPr>
      </w:pPr>
    </w:p>
    <w:bookmarkStart w:id="1" w:name="page2"/>
    <w:bookmarkEnd w:id="1"/>
    <w:p>
      <w:pPr>
        <w:ind w:left="171" w:hanging="171"/>
        <w:spacing w:after="0"/>
        <w:tabs>
          <w:tab w:leader="none" w:pos="17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0"/>
          </w:cols>
          <w:pgMar w:left="229" w:top="30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Exact Name of Additional Registrants*</w:t>
            </w:r>
          </w:p>
        </w:tc>
        <w:tc>
          <w:tcPr>
            <w:tcW w:w="3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Jurisdiction of Formation Identification No.</w:t>
            </w:r>
          </w:p>
        </w:tc>
      </w:tr>
      <w:tr>
        <w:trPr>
          <w:trHeight w:val="167"/>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Licenses, Inc.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52-2037797</w:t>
            </w:r>
          </w:p>
        </w:tc>
      </w:tr>
      <w:tr>
        <w:trPr>
          <w:trHeight w:val="167"/>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WYCB Acquisition Corporation</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52-2091213</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Broadcast</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Holdings, Inc.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District of Columbia</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52-1672361</w:t>
            </w:r>
          </w:p>
        </w:tc>
      </w:tr>
      <w:tr>
        <w:trPr>
          <w:trHeight w:val="167"/>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Bell Broadcasting Company</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Michigan</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38-153-7987</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Detroit, Inc.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52-2107351</w:t>
            </w:r>
          </w:p>
        </w:tc>
      </w:tr>
      <w:tr>
        <w:trPr>
          <w:trHeight w:val="167"/>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Allur-Detroit, Inc.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23-2701497</w:t>
            </w:r>
          </w:p>
        </w:tc>
      </w:tr>
      <w:tr>
        <w:trPr>
          <w:trHeight w:val="167"/>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Allur Licenses, Inc.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52-2135916</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Atlanta, Inc.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52-1925992</w:t>
            </w:r>
          </w:p>
        </w:tc>
      </w:tr>
      <w:tr>
        <w:trPr>
          <w:trHeight w:val="167"/>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ROA Licenses, Inc.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52-2148748</w:t>
            </w:r>
          </w:p>
        </w:tc>
      </w:tr>
      <w:tr>
        <w:trPr>
          <w:trHeight w:val="167"/>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Dogwood Communications, Inc.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58-2245632</w:t>
            </w:r>
          </w:p>
        </w:tc>
      </w:tr>
      <w:tr>
        <w:trPr>
          <w:trHeight w:val="167"/>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Dogwood Licenses, Inc.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52-2158013</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Charlotte, LLC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57-1103928</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Augusta, Inc.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52-2256223</w:t>
            </w:r>
          </w:p>
        </w:tc>
      </w:tr>
      <w:tr>
        <w:trPr>
          <w:trHeight w:val="167"/>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Davis Broadcasting of Charlotte, Inc.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58-2200546</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North Carolina, Inc.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52-2256127</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Boston, Inc.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52-2297366</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Boston Licenses, Inc.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52-2297370</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Blue Chip</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Merger Subsidiary, Inc.</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Delaware</w:t>
            </w:r>
          </w:p>
        </w:tc>
        <w:tc>
          <w:tcPr>
            <w:tcW w:w="1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[applied for]</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right="3379" w:hanging="351"/>
        <w:spacing w:after="0" w:line="254"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for each of the additional Registrants is Radio One, Inc., 5900 Princess Garden Parkway, 7th Floor, Lanham, MD 20706, telephone (301) 306-1111. The primary standard industrial classification number for each of the additional Registrants is 4832.</w:t>
      </w:r>
    </w:p>
    <w:p>
      <w:pPr>
        <w:sectPr>
          <w:pgSz w:w="11900" w:h="16838" w:orient="portrait"/>
          <w:cols w:equalWidth="0" w:num="1">
            <w:col w:w="10239"/>
          </w:cols>
          <w:pgMar w:left="220" w:top="95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gridSpan w:val="6"/>
          </w:tcPr>
          <w:p>
            <w:pPr>
              <w:spacing w:after="0"/>
              <w:rPr>
                <w:sz w:val="20"/>
                <w:szCs w:val="20"/>
                <w:color w:val="auto"/>
              </w:rPr>
            </w:pPr>
            <w:r>
              <w:rPr>
                <w:rFonts w:ascii="Courier New" w:cs="Courier New" w:eastAsia="Courier New" w:hAnsi="Courier New"/>
                <w:sz w:val="14"/>
                <w:szCs w:val="14"/>
                <w:color w:val="auto"/>
              </w:rPr>
              <w:t>+This information in this prospectus is not complete and may</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 changed. These</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+securities may not be sold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until the</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registration</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statement</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filed with the</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+SEC is</w:t>
            </w:r>
          </w:p>
        </w:tc>
        <w:tc>
          <w:tcPr>
            <w:tcW w:w="2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effective. This prospectus is</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not an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offer</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sell nor is it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an offer</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+to buy</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these securities in</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any jurisdiction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where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the offer</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or sale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is not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+permitted.</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SUBJECT TO COMPLETION, DATED JULY 17,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RADIO ONE, INC.</w:t>
      </w:r>
    </w:p>
    <w:p>
      <w:pPr>
        <w:spacing w:after="0" w:line="175"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[LOGO RADIO ONE,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Exchange Offer for</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$300,000,000</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8 7/8% Senior Subordinated Notes due 2011</w:t>
      </w:r>
    </w:p>
    <w:p>
      <w:pPr>
        <w:spacing w:after="0" w:line="175" w:lineRule="exact"/>
        <w:rPr>
          <w:sz w:val="20"/>
          <w:szCs w:val="20"/>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2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 are offering to exchange:</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up to $300,000,000 of our new 8 7/8% Senior Subordinated Notes due 2011, series</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B</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for</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 like amount of our outstanding 8 7/8% Senior Subordinated Notes due 2011.</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Material Terms of Exchange Offer</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360" w:hanging="264"/>
        <w:spacing w:after="0" w:line="253" w:lineRule="auto"/>
        <w:tabs>
          <w:tab w:leader="none" w:pos="447"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notes to be issued in the exchange offer are substantially identical to the outstanding notes, except that the transfer restrictions and registration rights relating to the outstanding notes will not apply to the exchange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hanging="264"/>
        <w:spacing w:after="0" w:line="253" w:lineRule="auto"/>
        <w:tabs>
          <w:tab w:leader="none" w:pos="44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existing public market for the outstanding notes or the exchange notes. We do not intend to list the exchange notes on any securities exchange or seek approval for quotation through any automated trading system.</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ind w:left="354" w:right="5719" w:hanging="267"/>
        <w:spacing w:after="0" w:line="252" w:lineRule="auto"/>
        <w:tabs>
          <w:tab w:leader="none" w:pos="441"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Expires 5:00 p.m., New York City time,</w:t>
      </w:r>
    </w:p>
    <w:p>
      <w:pPr>
        <w:ind w:left="1134" w:hanging="179"/>
        <w:spacing w:after="0"/>
        <w:tabs>
          <w:tab w:leader="none" w:pos="1134"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2001, unless</w:t>
      </w:r>
    </w:p>
    <w:p>
      <w:pPr>
        <w:spacing w:after="0" w:line="8" w:lineRule="exact"/>
        <w:rPr>
          <w:rFonts w:ascii="Courier New" w:cs="Courier New" w:eastAsia="Courier New" w:hAnsi="Courier New"/>
          <w:sz w:val="14"/>
          <w:szCs w:val="14"/>
          <w:color w:val="auto"/>
        </w:rPr>
      </w:pPr>
    </w:p>
    <w:p>
      <w:pPr>
        <w:ind w:left="35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extended.</w:t>
      </w:r>
    </w:p>
    <w:p>
      <w:pPr>
        <w:spacing w:after="0" w:line="175" w:lineRule="exact"/>
        <w:rPr>
          <w:sz w:val="20"/>
          <w:szCs w:val="20"/>
          <w:color w:val="auto"/>
        </w:rPr>
      </w:pPr>
    </w:p>
    <w:p>
      <w:pPr>
        <w:ind w:left="354" w:right="5539" w:hanging="354"/>
        <w:spacing w:after="0" w:line="254" w:lineRule="auto"/>
        <w:tabs>
          <w:tab w:leader="none" w:pos="354"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of notes will not be a taxable event for U.S. federal income tax purposes.</w:t>
      </w:r>
    </w:p>
    <w:p>
      <w:pPr>
        <w:spacing w:after="0" w:line="162" w:lineRule="exact"/>
        <w:rPr>
          <w:sz w:val="20"/>
          <w:szCs w:val="20"/>
          <w:color w:val="auto"/>
        </w:rPr>
      </w:pPr>
    </w:p>
    <w:p>
      <w:pPr>
        <w:ind w:left="354" w:right="5539" w:hanging="354"/>
        <w:spacing w:after="0" w:line="253" w:lineRule="auto"/>
        <w:tabs>
          <w:tab w:leader="none" w:pos="354"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offer is not subject to any condition other than it not violate applicable law or any applicable interpretation of the Staff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54" w:right="5539" w:hanging="354"/>
        <w:spacing w:after="0" w:line="255" w:lineRule="auto"/>
        <w:tabs>
          <w:tab w:leader="none" w:pos="354"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will not receive any proceeds from the exchange offer.</w:t>
      </w:r>
    </w:p>
    <w:p>
      <w:pPr>
        <w:spacing w:after="0" w:line="162" w:lineRule="exact"/>
        <w:rPr>
          <w:sz w:val="20"/>
          <w:szCs w:val="20"/>
          <w:color w:val="auto"/>
        </w:rPr>
      </w:pPr>
    </w:p>
    <w:p>
      <w:pPr>
        <w:ind w:left="354" w:right="6059" w:hanging="354"/>
        <w:spacing w:after="0" w:line="255" w:lineRule="auto"/>
        <w:tabs>
          <w:tab w:leader="none" w:pos="354"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can amend or terminate the exchange offer.</w:t>
      </w:r>
    </w:p>
    <w:p>
      <w:pPr>
        <w:spacing w:after="0" w:line="162" w:lineRule="exact"/>
        <w:rPr>
          <w:sz w:val="20"/>
          <w:szCs w:val="20"/>
          <w:color w:val="auto"/>
        </w:rPr>
      </w:pPr>
    </w:p>
    <w:p>
      <w:pPr>
        <w:sectPr>
          <w:pgSz w:w="11900" w:h="16838" w:orient="portrait"/>
          <w:cols w:equalWidth="0" w:num="2">
            <w:col w:w="2180" w:space="346"/>
            <w:col w:w="7713"/>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174"/>
        <w:spacing w:after="0" w:line="255" w:lineRule="auto"/>
        <w:rPr>
          <w:sz w:val="20"/>
          <w:szCs w:val="20"/>
          <w:color w:val="auto"/>
        </w:rPr>
      </w:pPr>
      <w:r>
        <w:rPr>
          <w:rFonts w:ascii="Courier New" w:cs="Courier New" w:eastAsia="Courier New" w:hAnsi="Courier New"/>
          <w:sz w:val="14"/>
          <w:szCs w:val="14"/>
          <w:color w:val="auto"/>
        </w:rPr>
        <w:t>For a discussion of certain factors that you should consider before participating in this exchange offer, see "Risk Factors" beginning on page 9 of this prospectus.</w:t>
      </w:r>
    </w:p>
    <w:p>
      <w:pPr>
        <w:spacing w:after="0" w:line="162"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Neither the SEC nor any state securities commission has approved the notes to be distributed in the exchange offer, nor have any of these organizations determined that this prospectus is truthful or complete. Any representation to the contrary is a criminal offense.</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 2001</w:t>
      </w:r>
    </w:p>
    <w:p>
      <w:pPr>
        <w:sectPr>
          <w:pgSz w:w="11900" w:h="16838" w:orient="portrait"/>
          <w:cols w:equalWidth="0" w:num="1">
            <w:col w:w="10239"/>
          </w:cols>
          <w:pgMar w:left="220" w:top="620" w:right="1440" w:bottom="1440" w:gutter="0" w:footer="0" w:header="0"/>
          <w:type w:val="continuous"/>
        </w:sectPr>
      </w:pPr>
    </w:p>
    <w:bookmarkStart w:id="4" w:name="page5"/>
    <w:bookmarkEnd w:id="4"/>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656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6560" w:type="dxa"/>
            <w:vAlign w:val="bottom"/>
          </w:tcPr>
          <w:p>
            <w:pPr>
              <w:spacing w:after="0"/>
              <w:rPr>
                <w:sz w:val="20"/>
                <w:szCs w:val="20"/>
                <w:color w:val="auto"/>
              </w:rPr>
            </w:pPr>
            <w:r>
              <w:rPr>
                <w:rFonts w:ascii="Courier New" w:cs="Courier New" w:eastAsia="Courier New" w:hAnsi="Courier New"/>
                <w:sz w:val="14"/>
                <w:szCs w:val="14"/>
                <w:color w:val="auto"/>
              </w:rPr>
              <w:t>Prospectus Summary.........................................................</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Cautionary Note Regarding Forward-Looking Statements.......................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Risk Factors...............................................................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Exchange Offer; Registration Rights........................................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Use of Proceeds............................................................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Condensed Consolidating Financial Statements...............................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Unaudited Pro Forma Consolidated Financial Information.....................</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Description of Indebtedness................................................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Description of Notes.......................................................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Certain U.S. Federal Income Tax Considerations.............................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Plan of Distribution.......................................................</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Legal Matters..............................................................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Independent Public Accountants.............................................</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Incorporation by Reference.................................................</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Index to Financial Statements..............................................</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F-1</w:t>
            </w:r>
          </w:p>
        </w:tc>
      </w:tr>
    </w:tbl>
    <w:p>
      <w:pPr>
        <w:spacing w:after="0" w:line="33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We have not authorized anyone to give any information or represent anything to you other than the information contained in this prospectus or to which we have referred you. You must not rely on any unauthorized information or representations.</w:t>
      </w:r>
    </w:p>
    <w:p>
      <w:pPr>
        <w:spacing w:after="0" w:line="163" w:lineRule="exact"/>
        <w:rPr>
          <w:sz w:val="20"/>
          <w:szCs w:val="20"/>
          <w:color w:val="auto"/>
        </w:rPr>
      </w:pPr>
    </w:p>
    <w:p>
      <w:pPr>
        <w:jc w:val="both"/>
        <w:ind w:right="3459" w:firstLine="260"/>
        <w:spacing w:after="0" w:line="255" w:lineRule="auto"/>
        <w:rPr>
          <w:sz w:val="20"/>
          <w:szCs w:val="20"/>
          <w:color w:val="auto"/>
        </w:rPr>
      </w:pPr>
      <w:r>
        <w:rPr>
          <w:rFonts w:ascii="Courier New" w:cs="Courier New" w:eastAsia="Courier New" w:hAnsi="Courier New"/>
          <w:sz w:val="14"/>
          <w:szCs w:val="14"/>
          <w:color w:val="auto"/>
        </w:rPr>
        <w:t>Until , 2001, all dealers that buy, sell or trade the exchange notes, whether or not participating in the exchange offer, may be required to deliver a prospectus.</w:t>
      </w:r>
    </w:p>
    <w:p>
      <w:pPr>
        <w:spacing w:after="0" w:line="162"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The market data incorporated by reference into this prospectus, including information relating to our relative position in the industry, is based on internal surveys, market research, publicly available information and industry publications. Although we believe that such independent sources are reliable, we have not independently verified the information contained in them, and we cannot guarantee the accuracy or completeness of this information.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20" w:right="1440" w:bottom="1440" w:gutter="0" w:footer="0" w:header="0"/>
        </w:sectPr>
      </w:pPr>
    </w:p>
    <w:bookmarkStart w:id="5" w:name="page6"/>
    <w:bookmarkEnd w:id="5"/>
    <w:p>
      <w:pPr>
        <w:jc w:val="center"/>
        <w:ind w:right="3279"/>
        <w:spacing w:after="0"/>
        <w:rPr>
          <w:sz w:val="20"/>
          <w:szCs w:val="20"/>
          <w:color w:val="auto"/>
        </w:rPr>
      </w:pPr>
      <w:r>
        <w:rPr>
          <w:rFonts w:ascii="Courier New" w:cs="Courier New" w:eastAsia="Courier New" w:hAnsi="Courier New"/>
          <w:sz w:val="14"/>
          <w:szCs w:val="14"/>
          <w:color w:val="auto"/>
        </w:rPr>
        <w:t>PROSPECTUS SUMMARY</w:t>
      </w:r>
    </w:p>
    <w:p>
      <w:pPr>
        <w:spacing w:after="0" w:line="175"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This summary highlights information contained elsewhere or incorporated by reference into this prospectus. This summary does not contain all of the information that you should consider before you make an investment decision. You should carefully read this entire prospectus, including the "Risk Factors" section, and the documents we have referred you to, including the documents incorporated herein by reference, before making your investment decision.</w:t>
      </w:r>
    </w:p>
    <w:p>
      <w:pPr>
        <w:spacing w:after="0" w:line="16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RADIO ONE, INC.</w:t>
      </w:r>
    </w:p>
    <w:p>
      <w:pPr>
        <w:spacing w:after="0" w:line="175" w:lineRule="exact"/>
        <w:rPr>
          <w:sz w:val="20"/>
          <w:szCs w:val="20"/>
          <w:color w:val="auto"/>
        </w:rPr>
      </w:pPr>
    </w:p>
    <w:p>
      <w:pPr>
        <w:ind w:right="3379" w:firstLine="260"/>
        <w:spacing w:after="0" w:line="258" w:lineRule="auto"/>
        <w:rPr>
          <w:sz w:val="20"/>
          <w:szCs w:val="20"/>
          <w:color w:val="auto"/>
        </w:rPr>
      </w:pPr>
      <w:r>
        <w:rPr>
          <w:rFonts w:ascii="Courier New" w:cs="Courier New" w:eastAsia="Courier New" w:hAnsi="Courier New"/>
          <w:sz w:val="14"/>
          <w:szCs w:val="14"/>
          <w:color w:val="auto"/>
        </w:rPr>
        <w:t>Our principal executive offices are located at 5900 Princess Garden Parkway, 7th Floor, Lanham, Maryland 20706 and our telephone number is (301) 306-1111.</w:t>
      </w:r>
    </w:p>
    <w:p>
      <w:pPr>
        <w:spacing w:after="0" w:line="160"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For a description of our business, please see our Form 10-K for the year ended December 31, 2000, which is incorporated by reference into this prospectus. The description of our business contained in our Form 10-K for the year ended December 31, 2000, has been and will be updated and superseded by later filings we make with the SEC that are incorporated by reference into this prospectus.</w:t>
      </w:r>
    </w:p>
    <w:p>
      <w:pPr>
        <w:sectPr>
          <w:pgSz w:w="11900" w:h="16838" w:orient="portrait"/>
          <w:cols w:equalWidth="0" w:num="1">
            <w:col w:w="10239"/>
          </w:cols>
          <w:pgMar w:left="220" w:top="787" w:right="1440" w:bottom="1440" w:gutter="0" w:footer="0" w:header="0"/>
        </w:sectPr>
      </w:pPr>
    </w:p>
    <w:bookmarkStart w:id="6" w:name="page7"/>
    <w:bookmarkEnd w:id="6"/>
    <w:p>
      <w:pPr>
        <w:ind w:left="2180"/>
        <w:spacing w:after="0"/>
        <w:rPr>
          <w:sz w:val="20"/>
          <w:szCs w:val="20"/>
          <w:color w:val="auto"/>
        </w:rPr>
      </w:pPr>
      <w:r>
        <w:rPr>
          <w:rFonts w:ascii="Courier New" w:cs="Courier New" w:eastAsia="Courier New" w:hAnsi="Courier New"/>
          <w:sz w:val="14"/>
          <w:szCs w:val="14"/>
          <w:color w:val="auto"/>
        </w:rPr>
        <w:t>Summary of the Exchange Offer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Initial Offering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Notes.......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We sold the outstanding notes on May 18, 2001 to Banc</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of America Securities LLC, Credit Suisse First Boston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Corporation, Deutsche Bank Alex. Brown Inc., Blaylock</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&amp; Partners, L.P., First Union Securities, Inc.,</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Morgan Stanley &amp; Co. Incorporated and TD Securities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(USA) Inc. We collectively refer to those parties in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this prospectus as the "initial purchasers." The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initial purchasers subsequently resold the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outstanding notes to qualified institutional buyers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pursuant to Rule 144A under the Securities Act of</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1933, as amended.</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Registration Rights Agreement...............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connection with the initial sale of the outstanding notes, we entered into a registration rights agreement for the exchange offer. In the registration rights agreement, we agreed, among other things, to use our reasonable best efforts to file a registration statement with the SEC and to complete this exchange offer within 150 days of issuing the outstanding notes. The exchange offer is intended to satisfy your rights under the registration rights agreement. After the exchange offer is complete, you will no longer be entitled to any exchange or registration rights with respect to your outstanding notes.</w:t>
      </w:r>
    </w:p>
    <w:p>
      <w:pPr>
        <w:spacing w:after="0" w:line="200" w:lineRule="exact"/>
        <w:rPr>
          <w:sz w:val="20"/>
          <w:szCs w:val="20"/>
          <w:color w:val="auto"/>
        </w:rPr>
      </w:pPr>
    </w:p>
    <w:p>
      <w:pPr>
        <w:sectPr>
          <w:pgSz w:w="11900" w:h="16838" w:orient="portrait"/>
          <w:cols w:equalWidth="0" w:num="2">
            <w:col w:w="2100" w:space="160"/>
            <w:col w:w="7979"/>
          </w:cols>
          <w:pgMar w:left="220" w:top="620" w:right="1440"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Exchange Offer......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are offering to exchange the exchange notes, which have been registered under the Securities Act for your outstanding notes, which were issued on May 18, 2001 in the initial offering. In order to be exchanged, an outstanding note must be properly tendered and accepted. All outstanding notes that are validly tendered and not validly withdrawn will be exchanged. We will issue exchange notes promptly after the expiration of the exchange offer.</w:t>
      </w:r>
    </w:p>
    <w:p>
      <w:pPr>
        <w:spacing w:after="0" w:line="164" w:lineRule="exact"/>
        <w:rPr>
          <w:sz w:val="20"/>
          <w:szCs w:val="20"/>
          <w:color w:val="auto"/>
        </w:rPr>
      </w:pPr>
    </w:p>
    <w:p>
      <w:pPr>
        <w:sectPr>
          <w:pgSz w:w="11900" w:h="16838" w:orient="portrait"/>
          <w:cols w:equalWidth="0" w:num="2">
            <w:col w:w="2100" w:space="160"/>
            <w:col w:w="79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Resales.................</w:t>
      </w:r>
    </w:p>
    <w:p>
      <w:pPr>
        <w:spacing w:after="0" w:line="20" w:lineRule="exact"/>
        <w:rPr>
          <w:sz w:val="20"/>
          <w:szCs w:val="20"/>
          <w:color w:val="auto"/>
        </w:rPr>
      </w:pPr>
      <w:r>
        <w:rPr>
          <w:sz w:val="20"/>
          <w:szCs w:val="20"/>
          <w:color w:val="auto"/>
        </w:rPr>
        <w:br w:type="column"/>
      </w:r>
    </w:p>
    <w:p>
      <w:pPr>
        <w:ind w:right="3459"/>
        <w:spacing w:after="0" w:line="254" w:lineRule="auto"/>
        <w:rPr>
          <w:sz w:val="20"/>
          <w:szCs w:val="20"/>
          <w:color w:val="auto"/>
        </w:rPr>
      </w:pPr>
      <w:r>
        <w:rPr>
          <w:rFonts w:ascii="Courier New" w:cs="Courier New" w:eastAsia="Courier New" w:hAnsi="Courier New"/>
          <w:sz w:val="14"/>
          <w:szCs w:val="14"/>
          <w:color w:val="auto"/>
        </w:rPr>
        <w:t>We believe that the exchange notes issued in the exchange offer may be offered for resale, resold and otherwise transferred by you without compliance with the registration and prospectus delivery provisions of the Securities Act provided that:</w:t>
      </w:r>
    </w:p>
    <w:p>
      <w:pPr>
        <w:spacing w:after="0" w:line="162" w:lineRule="exact"/>
        <w:rPr>
          <w:sz w:val="20"/>
          <w:szCs w:val="20"/>
          <w:color w:val="auto"/>
        </w:rPr>
      </w:pPr>
    </w:p>
    <w:p>
      <w:pPr>
        <w:sectPr>
          <w:pgSz w:w="11900" w:h="16838" w:orient="portrait"/>
          <w:cols w:equalWidth="0" w:num="2">
            <w:col w:w="2100" w:space="160"/>
            <w:col w:w="7979"/>
          </w:cols>
          <w:pgMar w:left="220" w:top="620" w:right="1440" w:bottom="1440" w:gutter="0" w:footer="0" w:header="0"/>
          <w:type w:val="continuous"/>
        </w:sectPr>
      </w:pPr>
    </w:p>
    <w:p>
      <w:pPr>
        <w:ind w:left="2260"/>
        <w:spacing w:after="0"/>
        <w:tabs>
          <w:tab w:leader="none" w:pos="2500" w:val="left"/>
        </w:tabs>
        <w:rPr>
          <w:sz w:val="20"/>
          <w:szCs w:val="20"/>
          <w:color w:val="auto"/>
        </w:rPr>
      </w:pPr>
      <w:r>
        <w:rPr>
          <w:rFonts w:ascii="Courier New" w:cs="Courier New" w:eastAsia="Courier New" w:hAnsi="Courier New"/>
          <w:sz w:val="14"/>
          <w:szCs w:val="14"/>
          <w:color w:val="auto"/>
        </w:rPr>
        <w:t>.</w:t>
        <w:tab/>
        <w:t>the exchange notes are being acquired in the</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ordinary course of your business;</w:t>
      </w:r>
    </w:p>
    <w:p>
      <w:pPr>
        <w:spacing w:after="0" w:line="175" w:lineRule="exact"/>
        <w:rPr>
          <w:sz w:val="20"/>
          <w:szCs w:val="20"/>
          <w:color w:val="auto"/>
        </w:rPr>
      </w:pPr>
    </w:p>
    <w:p>
      <w:pPr>
        <w:ind w:left="2260"/>
        <w:spacing w:after="0"/>
        <w:tabs>
          <w:tab w:leader="none" w:pos="2500" w:val="left"/>
        </w:tabs>
        <w:rPr>
          <w:sz w:val="20"/>
          <w:szCs w:val="20"/>
          <w:color w:val="auto"/>
        </w:rPr>
      </w:pPr>
      <w:r>
        <w:rPr>
          <w:rFonts w:ascii="Courier New" w:cs="Courier New" w:eastAsia="Courier New" w:hAnsi="Courier New"/>
          <w:sz w:val="14"/>
          <w:szCs w:val="14"/>
          <w:color w:val="auto"/>
        </w:rPr>
        <w:t>.</w:t>
        <w:tab/>
        <w:t>you are not participating, do not intend to</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participate, and have no arrangement or</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understanding with any person to participate, in</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the distribution of the exchange notes issued to</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you in the exchange offer; and</w:t>
      </w:r>
    </w:p>
    <w:p>
      <w:pPr>
        <w:spacing w:after="0" w:line="175" w:lineRule="exact"/>
        <w:rPr>
          <w:sz w:val="20"/>
          <w:szCs w:val="20"/>
          <w:color w:val="auto"/>
        </w:rPr>
      </w:pPr>
    </w:p>
    <w:p>
      <w:pPr>
        <w:ind w:left="2260"/>
        <w:spacing w:after="0"/>
        <w:tabs>
          <w:tab w:leader="none" w:pos="2500" w:val="left"/>
        </w:tabs>
        <w:rPr>
          <w:sz w:val="20"/>
          <w:szCs w:val="20"/>
          <w:color w:val="auto"/>
        </w:rPr>
      </w:pPr>
      <w:r>
        <w:rPr>
          <w:rFonts w:ascii="Courier New" w:cs="Courier New" w:eastAsia="Courier New" w:hAnsi="Courier New"/>
          <w:sz w:val="14"/>
          <w:szCs w:val="14"/>
          <w:color w:val="auto"/>
        </w:rPr>
        <w:t>.</w:t>
        <w:tab/>
        <w:t>you are not an affiliate of ours.</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If any of these conditions are not satisfied and you</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transfer any exchange notes issued to you in the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exchange offer without delivering a prospectus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meeting the requirements of the Securities Act or</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without an exemption from registration of your</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exchange notes from these requirements, you may incur</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liability under the Securities Act. We will not</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assume, nor will we indemnify you against, any such</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liability.</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Each broker-dealer that is issued exchange notes in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exchange offer for its own account in exchange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for outstanding notes that were acquired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type w:val="continuous"/>
        </w:sectPr>
      </w:pPr>
    </w:p>
    <w:bookmarkStart w:id="7" w:name="page8"/>
    <w:bookmarkEnd w:id="7"/>
    <w:p>
      <w:pPr>
        <w:ind w:left="2260"/>
        <w:spacing w:after="0"/>
        <w:rPr>
          <w:sz w:val="20"/>
          <w:szCs w:val="20"/>
          <w:color w:val="auto"/>
        </w:rPr>
      </w:pPr>
      <w:r>
        <w:rPr>
          <w:rFonts w:ascii="Courier New" w:cs="Courier New" w:eastAsia="Courier New" w:hAnsi="Courier New"/>
          <w:sz w:val="14"/>
          <w:szCs w:val="14"/>
          <w:color w:val="auto"/>
        </w:rPr>
        <w:t>by that broker-dealer as a result of market-making or</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other trading activities, must acknowledge that it</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will deliver a prospectus meeting the requirements of</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Securities Act in connection with any resale of</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exchange notes. A broker-dealer may use this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prospectus for an offer to resell, resale or other</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retransfer of the exchange notes issued to it in the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exchange offer.</w:t>
      </w:r>
    </w:p>
    <w:p>
      <w:pPr>
        <w:spacing w:after="0" w:line="175"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4"/>
          <w:szCs w:val="14"/>
          <w:color w:val="auto"/>
        </w:rPr>
        <w:t>Record Date.............</w:t>
        <w:tab/>
        <w:t>We mailed this prospectus and the related exchange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offer documents to registered holders of outstanding</w:t>
      </w:r>
    </w:p>
    <w:p>
      <w:pPr>
        <w:spacing w:after="0" w:line="8" w:lineRule="exact"/>
        <w:rPr>
          <w:sz w:val="20"/>
          <w:szCs w:val="20"/>
          <w:color w:val="auto"/>
        </w:rPr>
      </w:pPr>
    </w:p>
    <w:p>
      <w:pPr>
        <w:ind w:left="2260"/>
        <w:spacing w:after="0"/>
        <w:tabs>
          <w:tab w:leader="none" w:pos="3460" w:val="left"/>
        </w:tabs>
        <w:rPr>
          <w:sz w:val="20"/>
          <w:szCs w:val="20"/>
          <w:color w:val="auto"/>
        </w:rPr>
      </w:pPr>
      <w:r>
        <w:rPr>
          <w:rFonts w:ascii="Courier New" w:cs="Courier New" w:eastAsia="Courier New" w:hAnsi="Courier New"/>
          <w:sz w:val="14"/>
          <w:szCs w:val="14"/>
          <w:color w:val="auto"/>
        </w:rPr>
        <w:t>notes on</w:t>
      </w:r>
      <w:r>
        <w:rPr>
          <w:sz w:val="20"/>
          <w:szCs w:val="20"/>
          <w:color w:val="auto"/>
        </w:rPr>
        <w:tab/>
      </w:r>
      <w:r>
        <w:rPr>
          <w:rFonts w:ascii="Courier New" w:cs="Courier New" w:eastAsia="Courier New" w:hAnsi="Courier New"/>
          <w:sz w:val="14"/>
          <w:szCs w:val="14"/>
          <w:color w:val="auto"/>
        </w:rPr>
        <w:t>, 2001.</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Expiration 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exchange offer will expire at 5:00 p.m., New York City time, , 2001, unless we decide to extend the</w:t>
      </w:r>
    </w:p>
    <w:p>
      <w:pPr>
        <w:spacing w:after="0" w:line="1" w:lineRule="exact"/>
        <w:rPr>
          <w:sz w:val="20"/>
          <w:szCs w:val="20"/>
          <w:color w:val="auto"/>
        </w:rPr>
      </w:pPr>
    </w:p>
    <w:p>
      <w:pPr>
        <w:sectPr>
          <w:pgSz w:w="11900" w:h="16838" w:orient="portrait"/>
          <w:cols w:equalWidth="0" w:num="2">
            <w:col w:w="2100" w:space="160"/>
            <w:col w:w="7979"/>
          </w:cols>
          <w:pgMar w:left="220" w:top="620" w:right="1440" w:bottom="1440" w:gutter="0" w:footer="0" w:header="0"/>
          <w:type w:val="continuous"/>
        </w:sectPr>
      </w:pPr>
    </w:p>
    <w:p>
      <w:pPr>
        <w:ind w:left="2260"/>
        <w:spacing w:after="0"/>
        <w:rPr>
          <w:sz w:val="20"/>
          <w:szCs w:val="20"/>
          <w:color w:val="auto"/>
        </w:rPr>
      </w:pPr>
      <w:r>
        <w:rPr>
          <w:rFonts w:ascii="Courier New" w:cs="Courier New" w:eastAsia="Courier New" w:hAnsi="Courier New"/>
          <w:sz w:val="14"/>
          <w:szCs w:val="14"/>
          <w:color w:val="auto"/>
        </w:rPr>
        <w:t>expiration date.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Offer..........</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exchange offer is not subject to any condition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other than that the exchange offer not violate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applicable law or any applicable interpretation of</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staff of the SEC.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Procedures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Tendering Outstanding</w:t>
      </w:r>
    </w:p>
    <w:p>
      <w:pPr>
        <w:spacing w:after="0" w:line="8"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4"/>
          <w:szCs w:val="14"/>
          <w:color w:val="auto"/>
        </w:rPr>
        <w:t>Notes...................</w:t>
        <w:tab/>
        <w:t>We issued the outstanding notes as global securities.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When the outstanding notes were issued, we deposited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global notes representing the outstanding notes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with United States Trust Company of New York, as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custodian for The Depository Trust Company, known as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DTC, as book-entry depositary. DTC issued a</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certificateless depositary interest in each global</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note we deposited with it, which represents a 100%</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interest in the outstanding notes. Beneficial</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interests in the outstanding notes, which are held by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direct or indirect participants in DTC through the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certificateless depositary interest, are shown on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records maintained in book-entry form by DTC.</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You may tender your outstanding notes through book-</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entry transfer in accordance with DTC's Automated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Tender Offer Program, known as ATOP. To tender your</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outstanding notes by a means other than book-entry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transfer, a letter of transmittal must be completed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and signed according to the instructions contained in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letter. The letter of transmittal and any other</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documents required by the letter of transmittal must</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be delivered to the exchange agent by mail,</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facsimile, hand delivery or overnight carrier. In</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addition, you must deliver the outstanding notes to</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exchange agent or comply with the procedures for</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guaranteed delivery. See "Exchange Offer;</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Registration Rights--Procedures for Tendering</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Outstanding Notes" for more information.</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Do not send letters of transmittal and certificates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representing outstanding notes to us. Send these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documents only to the exchange agent. See "Exchange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Offer; Registration Rights--Exchange Agent" for more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Procedures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 Owners.......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If you are the beneficial owner of book-entry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interests and your name does not appear on a security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position listing of DTC as the holder of the book-</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entry interests or if you are a beneficial owner of</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outstanding notes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type w:val="continuous"/>
        </w:sectPr>
      </w:pPr>
    </w:p>
    <w:bookmarkStart w:id="8" w:name="page9"/>
    <w:bookmarkEnd w:id="8"/>
    <w:p>
      <w:pPr>
        <w:ind w:left="2260"/>
        <w:spacing w:after="0"/>
        <w:rPr>
          <w:sz w:val="20"/>
          <w:szCs w:val="20"/>
          <w:color w:val="auto"/>
        </w:rPr>
      </w:pPr>
      <w:r>
        <w:rPr>
          <w:rFonts w:ascii="Courier New" w:cs="Courier New" w:eastAsia="Courier New" w:hAnsi="Courier New"/>
          <w:sz w:val="14"/>
          <w:szCs w:val="14"/>
          <w:color w:val="auto"/>
        </w:rPr>
        <w:t>that are registered in the name of a broker, dealer,</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commercial bank, trust company or other nominee and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you wish to tender the book-entry interest or</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outstanding notes in the exchange offer, you should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contact the person in whose name your book-entry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interests or outstanding notes are registered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promptly and instruct that person to tender on your</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behalf.</w:t>
      </w:r>
    </w:p>
    <w:p>
      <w:pPr>
        <w:spacing w:after="0" w:line="175"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4"/>
          <w:szCs w:val="14"/>
          <w:color w:val="auto"/>
        </w:rPr>
        <w:t>Withdrawal Rights.......</w:t>
        <w:tab/>
        <w:t>You may withdraw the tender of your outstanding notes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at any time prior to 5:00 p.m., New York City time on</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exchange of outstanding notes will not be a</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taxable event for United States federal income tax</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purposes.</w:t>
      </w:r>
    </w:p>
    <w:p>
      <w:pPr>
        <w:spacing w:after="0" w:line="175"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4"/>
          <w:szCs w:val="14"/>
          <w:color w:val="auto"/>
        </w:rPr>
        <w:t>Use of Proceeds.........</w:t>
        <w:tab/>
        <w:t>We will not receive any proceeds from the issuance of</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exchange notes pursuant to the exchange offer. We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will pay all of our expenses incident to the exchange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offer.</w:t>
      </w:r>
    </w:p>
    <w:p>
      <w:pPr>
        <w:spacing w:after="0" w:line="175"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4"/>
          <w:szCs w:val="14"/>
          <w:color w:val="auto"/>
        </w:rPr>
        <w:t>Exchange Agent..........</w:t>
        <w:tab/>
        <w:t>United States Trust Company of New York is serving as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exchange agent in connection with the exchange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offer.</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Summary of Terms of the Exchange Notes</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form and terms of the exchange notes are the same as the form and terms of the outstanding notes, except that the exchange notes will be registered under the Securities Act. As a result, the exchange notes will not bear legends restricting their transfer and will not contain the registration rights and liquidated damage provisions contained in the outstanding notes. The exchange notes represent the same debt as the outstanding notes. Both the outstanding notes and the exchange notes are governed by the same indenture. We use the term "Notes" in this prospectus to collectively refer to the outstanding notes and the exchange notes.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20"/>
                <w:szCs w:val="20"/>
                <w:color w:val="auto"/>
              </w:rPr>
            </w:pPr>
            <w:r>
              <w:rPr>
                <w:rFonts w:ascii="Courier New" w:cs="Courier New" w:eastAsia="Courier New" w:hAnsi="Courier New"/>
                <w:sz w:val="14"/>
                <w:szCs w:val="14"/>
                <w:color w:val="auto"/>
              </w:rPr>
              <w:t>Issuer..................</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Radio</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One, Inc.</w:t>
            </w:r>
          </w:p>
        </w:tc>
        <w:tc>
          <w:tcPr>
            <w:tcW w:w="2900" w:type="dxa"/>
            <w:vAlign w:val="bottom"/>
          </w:tcPr>
          <w:p>
            <w:pPr>
              <w:spacing w:after="0"/>
              <w:rPr>
                <w:sz w:val="14"/>
                <w:szCs w:val="14"/>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Securities Offered......</w:t>
            </w:r>
          </w:p>
        </w:tc>
        <w:tc>
          <w:tcPr>
            <w:tcW w:w="46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$300.0 million in principal amount of 8 7/8% Senior</w:t>
            </w:r>
          </w:p>
        </w:tc>
      </w:tr>
      <w:tr>
        <w:trPr>
          <w:trHeight w:val="167"/>
        </w:trPr>
        <w:tc>
          <w:tcPr>
            <w:tcW w:w="218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Subordinated Notes</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due 2011, series B.</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Maturity................</w:t>
            </w:r>
          </w:p>
        </w:tc>
        <w:tc>
          <w:tcPr>
            <w:tcW w:w="1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July 1, 2011.</w:t>
            </w:r>
          </w:p>
        </w:tc>
        <w:tc>
          <w:tcPr>
            <w:tcW w:w="2900" w:type="dxa"/>
            <w:vAlign w:val="bottom"/>
          </w:tcPr>
          <w:p>
            <w:pPr>
              <w:spacing w:after="0"/>
              <w:rPr>
                <w:sz w:val="24"/>
                <w:szCs w:val="24"/>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46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Annual rate: 8 7/8%. Payment frequency: every six</w:t>
            </w:r>
          </w:p>
        </w:tc>
      </w:tr>
      <w:tr>
        <w:trPr>
          <w:trHeight w:val="167"/>
        </w:trPr>
        <w:tc>
          <w:tcPr>
            <w:tcW w:w="2180" w:type="dxa"/>
            <w:vAlign w:val="bottom"/>
          </w:tcPr>
          <w:p>
            <w:pPr>
              <w:spacing w:after="0"/>
              <w:rPr>
                <w:sz w:val="14"/>
                <w:szCs w:val="14"/>
                <w:color w:val="auto"/>
              </w:rPr>
            </w:pPr>
          </w:p>
        </w:tc>
        <w:tc>
          <w:tcPr>
            <w:tcW w:w="46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months on January 1 and July 1. First payment:</w:t>
            </w:r>
          </w:p>
        </w:tc>
      </w:tr>
      <w:tr>
        <w:trPr>
          <w:trHeight w:val="167"/>
        </w:trPr>
        <w:tc>
          <w:tcPr>
            <w:tcW w:w="218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January 1, 2002.</w:t>
            </w:r>
          </w:p>
        </w:tc>
        <w:tc>
          <w:tcPr>
            <w:tcW w:w="2900" w:type="dxa"/>
            <w:vAlign w:val="bottom"/>
          </w:tcPr>
          <w:p>
            <w:pPr>
              <w:spacing w:after="0"/>
              <w:rPr>
                <w:sz w:val="14"/>
                <w:szCs w:val="14"/>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Ranking.................</w:t>
            </w:r>
          </w:p>
        </w:tc>
        <w:tc>
          <w:tcPr>
            <w:tcW w:w="1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exchange notes</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and the guarantees are senior</w:t>
            </w:r>
          </w:p>
        </w:tc>
      </w:tr>
      <w:tr>
        <w:trPr>
          <w:trHeight w:val="167"/>
        </w:trPr>
        <w:tc>
          <w:tcPr>
            <w:tcW w:w="2180" w:type="dxa"/>
            <w:vAlign w:val="bottom"/>
          </w:tcPr>
          <w:p>
            <w:pPr>
              <w:spacing w:after="0"/>
              <w:rPr>
                <w:sz w:val="14"/>
                <w:szCs w:val="14"/>
                <w:color w:val="auto"/>
              </w:rPr>
            </w:pPr>
          </w:p>
        </w:tc>
        <w:tc>
          <w:tcPr>
            <w:tcW w:w="46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subordinated obligations. Accordingly, they will</w:t>
            </w:r>
          </w:p>
        </w:tc>
      </w:tr>
      <w:tr>
        <w:trPr>
          <w:trHeight w:val="167"/>
        </w:trPr>
        <w:tc>
          <w:tcPr>
            <w:tcW w:w="218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rank:</w:t>
            </w:r>
          </w:p>
        </w:tc>
        <w:tc>
          <w:tcPr>
            <w:tcW w:w="114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334"/>
        </w:trPr>
        <w:tc>
          <w:tcPr>
            <w:tcW w:w="218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behind all of our and our guarantors' existing</w:t>
            </w:r>
          </w:p>
        </w:tc>
      </w:tr>
      <w:tr>
        <w:trPr>
          <w:trHeight w:val="167"/>
        </w:trPr>
        <w:tc>
          <w:tcPr>
            <w:tcW w:w="2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future senior debt;</w:t>
            </w:r>
          </w:p>
        </w:tc>
      </w:tr>
      <w:tr>
        <w:trPr>
          <w:trHeight w:val="334"/>
        </w:trPr>
        <w:tc>
          <w:tcPr>
            <w:tcW w:w="218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equally with</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all of our and our guarantors'</w:t>
            </w:r>
          </w:p>
        </w:tc>
      </w:tr>
      <w:tr>
        <w:trPr>
          <w:trHeight w:val="167"/>
        </w:trPr>
        <w:tc>
          <w:tcPr>
            <w:tcW w:w="2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existing and</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future unsecured senior</w:t>
            </w:r>
          </w:p>
        </w:tc>
      </w:tr>
      <w:tr>
        <w:trPr>
          <w:trHeight w:val="167"/>
        </w:trPr>
        <w:tc>
          <w:tcPr>
            <w:tcW w:w="2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subordinated</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obligations that do not expressly</w:t>
            </w:r>
          </w:p>
        </w:tc>
      </w:tr>
      <w:tr>
        <w:trPr>
          <w:trHeight w:val="167"/>
        </w:trPr>
        <w:tc>
          <w:tcPr>
            <w:tcW w:w="2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provide that</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they are subordinated to the</w:t>
            </w:r>
          </w:p>
        </w:tc>
      </w:tr>
      <w:tr>
        <w:trPr>
          <w:trHeight w:val="167"/>
        </w:trPr>
        <w:tc>
          <w:tcPr>
            <w:tcW w:w="2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Notes; and</w:t>
            </w:r>
          </w:p>
        </w:tc>
        <w:tc>
          <w:tcPr>
            <w:tcW w:w="2900" w:type="dxa"/>
            <w:vAlign w:val="bottom"/>
          </w:tcPr>
          <w:p>
            <w:pPr>
              <w:spacing w:after="0"/>
              <w:rPr>
                <w:sz w:val="14"/>
                <w:szCs w:val="14"/>
                <w:color w:val="auto"/>
              </w:rPr>
            </w:pPr>
          </w:p>
        </w:tc>
      </w:tr>
      <w:tr>
        <w:trPr>
          <w:trHeight w:val="334"/>
        </w:trPr>
        <w:tc>
          <w:tcPr>
            <w:tcW w:w="218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ahead of any</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of our and our guarantors' future</w:t>
            </w:r>
          </w:p>
        </w:tc>
      </w:tr>
      <w:tr>
        <w:trPr>
          <w:trHeight w:val="167"/>
        </w:trPr>
        <w:tc>
          <w:tcPr>
            <w:tcW w:w="2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debt that expressly provides that it is</w:t>
            </w:r>
          </w:p>
        </w:tc>
      </w:tr>
      <w:tr>
        <w:trPr>
          <w:trHeight w:val="167"/>
        </w:trPr>
        <w:tc>
          <w:tcPr>
            <w:tcW w:w="2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subordinated</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to the Notes.</w:t>
            </w:r>
          </w:p>
        </w:tc>
      </w:tr>
      <w:tr>
        <w:trPr>
          <w:trHeight w:val="501"/>
        </w:trPr>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ind w:left="660"/>
              <w:spacing w:after="0"/>
              <w:rPr>
                <w:sz w:val="20"/>
                <w:szCs w:val="20"/>
                <w:color w:val="auto"/>
              </w:rPr>
            </w:pPr>
            <w:r>
              <w:rPr>
                <w:rFonts w:ascii="Courier New" w:cs="Courier New" w:eastAsia="Courier New" w:hAnsi="Courier New"/>
                <w:sz w:val="14"/>
                <w:szCs w:val="14"/>
                <w:color w:val="auto"/>
              </w:rPr>
              <w:t>4</w:t>
            </w:r>
          </w:p>
        </w:tc>
        <w:tc>
          <w:tcPr>
            <w:tcW w:w="29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Assuming we had completed the offering of the</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outstanding notes and the other transactions</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described under "Prospectus Summary--Summary</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Unaudited Pro Forma Consolidated Financial</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Information," as of March 31, 2001, the exchange</w:t>
            </w:r>
          </w:p>
        </w:tc>
      </w:tr>
      <w:tr>
        <w:trPr>
          <w:trHeight w:val="167"/>
        </w:trPr>
        <w:tc>
          <w:tcPr>
            <w:tcW w:w="218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notes</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and the guarantees would have been subordinated</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to approximately $490.2 million of senior debt. No</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debt of ours having an equal ranking with the</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exchange notes and the guarantees or which is</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subordinate to the exchange notes and the guarantees</w:t>
            </w:r>
          </w:p>
        </w:tc>
      </w:tr>
      <w:tr>
        <w:trPr>
          <w:trHeight w:val="167"/>
        </w:trPr>
        <w:tc>
          <w:tcPr>
            <w:tcW w:w="218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would</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have been outstanding as of March 31, 2001.</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Guarantees..............</w:t>
            </w: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exchange notes will be unconditionally guaranteed</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on a senior subordinated basis by each of our</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existing and future domestic restricted subsidiaries.</w:t>
            </w:r>
          </w:p>
        </w:tc>
      </w:tr>
      <w:tr>
        <w:trPr>
          <w:trHeight w:val="167"/>
        </w:trPr>
        <w:tc>
          <w:tcPr>
            <w:tcW w:w="218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If we</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cannot make payments on the Notes when they are</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due, our guarantors must make them instead.</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Optional Redemption.....</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On or</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after July 1, 2006, we may redeem some or all</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 the Notes at any time at the redemption prices</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listed under "Description of Notes--Optional</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Redemption."</w:t>
            </w:r>
          </w:p>
        </w:tc>
      </w:tr>
      <w:tr>
        <w:trPr>
          <w:trHeight w:val="334"/>
        </w:trPr>
        <w:tc>
          <w:tcPr>
            <w:tcW w:w="218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Prior</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July 1, 2004, we may redeem up to 35% of the</w:t>
            </w:r>
          </w:p>
        </w:tc>
      </w:tr>
      <w:tr>
        <w:trPr>
          <w:trHeight w:val="167"/>
        </w:trPr>
        <w:tc>
          <w:tcPr>
            <w:tcW w:w="218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Notes</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with the proceeds of qualified equity offerings</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at the redemption price listed under "Description of</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Notes--Optional Redemption."</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Mandatory Offer to</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If we</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sell certain assets or experience specific</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Repurchase..............</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kinds</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of changes in control, we must offer to</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repurchase the Notes at the prices listed under</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"Description of Notes--Repurchase at the Option of</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Holders."</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Certain Covenants.......</w:t>
            </w: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Indenture governing the Notes will, among other</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things, restrict our ability and the ability of our</w:t>
            </w:r>
          </w:p>
        </w:tc>
      </w:tr>
      <w:tr>
        <w:trPr>
          <w:trHeight w:val="167"/>
        </w:trPr>
        <w:tc>
          <w:tcPr>
            <w:tcW w:w="2180" w:type="dxa"/>
            <w:vAlign w:val="bottom"/>
          </w:tcPr>
          <w:p>
            <w:pPr>
              <w:spacing w:after="0"/>
              <w:rPr>
                <w:sz w:val="14"/>
                <w:szCs w:val="1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subsidiaries to:</w:t>
            </w:r>
          </w:p>
        </w:tc>
      </w:tr>
      <w:tr>
        <w:trPr>
          <w:trHeight w:val="334"/>
        </w:trPr>
        <w:tc>
          <w:tcPr>
            <w:tcW w:w="218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incur or guarantee additional indebtedness;</w:t>
            </w:r>
          </w:p>
        </w:tc>
      </w:tr>
      <w:tr>
        <w:trPr>
          <w:trHeight w:val="334"/>
        </w:trPr>
        <w:tc>
          <w:tcPr>
            <w:tcW w:w="218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pay dividends or distributions on, or redeem</w:t>
            </w:r>
          </w:p>
        </w:tc>
      </w:tr>
      <w:tr>
        <w:trPr>
          <w:trHeight w:val="167"/>
        </w:trPr>
        <w:tc>
          <w:tcPr>
            <w:tcW w:w="2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or repurchase, capital stock;</w:t>
            </w:r>
          </w:p>
        </w:tc>
      </w:tr>
      <w:tr>
        <w:trPr>
          <w:trHeight w:val="334"/>
        </w:trPr>
        <w:tc>
          <w:tcPr>
            <w:tcW w:w="218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make investments;</w:t>
            </w:r>
          </w:p>
        </w:tc>
      </w:tr>
      <w:tr>
        <w:trPr>
          <w:trHeight w:val="334"/>
        </w:trPr>
        <w:tc>
          <w:tcPr>
            <w:tcW w:w="218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issue or sell capital stock of subsidiaries;</w:t>
            </w:r>
          </w:p>
        </w:tc>
      </w:tr>
      <w:tr>
        <w:trPr>
          <w:trHeight w:val="334"/>
        </w:trPr>
        <w:tc>
          <w:tcPr>
            <w:tcW w:w="218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engage in transactions with affiliates;</w:t>
            </w:r>
          </w:p>
        </w:tc>
      </w:tr>
      <w:tr>
        <w:trPr>
          <w:trHeight w:val="334"/>
        </w:trPr>
        <w:tc>
          <w:tcPr>
            <w:tcW w:w="218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incur liens;</w:t>
            </w:r>
          </w:p>
        </w:tc>
      </w:tr>
      <w:tr>
        <w:trPr>
          <w:trHeight w:val="334"/>
        </w:trPr>
        <w:tc>
          <w:tcPr>
            <w:tcW w:w="218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transfer or sell assets; and</w:t>
            </w:r>
          </w:p>
        </w:tc>
      </w:tr>
      <w:tr>
        <w:trPr>
          <w:trHeight w:val="334"/>
        </w:trPr>
        <w:tc>
          <w:tcPr>
            <w:tcW w:w="2180" w:type="dxa"/>
            <w:vAlign w:val="bottom"/>
          </w:tcPr>
          <w:p>
            <w:pPr>
              <w:spacing w:after="0"/>
              <w:rPr>
                <w:sz w:val="24"/>
                <w:szCs w:val="24"/>
                <w:color w:val="auto"/>
              </w:rPr>
            </w:pPr>
          </w:p>
        </w:tc>
        <w:tc>
          <w:tcPr>
            <w:tcW w:w="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consolidate, merge or transfer all or</w:t>
            </w:r>
          </w:p>
        </w:tc>
      </w:tr>
      <w:tr>
        <w:trPr>
          <w:trHeight w:val="167"/>
        </w:trPr>
        <w:tc>
          <w:tcPr>
            <w:tcW w:w="2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substantially all of our assets.</w:t>
            </w:r>
          </w:p>
        </w:tc>
      </w:tr>
    </w:tbl>
    <w:p>
      <w:pPr>
        <w:spacing w:after="0" w:line="171"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Indenture under which the outstanding notes were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issued will govern the exchange notes.</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For more details, see "Description of Notes."</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You should refer to "Risk Factors" for an explanation of certain risks of</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investing in the Notes.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10" w:name="page11"/>
    <w:bookmarkEnd w:id="10"/>
    <w:p>
      <w:pPr>
        <w:ind w:left="1060"/>
        <w:spacing w:after="0"/>
        <w:rPr>
          <w:sz w:val="20"/>
          <w:szCs w:val="20"/>
          <w:color w:val="auto"/>
        </w:rPr>
      </w:pPr>
      <w:r>
        <w:rPr>
          <w:rFonts w:ascii="Courier New" w:cs="Courier New" w:eastAsia="Courier New" w:hAnsi="Courier New"/>
          <w:sz w:val="14"/>
          <w:szCs w:val="14"/>
          <w:color w:val="auto"/>
        </w:rPr>
        <w:t>Summary Unaudited Pro Forma Consolidated Financial Data</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following table contains summary unaudited pro forma financial information derived from the audited consolidated financial statements of Radio One for the year ended December 31, 2000, and the unaudited financial statements for the three months ended March 31, 2001, as derived from the financial information set forth under "Unaudited Pro Forma Consolidated Financial Information." The summary unaudited pro forma consolidated financial information does not purport to represent what our results of operations or financial condition would actually have been had the transactions described below occurred on the dates indicated or to project our results of operations or financial condition for any future period or date. The summary financial data set forth in the following table should be read in conjunction with "Management's Discussion and Analysis of Financial Condition and Results of Operations," "Unaudited Pro Forma Consolidated Financial Information," and the unaudited financial statements and the audited consolidated financial statements of Radio One included elsewhere in, or incorporated by reference into, this prospectus.</w:t>
      </w:r>
    </w:p>
    <w:p>
      <w:pPr>
        <w:spacing w:after="0" w:line="330" w:lineRule="exact"/>
        <w:rPr>
          <w:sz w:val="20"/>
          <w:szCs w:val="20"/>
          <w:color w:val="auto"/>
        </w:rPr>
      </w:pPr>
    </w:p>
    <w:p>
      <w:pPr>
        <w:ind w:right="3639" w:firstLine="260"/>
        <w:spacing w:after="0" w:line="255" w:lineRule="auto"/>
        <w:rPr>
          <w:sz w:val="20"/>
          <w:szCs w:val="20"/>
          <w:color w:val="auto"/>
        </w:rPr>
      </w:pPr>
      <w:r>
        <w:rPr>
          <w:rFonts w:ascii="Courier New" w:cs="Courier New" w:eastAsia="Courier New" w:hAnsi="Courier New"/>
          <w:sz w:val="14"/>
          <w:szCs w:val="14"/>
          <w:color w:val="auto"/>
        </w:rPr>
        <w:t>The pro forma amounts for the year ended December 31, 2000, and the three months ended March 31, 2001, are adjusted to give effect to the following transactions as if they had occurred on January 1, 2000:</w:t>
      </w:r>
    </w:p>
    <w:p>
      <w:pPr>
        <w:spacing w:after="0" w:line="162" w:lineRule="exact"/>
        <w:rPr>
          <w:sz w:val="20"/>
          <w:szCs w:val="20"/>
          <w:color w:val="auto"/>
        </w:rPr>
      </w:pPr>
    </w:p>
    <w:p>
      <w:pPr>
        <w:ind w:left="440" w:hanging="257"/>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acquisitions of:</w:t>
      </w:r>
    </w:p>
    <w:p>
      <w:pPr>
        <w:spacing w:after="0" w:line="175" w:lineRule="exact"/>
        <w:rPr>
          <w:rFonts w:ascii="Courier New" w:cs="Courier New" w:eastAsia="Courier New" w:hAnsi="Courier New"/>
          <w:sz w:val="14"/>
          <w:szCs w:val="14"/>
          <w:color w:val="auto"/>
        </w:rPr>
      </w:pPr>
    </w:p>
    <w:p>
      <w:pPr>
        <w:ind w:left="620" w:hanging="264"/>
        <w:spacing w:after="0"/>
        <w:tabs>
          <w:tab w:leader="none" w:pos="62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WPLY-FM in Philadelphia;</w:t>
      </w:r>
    </w:p>
    <w:p>
      <w:pPr>
        <w:spacing w:after="0" w:line="175" w:lineRule="exact"/>
        <w:rPr>
          <w:rFonts w:ascii="Courier New" w:cs="Courier New" w:eastAsia="Courier New" w:hAnsi="Courier New"/>
          <w:sz w:val="14"/>
          <w:szCs w:val="14"/>
          <w:color w:val="auto"/>
        </w:rPr>
      </w:pPr>
    </w:p>
    <w:p>
      <w:pPr>
        <w:ind w:left="620" w:right="3719" w:hanging="264"/>
        <w:spacing w:after="0" w:line="255" w:lineRule="auto"/>
        <w:tabs>
          <w:tab w:leader="none" w:pos="62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Davis Broadcasting, Inc. (through which we acquired six radio stations: WTHB-AM, WAEG-FM, WAKB-FM, WAEJ-FM and WFXA-FM in Augusta, and WCHH-FM (formerly WCCJ-FM) in Charlotte);</w:t>
      </w:r>
    </w:p>
    <w:p>
      <w:pPr>
        <w:spacing w:after="0" w:line="162" w:lineRule="exact"/>
        <w:rPr>
          <w:rFonts w:ascii="Courier New" w:cs="Courier New" w:eastAsia="Courier New" w:hAnsi="Courier New"/>
          <w:sz w:val="14"/>
          <w:szCs w:val="14"/>
          <w:color w:val="auto"/>
        </w:rPr>
      </w:pPr>
    </w:p>
    <w:p>
      <w:pPr>
        <w:ind w:left="620" w:right="3899" w:hanging="264"/>
        <w:spacing w:after="0" w:line="258" w:lineRule="auto"/>
        <w:tabs>
          <w:tab w:leader="none" w:pos="62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WYJZ-FM, WHHH-FM, WTLC-FM (formerly WBKS-FM) and WDNI-LP (formerly W53AV-LP) in Indianapolis; and</w:t>
      </w:r>
    </w:p>
    <w:p>
      <w:pPr>
        <w:spacing w:after="0" w:line="159" w:lineRule="exact"/>
        <w:rPr>
          <w:rFonts w:ascii="Courier New" w:cs="Courier New" w:eastAsia="Courier New" w:hAnsi="Courier New"/>
          <w:sz w:val="14"/>
          <w:szCs w:val="14"/>
          <w:color w:val="auto"/>
        </w:rPr>
      </w:pPr>
    </w:p>
    <w:p>
      <w:pPr>
        <w:ind w:left="620" w:right="3799" w:hanging="264"/>
        <w:spacing w:after="0" w:line="254" w:lineRule="auto"/>
        <w:tabs>
          <w:tab w:leader="none" w:pos="62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twelve radio stations from Clear Channel Communications, Inc. and AMFM, Inc. (KKBT-FM in Los Angeles, KMJQ-FM and KBXX-FM in Houston, WVCG-AM in Miami, KBFB-FM in Dallas, WZAK-FM and WJMO-AM in Cleveland, WFXC-FM, WFXK-FM, WNNL-FM and WQOK-FM in Raleigh-Durham, and the subsequently divested WJMZ-FM in Greenville);</w:t>
      </w:r>
    </w:p>
    <w:p>
      <w:pPr>
        <w:spacing w:after="0" w:line="162" w:lineRule="exact"/>
        <w:rPr>
          <w:sz w:val="20"/>
          <w:szCs w:val="20"/>
          <w:color w:val="auto"/>
        </w:rPr>
      </w:pPr>
    </w:p>
    <w:p>
      <w:pPr>
        <w:ind w:left="440" w:hanging="257"/>
        <w:spacing w:after="0"/>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pending acquisitions of:</w:t>
      </w:r>
    </w:p>
    <w:p>
      <w:pPr>
        <w:spacing w:after="0" w:line="175" w:lineRule="exact"/>
        <w:rPr>
          <w:rFonts w:ascii="Courier New" w:cs="Courier New" w:eastAsia="Courier New" w:hAnsi="Courier New"/>
          <w:sz w:val="14"/>
          <w:szCs w:val="14"/>
          <w:color w:val="auto"/>
        </w:rPr>
      </w:pPr>
    </w:p>
    <w:p>
      <w:pPr>
        <w:ind w:left="620" w:right="3639" w:hanging="264"/>
        <w:spacing w:after="0" w:line="258" w:lineRule="auto"/>
        <w:tabs>
          <w:tab w:leader="none" w:pos="62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WJMO-FM (formerly WPLZ-FM), WCDX-FM, WPZE-FM and WGCV-AM in Richmond; and</w:t>
      </w:r>
    </w:p>
    <w:p>
      <w:pPr>
        <w:spacing w:after="0" w:line="159" w:lineRule="exact"/>
        <w:rPr>
          <w:rFonts w:ascii="Courier New" w:cs="Courier New" w:eastAsia="Courier New" w:hAnsi="Courier New"/>
          <w:sz w:val="14"/>
          <w:szCs w:val="14"/>
          <w:color w:val="auto"/>
        </w:rPr>
      </w:pPr>
    </w:p>
    <w:p>
      <w:pPr>
        <w:ind w:left="620" w:right="3639" w:hanging="264"/>
        <w:spacing w:after="0" w:line="254" w:lineRule="auto"/>
        <w:tabs>
          <w:tab w:leader="none" w:pos="62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 Chip Broadcasting, Inc. (through which we expect to acquire sixteen radio stations: WIZF-FM and WDBZ-AM in Cincinnati, WCKX-FM, WXMG-FM and WJYD-FM in Columbus, WGTZ-FM, WING-FM, WING-AM and WKSW-FM in Dayton, WDJX-FM, WBLO-FM, WGZB-FM, WULV-FM, WMJM-FM and WLRS-FM in Louisville, and KTTB-FM in Minneapolis);</w:t>
      </w:r>
    </w:p>
    <w:p>
      <w:pPr>
        <w:spacing w:after="0" w:line="162" w:lineRule="exact"/>
        <w:rPr>
          <w:rFonts w:ascii="Courier New" w:cs="Courier New" w:eastAsia="Courier New" w:hAnsi="Courier New"/>
          <w:sz w:val="14"/>
          <w:szCs w:val="14"/>
          <w:color w:val="auto"/>
        </w:rPr>
      </w:pPr>
    </w:p>
    <w:p>
      <w:pPr>
        <w:ind w:left="700" w:hanging="344"/>
        <w:spacing w:after="0"/>
        <w:tabs>
          <w:tab w:leader="none" w:pos="70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WPEZ-FM in Atlanta (pro forma balance sheet only)</w:t>
      </w:r>
    </w:p>
    <w:p>
      <w:pPr>
        <w:spacing w:after="0" w:line="175" w:lineRule="exact"/>
        <w:rPr>
          <w:sz w:val="20"/>
          <w:szCs w:val="20"/>
          <w:color w:val="auto"/>
        </w:rPr>
      </w:pPr>
    </w:p>
    <w:p>
      <w:pPr>
        <w:ind w:left="440" w:hanging="257"/>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divestiture of KJOI-AM in Dallas;</w:t>
      </w:r>
    </w:p>
    <w:p>
      <w:pPr>
        <w:spacing w:after="0" w:line="175" w:lineRule="exact"/>
        <w:rPr>
          <w:sz w:val="20"/>
          <w:szCs w:val="20"/>
          <w:color w:val="auto"/>
        </w:rPr>
      </w:pPr>
    </w:p>
    <w:p>
      <w:pPr>
        <w:ind w:left="440" w:right="3719" w:hanging="257"/>
        <w:spacing w:after="0" w:line="258"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use of proceeds from our bank credit facility to finance partially the Clear Channel/AMFM and Blue Chip acquisitions; and</w:t>
      </w:r>
    </w:p>
    <w:p>
      <w:pPr>
        <w:spacing w:after="0" w:line="160" w:lineRule="exact"/>
        <w:rPr>
          <w:sz w:val="20"/>
          <w:szCs w:val="20"/>
          <w:color w:val="auto"/>
        </w:rPr>
      </w:pPr>
    </w:p>
    <w:p>
      <w:pPr>
        <w:ind w:left="440" w:hanging="257"/>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offering of the outstanding notes to the initial purchasers.</w:t>
      </w:r>
    </w:p>
    <w:p>
      <w:pPr>
        <w:spacing w:after="0" w:line="175" w:lineRule="exact"/>
        <w:rPr>
          <w:sz w:val="20"/>
          <w:szCs w:val="20"/>
          <w:color w:val="auto"/>
        </w:rPr>
      </w:pPr>
    </w:p>
    <w:p>
      <w:pPr>
        <w:ind w:right="3799" w:firstLine="260"/>
        <w:spacing w:after="0" w:line="255" w:lineRule="auto"/>
        <w:rPr>
          <w:sz w:val="20"/>
          <w:szCs w:val="20"/>
          <w:color w:val="auto"/>
        </w:rPr>
      </w:pPr>
      <w:r>
        <w:rPr>
          <w:rFonts w:ascii="Courier New" w:cs="Courier New" w:eastAsia="Courier New" w:hAnsi="Courier New"/>
          <w:sz w:val="14"/>
          <w:szCs w:val="14"/>
          <w:color w:val="auto"/>
        </w:rPr>
        <w:t>The pro forma balance sheet data are adjusted to give effect to the transactions described above as if they had occurred as of March 31, 2001, unless the transactions had actually occurred prior to that date.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6440" w:type="dxa"/>
            <w:vAlign w:val="bottom"/>
            <w:gridSpan w:val="5"/>
          </w:tcPr>
          <w:p>
            <w:pPr>
              <w:ind w:left="1060"/>
              <w:spacing w:after="0"/>
              <w:rPr>
                <w:sz w:val="20"/>
                <w:szCs w:val="20"/>
                <w:color w:val="auto"/>
              </w:rPr>
            </w:pPr>
            <w:r>
              <w:rPr>
                <w:rFonts w:ascii="Courier New" w:cs="Courier New" w:eastAsia="Courier New" w:hAnsi="Courier New"/>
                <w:sz w:val="14"/>
                <w:szCs w:val="14"/>
                <w:color w:val="auto"/>
              </w:rPr>
              <w:t>Summary Unaudited Pro Forma Consolidated Financial Data</w:t>
            </w:r>
          </w:p>
        </w:tc>
        <w:tc>
          <w:tcPr>
            <w:tcW w:w="420" w:type="dxa"/>
            <w:vAlign w:val="bottom"/>
          </w:tcPr>
          <w:p>
            <w:pPr>
              <w:spacing w:after="0"/>
              <w:rPr>
                <w:sz w:val="14"/>
                <w:szCs w:val="14"/>
                <w:color w:val="auto"/>
              </w:rPr>
            </w:pPr>
          </w:p>
        </w:tc>
      </w:tr>
      <w:tr>
        <w:trPr>
          <w:trHeight w:val="668"/>
        </w:trPr>
        <w:tc>
          <w:tcPr>
            <w:tcW w:w="3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Unaudited Pro Forma</w:t>
            </w:r>
          </w:p>
        </w:tc>
        <w:tc>
          <w:tcPr>
            <w:tcW w:w="420" w:type="dxa"/>
            <w:vAlign w:val="bottom"/>
          </w:tcPr>
          <w:p>
            <w:pPr>
              <w:spacing w:after="0"/>
              <w:rPr>
                <w:sz w:val="24"/>
                <w:szCs w:val="24"/>
                <w:color w:val="auto"/>
              </w:rPr>
            </w:pPr>
          </w:p>
        </w:tc>
      </w:tr>
      <w:tr>
        <w:trPr>
          <w:trHeight w:val="167"/>
        </w:trPr>
        <w:tc>
          <w:tcPr>
            <w:tcW w:w="3660" w:type="dxa"/>
            <w:vAlign w:val="bottom"/>
          </w:tcPr>
          <w:p>
            <w:pPr>
              <w:spacing w:after="0"/>
              <w:rPr>
                <w:sz w:val="14"/>
                <w:szCs w:val="14"/>
                <w:color w:val="auto"/>
              </w:rPr>
            </w:pPr>
          </w:p>
        </w:tc>
        <w:tc>
          <w:tcPr>
            <w:tcW w:w="320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3200" w:type="dxa"/>
            <w:vAlign w:val="bottom"/>
            <w:gridSpan w:val="5"/>
          </w:tcPr>
          <w:p>
            <w:pPr>
              <w:spacing w:after="0"/>
              <w:rPr>
                <w:sz w:val="20"/>
                <w:szCs w:val="20"/>
                <w:color w:val="auto"/>
              </w:rPr>
            </w:pPr>
            <w:r>
              <w:rPr>
                <w:rFonts w:ascii="Courier New" w:cs="Courier New" w:eastAsia="Courier New" w:hAnsi="Courier New"/>
                <w:sz w:val="14"/>
                <w:szCs w:val="14"/>
                <w:color w:val="auto"/>
              </w:rPr>
              <w:t>Fiscal Year Ended Three Months Ended</w:t>
            </w:r>
          </w:p>
        </w:tc>
      </w:tr>
      <w:tr>
        <w:trPr>
          <w:trHeight w:val="167"/>
        </w:trPr>
        <w:tc>
          <w:tcPr>
            <w:tcW w:w="366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December 31, 2000</w:t>
            </w:r>
          </w:p>
        </w:tc>
        <w:tc>
          <w:tcPr>
            <w:tcW w:w="16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March 31, 2001</w:t>
            </w:r>
          </w:p>
        </w:tc>
      </w:tr>
      <w:tr>
        <w:trPr>
          <w:trHeight w:val="167"/>
        </w:trPr>
        <w:tc>
          <w:tcPr>
            <w:tcW w:w="3660" w:type="dxa"/>
            <w:vAlign w:val="bottom"/>
          </w:tcPr>
          <w:p>
            <w:pPr>
              <w:spacing w:after="0"/>
              <w:rPr>
                <w:sz w:val="14"/>
                <w:szCs w:val="14"/>
                <w:color w:val="auto"/>
              </w:rPr>
            </w:pPr>
          </w:p>
        </w:tc>
        <w:tc>
          <w:tcPr>
            <w:tcW w:w="320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r>
      <w:tr>
        <w:trPr>
          <w:trHeight w:val="167"/>
        </w:trPr>
        <w:tc>
          <w:tcPr>
            <w:tcW w:w="3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(dollars in thousands)</w:t>
            </w:r>
          </w:p>
        </w:tc>
        <w:tc>
          <w:tcPr>
            <w:tcW w:w="420" w:type="dxa"/>
            <w:vAlign w:val="bottom"/>
          </w:tcPr>
          <w:p>
            <w:pPr>
              <w:spacing w:after="0"/>
              <w:rPr>
                <w:sz w:val="14"/>
                <w:szCs w:val="14"/>
                <w:color w:val="auto"/>
              </w:rPr>
            </w:pP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Statement of Operations:</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broadcast revenue....................</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$ 257,662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54,915</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Station operating expenses...............</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129,593</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31,390</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Corporate expenses.......................</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7,383</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2,128</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137,330</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35,331</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Operating loss.........................</w:t>
            </w:r>
          </w:p>
        </w:tc>
        <w:tc>
          <w:tcPr>
            <w:tcW w:w="52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(16,644)</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(13,934)</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66,114</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16,981</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Gain on sale of assets...................</w:t>
            </w:r>
          </w:p>
        </w:tc>
        <w:tc>
          <w:tcPr>
            <w:tcW w:w="520" w:type="dxa"/>
            <w:vAlign w:val="bottom"/>
          </w:tcPr>
          <w:p>
            <w:pPr>
              <w:spacing w:after="0"/>
              <w:rPr>
                <w:sz w:val="14"/>
                <w:szCs w:val="14"/>
                <w:color w:val="auto"/>
              </w:rPr>
            </w:pP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4,272</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596</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loss...............................</w:t>
            </w:r>
          </w:p>
        </w:tc>
        <w:tc>
          <w:tcPr>
            <w:tcW w:w="16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(82,693)</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(26,047)</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loss applicable to common</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stockholders............................</w:t>
            </w:r>
          </w:p>
        </w:tc>
        <w:tc>
          <w:tcPr>
            <w:tcW w:w="16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$(102,845)</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(31,085)</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Basic and diluted........................</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(0.33)</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outstanding:</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Basic and diluted........................</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92,448</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94,831</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Broadcast cash flow......................</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$ 128,069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23,525</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Broadcast cash flow margin...............</w:t>
            </w:r>
          </w:p>
        </w:tc>
        <w:tc>
          <w:tcPr>
            <w:tcW w:w="52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$ 120,874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21,635</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EBITDA margin............................</w:t>
            </w:r>
          </w:p>
        </w:tc>
        <w:tc>
          <w:tcPr>
            <w:tcW w:w="52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47%</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After tax cash flow......................</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32,675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1,962</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Cash interest expense....................</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61,034</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13,417</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5,168</w:t>
            </w:r>
          </w:p>
        </w:tc>
        <w:tc>
          <w:tcPr>
            <w:tcW w:w="44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1,742</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charges(1)....</w:t>
            </w:r>
          </w:p>
        </w:tc>
        <w:tc>
          <w:tcPr>
            <w:tcW w:w="520" w:type="dxa"/>
            <w:vAlign w:val="bottom"/>
          </w:tcPr>
          <w:p>
            <w:pPr>
              <w:spacing w:after="0"/>
              <w:rPr>
                <w:sz w:val="14"/>
                <w:szCs w:val="14"/>
                <w:color w:val="auto"/>
              </w:rPr>
            </w:pP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Ratio of total debt to EBITDA............</w:t>
            </w:r>
          </w:p>
        </w:tc>
        <w:tc>
          <w:tcPr>
            <w:tcW w:w="520" w:type="dxa"/>
            <w:vAlign w:val="bottom"/>
          </w:tcPr>
          <w:p>
            <w:pPr>
              <w:spacing w:after="0"/>
              <w:rPr>
                <w:sz w:val="14"/>
                <w:szCs w:val="14"/>
                <w:color w:val="auto"/>
              </w:rPr>
            </w:pP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6.4x</w:t>
            </w:r>
          </w:p>
        </w:tc>
        <w:tc>
          <w:tcPr>
            <w:tcW w:w="440" w:type="dxa"/>
            <w:vAlign w:val="bottom"/>
          </w:tcPr>
          <w:p>
            <w:pPr>
              <w:spacing w:after="0"/>
              <w:rPr>
                <w:sz w:val="14"/>
                <w:szCs w:val="14"/>
                <w:color w:val="auto"/>
              </w:rPr>
            </w:pP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Ratio of EBITDA to interest expense......</w:t>
            </w:r>
          </w:p>
        </w:tc>
        <w:tc>
          <w:tcPr>
            <w:tcW w:w="520" w:type="dxa"/>
            <w:vAlign w:val="bottom"/>
          </w:tcPr>
          <w:p>
            <w:pPr>
              <w:spacing w:after="0"/>
              <w:rPr>
                <w:sz w:val="14"/>
                <w:szCs w:val="14"/>
                <w:color w:val="auto"/>
              </w:rPr>
            </w:pP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1.8x</w:t>
            </w:r>
          </w:p>
        </w:tc>
        <w:tc>
          <w:tcPr>
            <w:tcW w:w="440" w:type="dxa"/>
            <w:vAlign w:val="bottom"/>
          </w:tcPr>
          <w:p>
            <w:pPr>
              <w:spacing w:after="0"/>
              <w:rPr>
                <w:sz w:val="14"/>
                <w:szCs w:val="14"/>
                <w:color w:val="auto"/>
              </w:rPr>
            </w:pP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1.3x</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Ratio of EBITDA to cash interest</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expense.................................</w:t>
            </w:r>
          </w:p>
        </w:tc>
        <w:tc>
          <w:tcPr>
            <w:tcW w:w="520" w:type="dxa"/>
            <w:vAlign w:val="bottom"/>
          </w:tcPr>
          <w:p>
            <w:pPr>
              <w:spacing w:after="0"/>
              <w:rPr>
                <w:sz w:val="14"/>
                <w:szCs w:val="14"/>
                <w:color w:val="auto"/>
              </w:rPr>
            </w:pP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2.0x</w:t>
            </w:r>
          </w:p>
        </w:tc>
        <w:tc>
          <w:tcPr>
            <w:tcW w:w="440" w:type="dxa"/>
            <w:vAlign w:val="bottom"/>
          </w:tcPr>
          <w:p>
            <w:pPr>
              <w:spacing w:after="0"/>
              <w:rPr>
                <w:sz w:val="14"/>
                <w:szCs w:val="14"/>
                <w:color w:val="auto"/>
              </w:rPr>
            </w:pP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1.6x</w:t>
            </w:r>
          </w:p>
        </w:tc>
        <w:tc>
          <w:tcPr>
            <w:tcW w:w="42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Balance Sheet Data (at period end):</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668"/>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w w:val="72"/>
              </w:rPr>
              <w:t>Cash and cash equivalents...........................................</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2,050</w:t>
            </w:r>
          </w:p>
        </w:tc>
      </w:tr>
      <w:tr>
        <w:trPr>
          <w:trHeight w:val="167"/>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w w:val="72"/>
              </w:rPr>
              <w:t>Intangible assets, net..............................................</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1,883,317</w:t>
            </w:r>
          </w:p>
        </w:tc>
      </w:tr>
      <w:tr>
        <w:trPr>
          <w:trHeight w:val="167"/>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w w:val="72"/>
              </w:rPr>
              <w:t>Total assets........................................................</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1,989,782</w:t>
            </w:r>
          </w:p>
        </w:tc>
      </w:tr>
      <w:tr>
        <w:trPr>
          <w:trHeight w:val="167"/>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w w:val="72"/>
              </w:rPr>
              <w:t>Total debt (including current portion)..............................</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790,354</w:t>
            </w:r>
          </w:p>
        </w:tc>
      </w:tr>
      <w:tr>
        <w:trPr>
          <w:trHeight w:val="167"/>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w w:val="72"/>
              </w:rPr>
              <w:t>Total stockholders' equity..........................................</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1,135,422</w:t>
            </w:r>
          </w:p>
        </w:tc>
      </w:tr>
    </w:tbl>
    <w:p>
      <w:pPr>
        <w:spacing w:after="0" w:line="338" w:lineRule="exact"/>
        <w:rPr>
          <w:sz w:val="20"/>
          <w:szCs w:val="20"/>
          <w:color w:val="auto"/>
        </w:rPr>
      </w:pPr>
    </w:p>
    <w:p>
      <w:pPr>
        <w:ind w:left="360" w:right="3459" w:hanging="351"/>
        <w:spacing w:after="0" w:line="253" w:lineRule="auto"/>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calculation, earnings consist of income (loss) before income taxes, extraordinary items and fixed charges. Fixed charges consist of interest expense, including the amortization of discounts on debt and the amortization of deferred financing costs and rent expense. Earnings were insufficient to cover fixed charges on a pro forma as adjusted basis for the year ended December 31, 2000, and the three months ended March 31, 2001, by approximately $82.7 million and $26.0 million, respectively.</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12" w:name="page13"/>
    <w:bookmarkEnd w:id="12"/>
    <w:p>
      <w:pPr>
        <w:ind w:left="1220"/>
        <w:spacing w:after="0"/>
        <w:rPr>
          <w:sz w:val="20"/>
          <w:szCs w:val="20"/>
          <w:color w:val="auto"/>
        </w:rPr>
      </w:pPr>
      <w:r>
        <w:rPr>
          <w:rFonts w:ascii="Courier New" w:cs="Courier New" w:eastAsia="Courier New" w:hAnsi="Courier New"/>
          <w:sz w:val="14"/>
          <w:szCs w:val="14"/>
          <w:color w:val="auto"/>
        </w:rPr>
        <w:t>CAUTIONARY NOTE REGARDING FORWARD-LOOKING STATEMENTS</w:t>
      </w:r>
    </w:p>
    <w:p>
      <w:pPr>
        <w:spacing w:after="0" w:line="17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This prospectus and the documents incorporated in this prospectus by reference contain forward-looking statements within the meaning of Section 27A of the Securities Act and Section 21E of the Securities Exchange Act of 1934. These forward-looking statements are not historical facts, but rather are based on our current expectations, estimates and projections about Radio One's industry, our beliefs and assumptions. Words such as "anticipates," "expects," "intends," "plans," "believes," "seeks," "estimates" and similar expressions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are described in "Risk Factors" and elsewhere in this prospectus. We undertake no obligation to publicly update or revise any forward-looking statements because of new information, future events or otherwise. In light of these risks and uncertainties, the forward-looking events and circumstances discussed in this prospectus might not transpire.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13" w:name="page14"/>
    <w:bookmarkEnd w:id="13"/>
    <w:p>
      <w:pPr>
        <w:jc w:val="center"/>
        <w:ind w:right="3279"/>
        <w:spacing w:after="0"/>
        <w:rPr>
          <w:sz w:val="20"/>
          <w:szCs w:val="20"/>
          <w:color w:val="auto"/>
        </w:rPr>
      </w:pPr>
      <w:r>
        <w:rPr>
          <w:rFonts w:ascii="Courier New" w:cs="Courier New" w:eastAsia="Courier New" w:hAnsi="Courier New"/>
          <w:sz w:val="14"/>
          <w:szCs w:val="14"/>
          <w:color w:val="auto"/>
        </w:rPr>
        <w:t>RISK FACTORS</w:t>
      </w:r>
    </w:p>
    <w:p>
      <w:pPr>
        <w:spacing w:after="0" w:line="175" w:lineRule="exact"/>
        <w:rPr>
          <w:sz w:val="20"/>
          <w:szCs w:val="20"/>
          <w:color w:val="auto"/>
        </w:rPr>
      </w:pPr>
    </w:p>
    <w:p>
      <w:pPr>
        <w:ind w:right="3459" w:firstLine="260"/>
        <w:spacing w:after="0" w:line="255" w:lineRule="auto"/>
        <w:rPr>
          <w:sz w:val="20"/>
          <w:szCs w:val="20"/>
          <w:color w:val="auto"/>
        </w:rPr>
      </w:pPr>
      <w:r>
        <w:rPr>
          <w:rFonts w:ascii="Courier New" w:cs="Courier New" w:eastAsia="Courier New" w:hAnsi="Courier New"/>
          <w:sz w:val="14"/>
          <w:szCs w:val="14"/>
          <w:color w:val="auto"/>
        </w:rPr>
        <w:t>Before you participate in the exchange offer, you should carefully consider the following factors in addition to the other information contained in this prospectus.</w:t>
      </w:r>
    </w:p>
    <w:p>
      <w:pPr>
        <w:spacing w:after="0" w:line="16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Risks Associated with the Exchange Offer</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Because there is no public market for the Notes, you may not be able to resell your Notes.</w:t>
      </w:r>
    </w:p>
    <w:p>
      <w:pPr>
        <w:spacing w:after="0" w:line="160" w:lineRule="exact"/>
        <w:rPr>
          <w:sz w:val="20"/>
          <w:szCs w:val="20"/>
          <w:color w:val="auto"/>
        </w:rPr>
      </w:pPr>
    </w:p>
    <w:p>
      <w:pPr>
        <w:ind w:right="3639" w:firstLine="260"/>
        <w:spacing w:after="0" w:line="255" w:lineRule="auto"/>
        <w:rPr>
          <w:sz w:val="20"/>
          <w:szCs w:val="20"/>
          <w:color w:val="auto"/>
        </w:rPr>
      </w:pPr>
      <w:r>
        <w:rPr>
          <w:rFonts w:ascii="Courier New" w:cs="Courier New" w:eastAsia="Courier New" w:hAnsi="Courier New"/>
          <w:sz w:val="14"/>
          <w:szCs w:val="14"/>
          <w:color w:val="auto"/>
        </w:rPr>
        <w:t>The exchange notes will be registered under the Securities Act, but will constitute a new issue of securities with no established trading market, and there can be no assurance as to:</w:t>
      </w:r>
    </w:p>
    <w:p>
      <w:pPr>
        <w:spacing w:after="0" w:line="162" w:lineRule="exact"/>
        <w:rPr>
          <w:sz w:val="20"/>
          <w:szCs w:val="20"/>
          <w:color w:val="auto"/>
        </w:rPr>
      </w:pPr>
    </w:p>
    <w:p>
      <w:pPr>
        <w:ind w:left="440" w:hanging="257"/>
        <w:spacing w:after="0"/>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liquidity of any trading market that may develop;</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holders to sell their exchange notes; or</w:t>
      </w:r>
    </w:p>
    <w:p>
      <w:pPr>
        <w:spacing w:after="0" w:line="175" w:lineRule="exact"/>
        <w:rPr>
          <w:sz w:val="20"/>
          <w:szCs w:val="20"/>
          <w:color w:val="auto"/>
        </w:rPr>
      </w:pPr>
    </w:p>
    <w:p>
      <w:pPr>
        <w:ind w:left="440" w:right="3979" w:hanging="257"/>
        <w:spacing w:after="0" w:line="258" w:lineRule="auto"/>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at which the holders would be able to sell their exchange notes.</w:t>
      </w:r>
    </w:p>
    <w:p>
      <w:pPr>
        <w:spacing w:after="0" w:line="160"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If a trading market were to develop, the exchange notes might trade at higher or lower prices than their principal amount or purchase price, depending on many factors, including prevailing interest rates, the market for similar debentures and our financial performance.</w:t>
      </w:r>
    </w:p>
    <w:p>
      <w:pPr>
        <w:spacing w:after="0" w:line="163"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We understand that the initial purchasers presently intend to make a market in the Notes. However, they are not obligated to do so, and any market-making activity with respect to the notes may be discontinued at any time without notice. In addition, any market-making activity will be subject to the limits imposed by the Securities Act and the Securities Exchange Act of 1934, and may be limited during the exchange offer or the pendency of an applicable shelf registration statement. There can be no assurance that an active trading market will exist for the notes or that any trading market that does develop will be liquid.</w:t>
      </w:r>
    </w:p>
    <w:p>
      <w:pPr>
        <w:spacing w:after="0" w:line="164"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In addition, any outstanding note holder who tenders in the exchange offer for the purpose of participating in a distribution of the exchange notes may be deemed to have received restricted securities, and if so, will be required to comply with the registration and prospectus delivery requirements of the Securities Act in connection with any resale transaction. For a description of these requirements, see "Exchange Offer; Registration Rights."</w:t>
      </w:r>
    </w:p>
    <w:p>
      <w:pPr>
        <w:spacing w:after="0" w:line="16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Your outstanding notes will not be accepted for exchange if you fail to follow the exchange offer procedures.</w:t>
      </w:r>
    </w:p>
    <w:p>
      <w:pPr>
        <w:spacing w:after="0" w:line="160"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We will not accept your outstanding notes for exchange if you do not follow the exchange offer procedures. We will issue exchange notes as part of this exchange offer only after a timely receipt of your outstanding notes, a properly completed and duly executed letter of transmittal and all other required documents. Therefore, if you want to tender your outstanding notes, please allow sufficient time to ensure timely delivery. If we do not receive your outstanding notes, letter of transmittal and other required documents by the expiration date of the exchange offer, we will not accept your outstanding notes for exchange. We are under no duty to give notification of defects or irregularities with respect to the tenders of outstanding notes for exchange. If there are defects or irregularities with respect to your tender of outstanding notes, we will not accept your outstanding notes for exchange.</w:t>
      </w:r>
    </w:p>
    <w:p>
      <w:pPr>
        <w:spacing w:after="0" w:line="164"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If you do not exchange our outstanding notes, your outstanding notes will continue to be subject to the existing transfer restrictions, and you may not be able to sell your outstanding notes.</w:t>
      </w:r>
    </w:p>
    <w:p>
      <w:pPr>
        <w:spacing w:after="0" w:line="16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We did not register the outstanding notes, nor do we intend to do so following the exchange offer. Outstanding notes that are not tendered will therefore continue to be subject to the existing transfer restrictions and may be transferred only in limited circumstances under the securities laws. If you do not exchange your outstanding notes, you will lose your right to have your outstanding notes registered under the federal securities laws. As a result, if you hold outstanding notes after the exchange offer, you may not be able to sell your outstanding notes.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14" w:name="page15"/>
    <w:bookmarkEnd w:id="14"/>
    <w:p>
      <w:pPr>
        <w:ind w:left="2360"/>
        <w:spacing w:after="0"/>
        <w:rPr>
          <w:sz w:val="20"/>
          <w:szCs w:val="20"/>
          <w:color w:val="auto"/>
        </w:rPr>
      </w:pPr>
      <w:r>
        <w:rPr>
          <w:rFonts w:ascii="Courier New" w:cs="Courier New" w:eastAsia="Courier New" w:hAnsi="Courier New"/>
          <w:sz w:val="14"/>
          <w:szCs w:val="14"/>
          <w:color w:val="auto"/>
        </w:rPr>
        <w:t>Risks Related to the Notes</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Substantial Leverage--Our substantial indebtedness could adversely affect our financial position and prevent us from fulfilling our obligations under the Notes.</w:t>
      </w:r>
    </w:p>
    <w:p>
      <w:pPr>
        <w:spacing w:after="0" w:line="162"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We have a significant amount of indebtedness. The pro forma data set forth below assume we completed the offering of the outstanding notes as of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2001 and</w:t>
            </w:r>
          </w:p>
        </w:tc>
        <w:tc>
          <w:tcPr>
            <w:tcW w:w="5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applied the proceeds as intended (dollars in millions):</w:t>
            </w:r>
          </w:p>
        </w:tc>
        <w:tc>
          <w:tcPr>
            <w:tcW w:w="840" w:type="dxa"/>
            <w:vAlign w:val="bottom"/>
          </w:tcPr>
          <w:p>
            <w:pPr>
              <w:spacing w:after="0"/>
              <w:rPr>
                <w:sz w:val="14"/>
                <w:szCs w:val="14"/>
                <w:color w:val="auto"/>
              </w:rPr>
            </w:pPr>
          </w:p>
        </w:tc>
      </w:tr>
      <w:tr>
        <w:trPr>
          <w:trHeight w:val="668"/>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indebtedness.................................................</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790.4</w:t>
            </w: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Stockholders' equity...............................................</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1,135.4</w:t>
            </w:r>
          </w:p>
        </w:tc>
      </w:tr>
      <w:tr>
        <w:trPr>
          <w:trHeight w:val="167"/>
        </w:trPr>
        <w:tc>
          <w:tcPr>
            <w:tcW w:w="7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5380" w:type="dxa"/>
            <w:vAlign w:val="bottom"/>
          </w:tcPr>
          <w:p>
            <w:pPr>
              <w:jc w:val="right"/>
              <w:spacing w:after="0"/>
              <w:rPr>
                <w:sz w:val="20"/>
                <w:szCs w:val="20"/>
                <w:color w:val="auto"/>
              </w:rPr>
            </w:pPr>
            <w:r>
              <w:rPr>
                <w:rFonts w:ascii="Courier New" w:cs="Courier New" w:eastAsia="Courier New" w:hAnsi="Courier New"/>
                <w:sz w:val="14"/>
                <w:szCs w:val="14"/>
                <w:color w:val="auto"/>
              </w:rPr>
              <w:t>capitalization...............................................</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1,925.8</w:t>
            </w:r>
          </w:p>
        </w:tc>
      </w:tr>
      <w:tr>
        <w:trPr>
          <w:trHeight w:val="167"/>
        </w:trPr>
        <w:tc>
          <w:tcPr>
            <w:tcW w:w="7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Debt to total capitalization ratio.................................</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41.0%</w:t>
            </w:r>
          </w:p>
        </w:tc>
      </w:tr>
    </w:tbl>
    <w:p>
      <w:pPr>
        <w:spacing w:after="0" w:line="338" w:lineRule="exact"/>
        <w:rPr>
          <w:sz w:val="20"/>
          <w:szCs w:val="20"/>
          <w:color w:val="auto"/>
        </w:rPr>
      </w:pPr>
    </w:p>
    <w:p>
      <w:pPr>
        <w:ind w:right="3379" w:firstLine="260"/>
        <w:spacing w:after="0" w:line="258" w:lineRule="auto"/>
        <w:rPr>
          <w:sz w:val="20"/>
          <w:szCs w:val="20"/>
          <w:color w:val="auto"/>
        </w:rPr>
      </w:pPr>
      <w:r>
        <w:rPr>
          <w:rFonts w:ascii="Courier New" w:cs="Courier New" w:eastAsia="Courier New" w:hAnsi="Courier New"/>
          <w:sz w:val="14"/>
          <w:szCs w:val="14"/>
          <w:color w:val="auto"/>
        </w:rPr>
        <w:t>Pursuant to the covenants of our bank credit facility, on a pro forma basis, we would be permitted to incur an additional $57.6 million of indebtedness.</w:t>
      </w:r>
    </w:p>
    <w:p>
      <w:pPr>
        <w:spacing w:after="0" w:line="160" w:lineRule="exact"/>
        <w:rPr>
          <w:sz w:val="20"/>
          <w:szCs w:val="20"/>
          <w:color w:val="auto"/>
        </w:rPr>
      </w:pPr>
    </w:p>
    <w:p>
      <w:pPr>
        <w:ind w:right="3539" w:firstLine="260"/>
        <w:spacing w:after="0" w:line="258" w:lineRule="auto"/>
        <w:rPr>
          <w:sz w:val="20"/>
          <w:szCs w:val="20"/>
          <w:color w:val="auto"/>
        </w:rPr>
      </w:pPr>
      <w:r>
        <w:rPr>
          <w:rFonts w:ascii="Courier New" w:cs="Courier New" w:eastAsia="Courier New" w:hAnsi="Courier New"/>
          <w:sz w:val="14"/>
          <w:szCs w:val="14"/>
          <w:color w:val="auto"/>
        </w:rPr>
        <w:t>Our substantial indebtedness could have important consequences to you. For example, it could:</w:t>
      </w:r>
    </w:p>
    <w:p>
      <w:pPr>
        <w:spacing w:after="0" w:line="160" w:lineRule="exact"/>
        <w:rPr>
          <w:sz w:val="20"/>
          <w:szCs w:val="20"/>
          <w:color w:val="auto"/>
        </w:rPr>
      </w:pPr>
    </w:p>
    <w:p>
      <w:pPr>
        <w:ind w:left="440" w:right="3539" w:hanging="257"/>
        <w:spacing w:after="0" w:line="255"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our ability to borrow additional amounts for working capital, capital expenditures, acquisitions, debt service requirements, execution of our growth strategy or other purposes;</w:t>
      </w:r>
    </w:p>
    <w:p>
      <w:pPr>
        <w:spacing w:after="0" w:line="162" w:lineRule="exact"/>
        <w:rPr>
          <w:sz w:val="20"/>
          <w:szCs w:val="20"/>
          <w:color w:val="auto"/>
        </w:rPr>
      </w:pPr>
    </w:p>
    <w:p>
      <w:pPr>
        <w:ind w:left="440" w:right="3799" w:hanging="257"/>
        <w:spacing w:after="0" w:line="254"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us to dedicate a substantial portion of our cash flow to pay principal and interest on our debt, which will reduce the funds available for working capital, capital expenditures, acquisitions and other general corporate purposes;</w:t>
      </w:r>
    </w:p>
    <w:p>
      <w:pPr>
        <w:spacing w:after="0" w:line="163" w:lineRule="exact"/>
        <w:rPr>
          <w:sz w:val="20"/>
          <w:szCs w:val="20"/>
          <w:color w:val="auto"/>
        </w:rPr>
      </w:pPr>
    </w:p>
    <w:p>
      <w:pPr>
        <w:ind w:left="440" w:right="3639" w:hanging="257"/>
        <w:spacing w:after="0" w:line="254" w:lineRule="auto"/>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our flexibility in planning for and reacting to changes in our business and our industry that could make us more vulnerable to adverse changes in general economic, industry and competitive conditions and adverse changes in government regulation; and</w:t>
      </w:r>
    </w:p>
    <w:p>
      <w:pPr>
        <w:spacing w:after="0" w:line="163" w:lineRule="exact"/>
        <w:rPr>
          <w:sz w:val="20"/>
          <w:szCs w:val="20"/>
          <w:color w:val="auto"/>
        </w:rPr>
      </w:pPr>
    </w:p>
    <w:p>
      <w:pPr>
        <w:ind w:left="440" w:right="3799" w:hanging="257"/>
        <w:spacing w:after="0" w:line="258" w:lineRule="auto"/>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place us at a disadvantage compared to our competitors that have less debt.</w:t>
      </w:r>
    </w:p>
    <w:p>
      <w:pPr>
        <w:spacing w:after="0" w:line="160" w:lineRule="exact"/>
        <w:rPr>
          <w:sz w:val="20"/>
          <w:szCs w:val="20"/>
          <w:color w:val="auto"/>
        </w:rPr>
      </w:pPr>
    </w:p>
    <w:p>
      <w:pPr>
        <w:ind w:right="3459" w:firstLine="260"/>
        <w:spacing w:after="0" w:line="255" w:lineRule="auto"/>
        <w:rPr>
          <w:sz w:val="20"/>
          <w:szCs w:val="20"/>
          <w:color w:val="auto"/>
        </w:rPr>
      </w:pPr>
      <w:r>
        <w:rPr>
          <w:rFonts w:ascii="Courier New" w:cs="Courier New" w:eastAsia="Courier New" w:hAnsi="Courier New"/>
          <w:sz w:val="14"/>
          <w:szCs w:val="14"/>
          <w:color w:val="auto"/>
        </w:rPr>
        <w:t>Any of the above listed factors could materially adversely affect us. See "Description of Notes--Repurchase at Option of Holders--Change of Control" and "Description of Indebtedness."</w:t>
      </w:r>
    </w:p>
    <w:p>
      <w:pPr>
        <w:spacing w:after="0" w:line="162" w:lineRule="exact"/>
        <w:rPr>
          <w:sz w:val="20"/>
          <w:szCs w:val="20"/>
          <w:color w:val="auto"/>
        </w:rPr>
      </w:pPr>
    </w:p>
    <w:p>
      <w:pPr>
        <w:jc w:val="both"/>
        <w:ind w:right="3979"/>
        <w:spacing w:after="0" w:line="255" w:lineRule="auto"/>
        <w:rPr>
          <w:sz w:val="20"/>
          <w:szCs w:val="20"/>
          <w:color w:val="auto"/>
        </w:rPr>
      </w:pPr>
      <w:r>
        <w:rPr>
          <w:rFonts w:ascii="Courier New" w:cs="Courier New" w:eastAsia="Courier New" w:hAnsi="Courier New"/>
          <w:sz w:val="14"/>
          <w:szCs w:val="14"/>
          <w:color w:val="auto"/>
        </w:rPr>
        <w:t>Ability to Service Debt--To service our indebtedness, we will require a significant amount of cash. Our ability to generate cash depends on many factors beyond our control.</w:t>
      </w:r>
    </w:p>
    <w:p>
      <w:pPr>
        <w:spacing w:after="0" w:line="162"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Our ability to pay the principal of and interest on the Notes, to service our other debt and to finance indebtedness when necessary depends on our financial and operating performance, each of which is subject to prevailing economic conditions and to financial, business, legislative and regulatory factors and other factors beyond our control.</w:t>
      </w:r>
    </w:p>
    <w:p>
      <w:pPr>
        <w:spacing w:after="0" w:line="162"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We cannot assure you that we will generate sufficient cash flow from operations or that we will be able to obtain sufficient funding to satisfy all of our obligations, including the Notes. If we are unable to pay our debts, we will be required to pursue one or more alternative strategies, such as selling assets, refinancing or restructuring our indebtedness or selling additional debt or equity securities. In addition, the ability to borrow funds under our bank credit facility in the future will depend on our meeting the financial covenants in the agreements governing this facility, including a minimum interest coverage test and a maximum leverage ratio test. We cannot assure you that our business will generate cash flow from operations or that future borrowings will be available to us under our bank credit facility, in an amount sufficient to enable us to pay our debt or to fund other liquidity needs. As a result, we may need to refinance all or a portion of our debt on or before maturity. However, we cannot assure you that any alternative strategies will be feasible at the time or prove adequate. Also, some alternative strategies will require the consent of our lenders before we engage in those strategies. See "Description of Notes" and "Description of Indebtedness."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5" w:name="page16"/>
    <w:bookmarkEnd w:id="15"/>
    <w:p>
      <w:pPr>
        <w:ind w:right="3379"/>
        <w:spacing w:after="0" w:line="258" w:lineRule="auto"/>
        <w:rPr>
          <w:sz w:val="20"/>
          <w:szCs w:val="20"/>
          <w:color w:val="auto"/>
        </w:rPr>
      </w:pPr>
      <w:r>
        <w:rPr>
          <w:rFonts w:ascii="Courier New" w:cs="Courier New" w:eastAsia="Courier New" w:hAnsi="Courier New"/>
          <w:sz w:val="14"/>
          <w:szCs w:val="14"/>
          <w:color w:val="auto"/>
        </w:rPr>
        <w:t>Subordination--Your right to receive payment on the Notes and the guarantees is junior to all of our and the guarantors' senior debt.</w:t>
      </w:r>
    </w:p>
    <w:p>
      <w:pPr>
        <w:spacing w:after="0" w:line="160"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Notes are general unsecured obligations, junior in right of payment to all of our existing and future senior debt and that of each guarantor, including obligations under our bank credit facility. The Notes are not secured by any of our or the guarantors' assets, and as such will be effectively subordinated to any secured debt that we or the guarantors have now, including all of the borrowings under our credit facilities, or may incur in the future to the extent of the value of the assets securing that debt.</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In the event that Radio One or a guarantor is declared bankrupt, becomes insolvent or is liquidated or reorganized, any debt that ranks ahead of the Notes and the guarantees will be entitled to be paid in full from our assets or the assets of the guarantors, as applicable, before any payment may be made with respect to the Notes or the affected guarantees. In any of the foregoing events, we cannot assure you that we would have sufficient assets to pay amounts due on the Notes. As a result, holders of the Notes may receive less, proportionally, than the holders of debt senior to the Notes and the guarantees. The subordination provisions of the Indenture governing the Notes also provide that we can make no payment to you during the continuance of payment defaults on our senior debt, and payments to you may be suspended for a period of up to 180 days if a nonpayment default exists under our senior debt. See "Description of the Notes--Subordination."</w:t>
      </w:r>
    </w:p>
    <w:p>
      <w:pPr>
        <w:spacing w:after="0" w:line="163"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Assuming the offering of the outstanding notes to the initial purchasers and the related financing transactions had been completed as of March 31, 2001, the Notes and the guarantees would have ranked junior to $490.2 million of senior debt. In addition, the Indenture governing the Notes and the credit agreement governing our bank credit facility permit, subject to specified limitations, the incurrence of additional debt, some or all of which may be senior debt. See "Description of Notes--Certain Covenants" and "Description of Indebtedness."</w:t>
      </w:r>
    </w:p>
    <w:p>
      <w:pPr>
        <w:spacing w:after="0" w:line="165" w:lineRule="exact"/>
        <w:rPr>
          <w:sz w:val="20"/>
          <w:szCs w:val="20"/>
          <w:color w:val="auto"/>
        </w:rPr>
      </w:pPr>
    </w:p>
    <w:p>
      <w:pPr>
        <w:jc w:val="both"/>
        <w:ind w:right="3719"/>
        <w:spacing w:after="0" w:line="255" w:lineRule="auto"/>
        <w:rPr>
          <w:sz w:val="20"/>
          <w:szCs w:val="20"/>
          <w:color w:val="auto"/>
        </w:rPr>
      </w:pPr>
      <w:r>
        <w:rPr>
          <w:rFonts w:ascii="Courier New" w:cs="Courier New" w:eastAsia="Courier New" w:hAnsi="Courier New"/>
          <w:sz w:val="14"/>
          <w:szCs w:val="14"/>
          <w:color w:val="auto"/>
        </w:rPr>
        <w:t>Restrictive Covenants--The Indenture for the Notes and the credit agreement governing our bank credit facility contain various covenants that limit our management's discretion in the operations of our business.</w:t>
      </w:r>
    </w:p>
    <w:p>
      <w:pPr>
        <w:spacing w:after="0" w:line="162" w:lineRule="exact"/>
        <w:rPr>
          <w:sz w:val="20"/>
          <w:szCs w:val="20"/>
          <w:color w:val="auto"/>
        </w:rPr>
      </w:pPr>
    </w:p>
    <w:p>
      <w:pPr>
        <w:jc w:val="both"/>
        <w:ind w:right="3719" w:firstLine="260"/>
        <w:spacing w:after="0" w:line="255" w:lineRule="auto"/>
        <w:rPr>
          <w:sz w:val="20"/>
          <w:szCs w:val="20"/>
          <w:color w:val="auto"/>
        </w:rPr>
      </w:pPr>
      <w:r>
        <w:rPr>
          <w:rFonts w:ascii="Courier New" w:cs="Courier New" w:eastAsia="Courier New" w:hAnsi="Courier New"/>
          <w:sz w:val="14"/>
          <w:szCs w:val="14"/>
          <w:color w:val="auto"/>
        </w:rPr>
        <w:t>The Indenture governing the Notes and the credit agreement governing our bank credit facility contain various provisions that limit our management's discretion by restricting our ability to:</w:t>
      </w:r>
    </w:p>
    <w:p>
      <w:pPr>
        <w:spacing w:after="0" w:line="162" w:lineRule="exact"/>
        <w:rPr>
          <w:sz w:val="20"/>
          <w:szCs w:val="20"/>
          <w:color w:val="auto"/>
        </w:rPr>
      </w:pPr>
    </w:p>
    <w:p>
      <w:pPr>
        <w:ind w:left="440" w:hanging="257"/>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additional debt and issue preferred stock;</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dividends and make other distributions;</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investments and other restricted payments;</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 liens;</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assets; and</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certain transactions with affiliates.</w:t>
      </w:r>
    </w:p>
    <w:p>
      <w:pPr>
        <w:spacing w:after="0" w:line="175" w:lineRule="exact"/>
        <w:rPr>
          <w:sz w:val="20"/>
          <w:szCs w:val="20"/>
          <w:color w:val="auto"/>
        </w:rPr>
      </w:pPr>
    </w:p>
    <w:p>
      <w:pPr>
        <w:ind w:right="3639" w:firstLine="260"/>
        <w:spacing w:after="0" w:line="255" w:lineRule="auto"/>
        <w:rPr>
          <w:sz w:val="20"/>
          <w:szCs w:val="20"/>
          <w:color w:val="auto"/>
        </w:rPr>
      </w:pPr>
      <w:r>
        <w:rPr>
          <w:rFonts w:ascii="Courier New" w:cs="Courier New" w:eastAsia="Courier New" w:hAnsi="Courier New"/>
          <w:sz w:val="14"/>
          <w:szCs w:val="14"/>
          <w:color w:val="auto"/>
        </w:rPr>
        <w:t>These restrictions on our management's ability to operate our business in accordance with its discretion could have a material adverse effect on our business.</w:t>
      </w:r>
    </w:p>
    <w:p>
      <w:pPr>
        <w:spacing w:after="0" w:line="162" w:lineRule="exact"/>
        <w:rPr>
          <w:sz w:val="20"/>
          <w:szCs w:val="20"/>
          <w:color w:val="auto"/>
        </w:rPr>
      </w:pPr>
    </w:p>
    <w:p>
      <w:pPr>
        <w:ind w:right="3639" w:firstLine="260"/>
        <w:spacing w:after="0" w:line="255" w:lineRule="auto"/>
        <w:rPr>
          <w:sz w:val="20"/>
          <w:szCs w:val="20"/>
          <w:color w:val="auto"/>
        </w:rPr>
      </w:pPr>
      <w:r>
        <w:rPr>
          <w:rFonts w:ascii="Courier New" w:cs="Courier New" w:eastAsia="Courier New" w:hAnsi="Courier New"/>
          <w:sz w:val="14"/>
          <w:szCs w:val="14"/>
          <w:color w:val="auto"/>
        </w:rPr>
        <w:t>In addition, our bank credit facility requires that we maintain specific financial ratios. Events beyond our control could affect our ability to meet those financial ratios, and we cannot assure you that we will meet them.</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If we default under any financing agreements, our lenders could:</w:t>
      </w:r>
    </w:p>
    <w:p>
      <w:pPr>
        <w:spacing w:after="0" w:line="175" w:lineRule="exact"/>
        <w:rPr>
          <w:sz w:val="20"/>
          <w:szCs w:val="20"/>
          <w:color w:val="auto"/>
        </w:rPr>
      </w:pPr>
    </w:p>
    <w:p>
      <w:pPr>
        <w:ind w:left="440" w:right="3539" w:hanging="257"/>
        <w:spacing w:after="0" w:line="258"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 to declare all amounts borrowed to be immediately due and payable, together with accrued and unpaid interest; and/or</w:t>
      </w:r>
    </w:p>
    <w:p>
      <w:pPr>
        <w:spacing w:after="0" w:line="160" w:lineRule="exact"/>
        <w:rPr>
          <w:sz w:val="20"/>
          <w:szCs w:val="20"/>
          <w:color w:val="auto"/>
        </w:rPr>
      </w:pPr>
    </w:p>
    <w:p>
      <w:pPr>
        <w:ind w:left="440" w:right="4059" w:hanging="257"/>
        <w:spacing w:after="0" w:line="258"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their commitments, if any, to make further extensions of credit.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6" w:name="page17"/>
    <w:bookmarkEnd w:id="16"/>
    <w:p>
      <w:pPr>
        <w:ind w:right="3379" w:firstLine="260"/>
        <w:spacing w:after="0" w:line="253" w:lineRule="auto"/>
        <w:rPr>
          <w:sz w:val="20"/>
          <w:szCs w:val="20"/>
          <w:color w:val="auto"/>
        </w:rPr>
      </w:pPr>
      <w:r>
        <w:rPr>
          <w:rFonts w:ascii="Courier New" w:cs="Courier New" w:eastAsia="Courier New" w:hAnsi="Courier New"/>
          <w:sz w:val="14"/>
          <w:szCs w:val="14"/>
          <w:color w:val="auto"/>
        </w:rPr>
        <w:t>If we are unable to pay our obligations to our senior secured lenders, they could proceed against any or all of the collateral securing our indebtedness to them. The collateral under our bank credit facility consists of substantially all of our existing assets. In addition, a breach of certain of these restrictions or covenants, or an acceleration by our senior secured lenders of our obligations to them, would cause a default under the Notes. We may not have, or be able to obtain, sufficient funds to make accelerated payments, including payments on the Notes, or to repay the Notes in full after we pay our senior secured lenders to the extent of their collateral. See "Description of Indebtedness" and "Description of Notes."</w:t>
      </w:r>
    </w:p>
    <w:p>
      <w:pPr>
        <w:spacing w:after="0" w:line="164"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Fraudulent Conveyance Matters--Federal and state statutes allow courts, under specific circumstances, to void guarantees, subordinate claims in respect of the Notes and require our Noteholders to return payments received from guarantors.</w:t>
      </w:r>
    </w:p>
    <w:p>
      <w:pPr>
        <w:spacing w:after="0" w:line="163"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Under federal bankruptcy law and comparable provisions of state fraudulent transfer laws, a guarantee could be voided, or claims in respect of the Notes or a guarantee could be subordinated to all of our other debts or all other debts of a guarantor if, among other things, we or the guarantor was insolvent or rendered insolvent by reason of such incurrence, or we or the guarantor were engaged in a business or transaction for which our or the guarantors' remaining assets constituted unreasonably small capital, or we or the guarantor intended to incur or believed that we or it would incur, debts beyond our or its ability to pay those debts as they mature. In addition, any payment by us or that guarantor in accordance with its guarantee could be voided and required to be returned to us or the guarantor, or to a fund for the benefit of our creditors or the creditors of the guarantors.</w:t>
      </w:r>
    </w:p>
    <w:p>
      <w:pPr>
        <w:spacing w:after="0" w:line="164"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measures of insolvency for purposes of these fraudulent transfer laws will vary depending upon the law applied in any proceeding to determine whether a fraudulent transfer has occurred. Generally, however, a guarantor would be considered insolvent if the sum of its debts, including contingent liabilities, were greater than the fair saleable value of all of its assets, or if the present fair saleable value of its assets were less than the amount that would be required to pay its probable liability on its existing debts, including contingent liabilities, as they become absolute and mature, or it could not pay its debts as they become due.</w:t>
      </w:r>
    </w:p>
    <w:p>
      <w:pPr>
        <w:spacing w:after="0" w:line="164"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On the basis of historical financial information, recent operating history and other factors, we believe that we and each guarantor, after giving effect to its guarantee of the Notes, will not be insolvent, will not have unreasonably small capital for the business in which we and they are engaged and will not have incurred debts beyond our or their ability to pay the debts as they mature. We cannot assure you, however, as to what standard a court would apply in making these determinations or that a court would agree with our conclusions.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Volatility--The trading price of the Notes may be volatile.</w:t>
      </w:r>
    </w:p>
    <w:p>
      <w:pPr>
        <w:spacing w:after="0" w:line="175"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The trading price of the Notes could be subject to significant fluctuation in response to, among other factors, variations in operating results, developments in industries in which we do business, general economic conditions, changes in securities analysts' recommendations regarding our securities and changes in the market for noninvestment grade securities generally. This volatility may adversely affect the market price of the Notes.</w:t>
      </w:r>
    </w:p>
    <w:p>
      <w:pPr>
        <w:spacing w:after="0" w:line="16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Financing Change of Control Offer--We may not have the ability to raise the funds necessary to finance the change of control offer required by the Indenture for the Notes.</w:t>
      </w:r>
    </w:p>
    <w:p>
      <w:pPr>
        <w:spacing w:after="0" w:line="16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If a change of control occurs, you will have the right to require us to repurchase any or all of your Notes at a price equal to 101% of the principal amount thereof, together with any interest we owe you. Upon a change of control, we also may be required immediately to repay the outstanding principal, any accrued interest on and any other amounts owed by us under the senior credit facility and any other indebtedness or preferred stock then outstanding. We cannot assure you that we would be able to repay amounts outstanding under the senior credit facility or obtain necessary consents under the facility to purchase the Notes. Any requirement to offer to purchase any outstanding notes may result in our having to refinance our outstanding indebtedness, which we may not be able to do. In addition, even if we were able to refinance this indebtedness, the financing may be on terms unfavorable to us. If we fail to repurchase the Notes tendered for purchase upon the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7" w:name="page18"/>
    <w:bookmarkEnd w:id="17"/>
    <w:p>
      <w:pPr>
        <w:ind w:right="3719"/>
        <w:spacing w:after="0" w:line="254" w:lineRule="auto"/>
        <w:rPr>
          <w:sz w:val="20"/>
          <w:szCs w:val="20"/>
          <w:color w:val="auto"/>
        </w:rPr>
      </w:pPr>
      <w:r>
        <w:rPr>
          <w:rFonts w:ascii="Courier New" w:cs="Courier New" w:eastAsia="Courier New" w:hAnsi="Courier New"/>
          <w:sz w:val="14"/>
          <w:szCs w:val="14"/>
          <w:color w:val="auto"/>
        </w:rPr>
        <w:t>occurrence of a change of control, the failure will be an event of default under the Indenture governing the Notes. In addition, the change of control covenant does not cover all corporate reorganizations, mergers or similar transactions and may not provide you with protection in a highly leveraged transaction.</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Risks Related to Radio One</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Competition for Advertising Revenue--We compete for advertising revenue against radio stations and other media, many of which have greater resources than we do, and if we are unable to maintain or grow our advertising revenue share, our business and operating results may be adversely affected.</w:t>
      </w:r>
    </w:p>
    <w:p>
      <w:pPr>
        <w:spacing w:after="0" w:line="163"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In the competitive broadcasting industry, the success of each of our radio stations is primarily dependent upon its share of the overall advertising revenue within its market. Although we believe that each of our stations can compete effectively in its broadcasting area, we cannot be sure that any of our stations can maintain or increase its current audience ratings or market share, or that advertisers will not decrease the amount they spend on advertising.</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Our advertising revenue may suffer if any of our stations cannot maintain its audience or market share. Shifts in population, demographics, audience tastes and other factors beyond our control could cause us to lose market share. Our stations also compete for audiences and advertising revenues directly with other radio stations, and some of the owners of those competing stations have greater resources than we do. If a competing station converts to a format similar to that of one of our stations, or if one of our competitors strengthens its operations, our stations could suffer a reduction in ratings and advertising revenue. Other radio companies which are larger and have more resources may also enter markets in which we operate. In addition, our stations also compete with other media such as broadcast and cable television, newspapers, magazines, direct mail, music videos, the Internet and outdoor advertising, some of which may be controlled by horizontally-integrated companies. We also anticipate that our stations will soon compete with satellite-based radio services, including Sirius Satellite Radio and XM Satellite Radio.</w:t>
      </w:r>
    </w:p>
    <w:p>
      <w:pPr>
        <w:spacing w:after="0" w:line="330"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Decline in Level of Advertising Spending--An economic downturn that impacts business sectors which advertise heavily on radio could result in a reduction in advertising spending in those sectors, and could have a negative impact on our advertising revenue and business.</w:t>
      </w:r>
    </w:p>
    <w:p>
      <w:pPr>
        <w:spacing w:after="0" w:line="163"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We believe that advertising is a discretionary business expense, meaning that spending on advertising may decline during economic recession or downturn. Consequently, a recession or downturn in the United States economy or the economy of an individual geographic market in which we own or operate stations could adversely affect our advertising revenue and, therefore, our results of operations. Even in the absence of a general recession or downturn in the economy, an individual business sector that tends to spend more on advertising than other sectors might be forced to reduce its advertising expenditures if that sector experiences a downturn. If that sector's spending represents a significant portion of our advertising revenues, any reduction in its expenditures may affect our revenue.</w:t>
      </w:r>
    </w:p>
    <w:p>
      <w:pPr>
        <w:spacing w:after="0" w:line="164"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In recent months the radio industry has been experiencing negative year over year advertising revenue growth, primarily as a result of the downturn in the overall economy. A number of business sectors that traditionally have been heavy radio advertisers, including the automotive, retail sales and television broadcast industries, as well as Internet businesses which in recent years become significant radio advertisers, have been adversely affected by the general economic slowdown. While we have continued to experience positive year over year advertising revenue growth, if the factors that have contributed to the radio industry's overall negative advertising revenue growth persist or worsen, our advertising growth rate could be affected.</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8" w:name="page19"/>
    <w:bookmarkEnd w:id="18"/>
    <w:p>
      <w:pPr>
        <w:ind w:right="3379"/>
        <w:spacing w:after="0" w:line="254" w:lineRule="auto"/>
        <w:rPr>
          <w:sz w:val="20"/>
          <w:szCs w:val="20"/>
          <w:color w:val="auto"/>
        </w:rPr>
      </w:pPr>
      <w:r>
        <w:rPr>
          <w:rFonts w:ascii="Courier New" w:cs="Courier New" w:eastAsia="Courier New" w:hAnsi="Courier New"/>
          <w:sz w:val="14"/>
          <w:szCs w:val="14"/>
          <w:color w:val="auto"/>
        </w:rPr>
        <w:t>Integration of Acquisitions--We may have difficulty integrating the operations, systems and management of the stations that we have recently acquired or agreed to acquire. Our failure to successfully integrate acquired stations could have a material adverse effect on our business and operating results.</w:t>
      </w:r>
    </w:p>
    <w:p>
      <w:pPr>
        <w:spacing w:after="0" w:line="163"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From January 1, 2000 through March 31, 2001, we acquired or agreed to acquire and/or operate 43 radio stations, including 16 stations that we will own and/or operate upon consummation of our acquisition of Blue Chip Broadcasting, Inc. pursuant to an agreement dated February 7, 2001, and we expect to make acquisitions of other stations and station groups in the future.</w:t>
      </w:r>
    </w:p>
    <w:p>
      <w:pPr>
        <w:spacing w:after="0" w:line="162"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We cannot assure you that we will be able to integrate successfully the operations, systems or management to be acquired in the Blue Chip acquisition, or any other operation, systems or management that might be acquired in the future. The pending consummation of the Blue Chip acquisition will require us to manage a significantly larger and geographically more diverse radio station portfolio than historically has been the case. Our failure to integrate and manage newly acquired stations successfully could have a material adverse effect on our business and operating results. In addition, in the event that the operations of a new station do not meet our expectations, we may restructure or write-off the value of some portion of the assets of the new station.</w:t>
      </w:r>
    </w:p>
    <w:p>
      <w:pPr>
        <w:spacing w:after="0" w:line="331"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Risks of Acquisition Strategy--If we are unable to successfully execute our acquisition strategy, our business may not grow as expected.</w:t>
      </w:r>
    </w:p>
    <w:p>
      <w:pPr>
        <w:spacing w:after="0" w:line="160"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We intend to grow by acquiring radio stations primarily in top 50 African-American markets. However, we may not successfully identify and consummate future acquisitions, and stations that we do acquire may not increase our broadcast cash flow or yield other anticipated benefits.</w:t>
      </w:r>
    </w:p>
    <w:p>
      <w:pPr>
        <w:spacing w:after="0" w:line="163" w:lineRule="exact"/>
        <w:rPr>
          <w:sz w:val="20"/>
          <w:szCs w:val="20"/>
          <w:color w:val="auto"/>
        </w:rPr>
      </w:pPr>
    </w:p>
    <w:p>
      <w:pPr>
        <w:ind w:right="3379" w:firstLine="260"/>
        <w:spacing w:after="0" w:line="255" w:lineRule="auto"/>
        <w:rPr>
          <w:sz w:val="20"/>
          <w:szCs w:val="20"/>
          <w:color w:val="auto"/>
        </w:rPr>
      </w:pPr>
      <w:r>
        <w:rPr>
          <w:rFonts w:ascii="Courier New" w:cs="Courier New" w:eastAsia="Courier New" w:hAnsi="Courier New"/>
          <w:sz w:val="14"/>
          <w:szCs w:val="14"/>
          <w:color w:val="auto"/>
        </w:rPr>
        <w:t>Our failure to execute our acquisition strategy successfully could have a material adverse effect on our business and operating results, and on the value of our common stock.</w:t>
      </w:r>
    </w:p>
    <w:p>
      <w:pPr>
        <w:spacing w:after="0" w:line="162"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Dependence on Key Personnel--The loss of key personnel, including on air-talent, could disrupt the management and operation of our business.</w:t>
      </w:r>
    </w:p>
    <w:p>
      <w:pPr>
        <w:spacing w:after="0" w:line="160"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Our business depends upon the continued efforts, abilities and expertise of our executive officers, including our chief executive officer, chief financial officer, chief operating officer and general counsel, and other key employees, including on-air personalities. We believe that the unique combination of skills and experience possessed by our executive officers would be difficult to replace, and that the loss of any one of them could have a material adverse effect on us, including the impairment of our ability to execute our business strategy. Additionally, our radio stations employ or independently contract with several on-air personalities and hosts of syndicated radio programs with significant loyal audiences in their respective broadcast areas. These on-air personalities are sometimes significantly responsible for the ranking of a station, and thus, the ability of the station to sell advertising. We cannot be assured that these individuals will remain with our radio stations or will retain audiences.</w:t>
      </w:r>
    </w:p>
    <w:p>
      <w:pPr>
        <w:spacing w:after="0" w:line="330"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Controlling Stockholders--Two common stockholders have a majority voting interest in Radio One and have the power to control matters on which Radio One's common stockholders may vote, and their interests may conflict with yours.</w:t>
      </w:r>
    </w:p>
    <w:p>
      <w:pPr>
        <w:spacing w:after="0" w:line="163"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Catherine L. Hughes and her son, Alfred C. Liggins, III, collectively hold approximately 55.9% of the outstanding voting power of Radio One's common stock. As a result, Ms. Hughes and Mr. Liggins will control most decisions involving Radio One, including transactions involving a change of control of Radio One, such as a sale or merger. In addition, certain covenants in Radio One's debt instruments require that Ms. Hughes and Mr. Liggins maintain specified ownership and voting interests in Radio One, and prohibit other parties' voting interests from exceeding specified amounts. Ms. Hughes and Mr. Liggins have agreed to vote their shares together in elections of members of the board of directors.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9" w:name="page20"/>
    <w:bookmarkEnd w:id="19"/>
    <w:p>
      <w:pPr>
        <w:ind w:right="3379"/>
        <w:spacing w:after="0" w:line="255" w:lineRule="auto"/>
        <w:rPr>
          <w:sz w:val="20"/>
          <w:szCs w:val="20"/>
          <w:color w:val="auto"/>
        </w:rPr>
      </w:pPr>
      <w:r>
        <w:rPr>
          <w:rFonts w:ascii="Courier New" w:cs="Courier New" w:eastAsia="Courier New" w:hAnsi="Courier New"/>
          <w:sz w:val="14"/>
          <w:szCs w:val="14"/>
          <w:color w:val="auto"/>
        </w:rPr>
        <w:t>Technology Changes, New Services and Evolving Standards--We must respond to the rapid changes in technology, services and standards which characterize our industry in order to remain competitive.</w:t>
      </w:r>
    </w:p>
    <w:p>
      <w:pPr>
        <w:spacing w:after="0" w:line="162"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The radio broadcasting industry is subject to rapid technological change, evolving industry standards and the emergence of new media technologies. We cannot assure you that we will have the resources to acquire new technologies or to introduce new services that could compete with these new technologies. Several new media technologies are being developed, including the following:</w:t>
      </w:r>
    </w:p>
    <w:p>
      <w:pPr>
        <w:spacing w:after="0" w:line="162" w:lineRule="exact"/>
        <w:rPr>
          <w:sz w:val="20"/>
          <w:szCs w:val="20"/>
          <w:color w:val="auto"/>
        </w:rPr>
      </w:pPr>
    </w:p>
    <w:p>
      <w:pPr>
        <w:ind w:left="440" w:right="3799" w:hanging="257"/>
        <w:spacing w:after="0" w:line="255"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Audio programming by cable television systems, direct broadcast satellite systems, Internet content providers and other digital audio broadcast formats;</w:t>
      </w:r>
    </w:p>
    <w:p>
      <w:pPr>
        <w:spacing w:after="0" w:line="162" w:lineRule="exact"/>
        <w:rPr>
          <w:sz w:val="20"/>
          <w:szCs w:val="20"/>
          <w:color w:val="auto"/>
        </w:rPr>
      </w:pPr>
    </w:p>
    <w:p>
      <w:pPr>
        <w:ind w:left="440" w:right="3639" w:hanging="257"/>
        <w:spacing w:after="0" w:line="255"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Satellite digital audio radio service, which could result in the introduction of several new satellite radio services with sound quality equivalent to that of compact discs; and</w:t>
      </w:r>
    </w:p>
    <w:p>
      <w:pPr>
        <w:spacing w:after="0" w:line="162" w:lineRule="exact"/>
        <w:rPr>
          <w:sz w:val="20"/>
          <w:szCs w:val="20"/>
          <w:color w:val="auto"/>
        </w:rPr>
      </w:pPr>
    </w:p>
    <w:p>
      <w:pPr>
        <w:ind w:left="440" w:right="3899" w:hanging="257"/>
        <w:spacing w:after="0" w:line="255"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In-band on-channel digital radio, which could provide multi-channel, multi-format digital radio services in the same bandwidth currently occupied by traditional AM and FM radio services.</w:t>
      </w:r>
    </w:p>
    <w:p>
      <w:pPr>
        <w:spacing w:after="0" w:line="162"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We have entered into a programming agreement with a satellite digital audio radio service, and have also invested in a developer of digital audio broadcast technology and two Internet content providers. However, we cannot assure you that these arrangements will be successful or enable us to adapt effectively to these new media technologies.</w:t>
      </w:r>
    </w:p>
    <w:p>
      <w:pPr>
        <w:spacing w:after="0" w:line="162"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Government Regulation--Our business depends on maintaining our licenses with the FCC. We could be prevented from operating a radio station if we fail to maintain its license.</w:t>
      </w:r>
    </w:p>
    <w:p>
      <w:pPr>
        <w:spacing w:after="0" w:line="16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Radio broadcasters depend upon maintaining radio broadcasting licenses issued by the FCC. These licenses are ordinarily issued for a maximum term of eight years and may be renewed. Our radio broadcasting licenses expire at various times from October 1, 2003 to August 1, 2006. Although we may apply to renew our FCC licenses, interested third parties may challenge our renewal applications. In addition, if Radio One or any of our stockholders, officers, or directors violates the FCC's rules and regulations or the Communications Act of 1934, as amended, or is convicted of a felony, the FCC may commence a proceeding to impose sanctions upon us. Examples of possible sanctions include the imposition of fines; the revocation of our broadcast licenses; or the renewal of one or more of our broadcasting licenses for a term of fewer than eight years. If the FCC were to issue an order denying a license renewal application or revoking a license, we would be required to cease operating the radio station covered by the license only after we had exhausted administrative and judicial review without success.</w:t>
      </w:r>
    </w:p>
    <w:p>
      <w:pPr>
        <w:spacing w:after="0" w:line="330"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radio broadcasting industry is subject to extensive and changing federal regulation, as described in greater detail in our reports filed with the SEC. Among other things, the Communications Act and FCC rules and policies limit the number of broadcasting properties that any person or entity may own (directly or by attribution) in any market and require FCC approval for transfers of control and assignments of licenses. The filing of petitions or complaints against Radio One or any FCC licensee from which we are acquiring a station could result in the FCC delaying the grant of, or refusing to grant or imposing conditions on its consent to the assignment or transfer of control of licenses. The Communications Act and FCC rules and policies also impose limitations on non-U.S. ownership and voting of the capital stock of Radio One.</w:t>
      </w:r>
    </w:p>
    <w:p>
      <w:pPr>
        <w:spacing w:after="0" w:line="164"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Antitrust Matters--We may have difficulty obtaining regulatory approval for acquisitions in our existing markets and, potentially, new markets, which could affect the implementation of our acquisition strategy.</w:t>
      </w:r>
    </w:p>
    <w:p>
      <w:pPr>
        <w:spacing w:after="0" w:line="16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An important part of our growth strategy is the acquisition of additional radio stations. The agencies responsible for enforcing the federal antitrust laws, the Federal Trade Commission or the Department of Justice, may investigate certain acquisitions. After the passage of the Telecommunications Act of 1996, the Department of Justice became more aggressive in reviewing proposed acquisitions of radio stations. The Justice Department is particularly aggressive when the proposed buyer already owns one or more radio stations in the market of the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20" w:name="page21"/>
    <w:bookmarkEnd w:id="20"/>
    <w:p>
      <w:pPr>
        <w:ind w:right="3379"/>
        <w:spacing w:after="0" w:line="253" w:lineRule="auto"/>
        <w:rPr>
          <w:sz w:val="20"/>
          <w:szCs w:val="20"/>
          <w:color w:val="auto"/>
        </w:rPr>
      </w:pPr>
      <w:r>
        <w:rPr>
          <w:rFonts w:ascii="Courier New" w:cs="Courier New" w:eastAsia="Courier New" w:hAnsi="Courier New"/>
          <w:sz w:val="14"/>
          <w:szCs w:val="14"/>
          <w:color w:val="auto"/>
        </w:rPr>
        <w:t>station it is seeking to buy. The Justice Department has challenged a number of radio broadcasting transactions. Some of those challenges ultimately resulted in consent decrees requiring, among other things, divestitures of certain stations. In general, the Justice Department has more closely scrutinized radio broadcasting acquisitions that result in local market shares in excess of 40% of radio advertising revenue.</w:t>
      </w:r>
    </w:p>
    <w:p>
      <w:pPr>
        <w:spacing w:after="0" w:line="16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We cannot predict the outcome of any specific Department of Justice or FTC investigation. Any decision by the Department of Justice or FTC to challenge a proposed acquisition could affect our ability to consummate an acquisition or to consummate it on the proposed terms. For an acquisition meeting certain size thresholds, the Hart-Scott-Rodino Act requires the parties to file Notification and Report Forms concerning antitrust issues with the Department of Justice and the FTC and to observe specified waiting period requirements before consummating the acquisition. If the investigating agency raises substantive issues in connection with a proposed transaction, then the parties frequently engage in lengthy discussions or negotiations with the investigating agency concerning possible means of addressing those issues, including restructuring the proposed acquisition or divesting assets. In addition, the investigating agency could file suit in federal court to enjoin the acquisition or to require the divestiture of assets, among other remedies. Acquisitions that are not required to be reported under the Hart-Scott-Rodino Act may be investigated by the Department of Justice or the FTC under the antitrust laws before or after consummation. In addition, private parties may under certain circumstances bring legal action to challenge an acquisition under the antitrust laws. As part of its increased scrutiny of radio station acquisitions, the Department of Justice has stated publicly that it believes that local marketing agreements, joint sales agreements, time brokerage agreements and other similar agreements customarily entered into in connection with radio station transfers could violate the Hart-Scott-Rodino Act if such agreements take effect prior to the expiration of the waiting period under the Hart-Scott-Rodino Act. Furthermore, the Department of Justice has noted that joint sales agreements may raise antitrust concerns under Section 1 of the Sherman Act and has challenged joint sales agreements in certain locations. As indicated above, the Department of Justice also has stated publicly that it has established certain revenue and audience share concentration benchmarks with respect to radio station acquisitions, above which a transaction may receive additional antitrust scrutiny. However, to date, the Department of Justice has also investigated transactions that do not meet or exceed these benchmarks and has cleared transactions that do exceed these benchmarks.</w:t>
      </w:r>
    </w:p>
    <w:p>
      <w:pPr>
        <w:spacing w:after="0" w:line="346"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Similarly, the FCC staff has adopted procedures to review proposed radio broadcasting transactions even if the proposed acquisition otherwise complies with the FCC's ownership limitations. In particular, the FCC may invite public comment on proposed radio transactions that the FCC believes, based on its initial analysis, may present ownership concentration concerns in a particular local radio market. In March 2001, however, the FCC Commissioners expressed their intent to eliminate delays in the staff's review of transactions that might involve concentration of market share but are otherwise consistent with the radio ownership limits set forth in the Communications Act.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21" w:name="page22"/>
    <w:bookmarkEnd w:id="21"/>
    <w:p>
      <w:pPr>
        <w:ind w:left="1920"/>
        <w:spacing w:after="0"/>
        <w:rPr>
          <w:sz w:val="20"/>
          <w:szCs w:val="20"/>
          <w:color w:val="auto"/>
        </w:rPr>
      </w:pPr>
      <w:r>
        <w:rPr>
          <w:rFonts w:ascii="Courier New" w:cs="Courier New" w:eastAsia="Courier New" w:hAnsi="Courier New"/>
          <w:sz w:val="14"/>
          <w:szCs w:val="14"/>
          <w:color w:val="auto"/>
        </w:rPr>
        <w:t>EXCHANGE OFFER; REGISTRATION RIGHTS</w:t>
      </w:r>
    </w:p>
    <w:p>
      <w:pPr>
        <w:spacing w:after="0" w:line="175"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The issuer, the guarantors and the initial purchasers entered into a registration rights agreement in connection with the original issuance of the Notes. The registration rights agreement provides that we will take the following actions, at our expense, for the benefit of the holders of the Notes:</w:t>
      </w:r>
    </w:p>
    <w:p>
      <w:pPr>
        <w:spacing w:after="0" w:line="163" w:lineRule="exact"/>
        <w:rPr>
          <w:sz w:val="20"/>
          <w:szCs w:val="20"/>
          <w:color w:val="auto"/>
        </w:rPr>
      </w:pPr>
    </w:p>
    <w:p>
      <w:pPr>
        <w:ind w:left="440" w:right="3539" w:hanging="257"/>
        <w:spacing w:after="0" w:line="253"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60 days after the date on which the outstanding notes were issued, we will file the exchange offer registration statement, of which this prospectus is a part, relating to the exchange offer. The exchange notes will have terms substantially identical in all material respects to the outstanding notes except that the exchange notes will not contain transfer restrictions;</w:t>
      </w:r>
    </w:p>
    <w:p>
      <w:pPr>
        <w:spacing w:after="0" w:line="165" w:lineRule="exact"/>
        <w:rPr>
          <w:sz w:val="20"/>
          <w:szCs w:val="20"/>
          <w:color w:val="auto"/>
        </w:rPr>
      </w:pPr>
    </w:p>
    <w:p>
      <w:pPr>
        <w:ind w:left="440" w:right="3719" w:hanging="257"/>
        <w:spacing w:after="0" w:line="255"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will cause the exchange offer registration statement to be declared effective under the Securities Act within 150 days after the date on which the outstanding notes were issued; and</w:t>
      </w:r>
    </w:p>
    <w:p>
      <w:pPr>
        <w:spacing w:after="0" w:line="162" w:lineRule="exact"/>
        <w:rPr>
          <w:sz w:val="20"/>
          <w:szCs w:val="20"/>
          <w:color w:val="auto"/>
        </w:rPr>
      </w:pPr>
    </w:p>
    <w:p>
      <w:pPr>
        <w:ind w:left="440" w:right="3719" w:hanging="257"/>
        <w:spacing w:after="0" w:line="255"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will keep the exchange offer open for at least 30 business days, or longer if required by applicable law, after the date notice of the exchange offer is mailed to the holders.</w:t>
      </w:r>
    </w:p>
    <w:p>
      <w:pPr>
        <w:spacing w:after="0" w:line="162"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For each of the outstanding notes surrendered in the exchange offer, the holder who surrendered the note will receive an exchange note having a principal amount equal to that of the surrendered note. Interest on each exchange note will accrue from the later of (1) the last interest payment date on which interest was paid on the outstanding note surrendered and (2) if no interest has been paid on the outstanding note, from the date on which the outstanding notes were issued. If the note is surrendered for exchange on a date in a period that includes the record date for an interest payment date to occur on or after the date of the exchange, interest will accrue from that interest payment date.</w:t>
      </w:r>
    </w:p>
    <w:p>
      <w:pPr>
        <w:spacing w:after="0" w:line="331" w:lineRule="exact"/>
        <w:rPr>
          <w:sz w:val="20"/>
          <w:szCs w:val="20"/>
          <w:color w:val="auto"/>
        </w:rPr>
      </w:pPr>
    </w:p>
    <w:p>
      <w:pPr>
        <w:ind w:right="3719" w:firstLine="260"/>
        <w:spacing w:after="0" w:line="253" w:lineRule="auto"/>
        <w:rPr>
          <w:sz w:val="20"/>
          <w:szCs w:val="20"/>
          <w:color w:val="auto"/>
        </w:rPr>
      </w:pPr>
      <w:r>
        <w:rPr>
          <w:rFonts w:ascii="Courier New" w:cs="Courier New" w:eastAsia="Courier New" w:hAnsi="Courier New"/>
          <w:sz w:val="14"/>
          <w:szCs w:val="14"/>
          <w:color w:val="auto"/>
        </w:rPr>
        <w:t>Under existing interpretations of the SEC contained in several no-action letters to third parties, the exchange notes will be freely transferable by holders of the notes, other than our affiliates, after the exchange offer without further registration under the Securities Act. However, each holder that wishes to exchange its outstanding notes will be required to make the following representations:</w:t>
      </w:r>
    </w:p>
    <w:p>
      <w:pPr>
        <w:spacing w:after="0" w:line="165" w:lineRule="exact"/>
        <w:rPr>
          <w:sz w:val="20"/>
          <w:szCs w:val="20"/>
          <w:color w:val="auto"/>
        </w:rPr>
      </w:pPr>
    </w:p>
    <w:p>
      <w:pPr>
        <w:ind w:left="440" w:right="3639" w:hanging="257"/>
        <w:spacing w:after="0" w:line="258"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exchange notes to be received by the holder will be acquired in the ordinary course of its business;</w:t>
      </w:r>
    </w:p>
    <w:p>
      <w:pPr>
        <w:spacing w:after="0" w:line="160" w:lineRule="exact"/>
        <w:rPr>
          <w:sz w:val="20"/>
          <w:szCs w:val="20"/>
          <w:color w:val="auto"/>
        </w:rPr>
      </w:pPr>
    </w:p>
    <w:p>
      <w:pPr>
        <w:ind w:left="440" w:right="3539" w:hanging="257"/>
        <w:spacing w:after="0" w:line="254" w:lineRule="auto"/>
        <w:tabs>
          <w:tab w:leader="none" w:pos="4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the commencement of the exchange offer, the holder has no arrangement or understanding with any person to participate in the distribution, within the meaning of the Securities Act, of the exchange notes in violation of the Securities Act;</w:t>
      </w:r>
    </w:p>
    <w:p>
      <w:pPr>
        <w:spacing w:after="0" w:line="163" w:lineRule="exact"/>
        <w:rPr>
          <w:sz w:val="20"/>
          <w:szCs w:val="20"/>
          <w:color w:val="auto"/>
        </w:rPr>
      </w:pPr>
    </w:p>
    <w:p>
      <w:pPr>
        <w:ind w:left="440" w:right="3539" w:hanging="257"/>
        <w:spacing w:after="0" w:line="258"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is not our affiliate as defined in Rule 405 promulgated under the Securities Act;</w:t>
      </w:r>
    </w:p>
    <w:p>
      <w:pPr>
        <w:spacing w:after="0" w:line="160" w:lineRule="exact"/>
        <w:rPr>
          <w:sz w:val="20"/>
          <w:szCs w:val="20"/>
          <w:color w:val="auto"/>
        </w:rPr>
      </w:pPr>
    </w:p>
    <w:p>
      <w:pPr>
        <w:ind w:left="440" w:right="3539" w:hanging="257"/>
        <w:spacing w:after="0" w:line="258" w:lineRule="auto"/>
        <w:tabs>
          <w:tab w:leader="none" w:pos="4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is not a broker-dealer, it is not engaged in, and does not intend to engage in the distribution of exchange notes; and</w:t>
      </w:r>
    </w:p>
    <w:p>
      <w:pPr>
        <w:spacing w:after="0" w:line="160" w:lineRule="exact"/>
        <w:rPr>
          <w:sz w:val="20"/>
          <w:szCs w:val="20"/>
          <w:color w:val="auto"/>
        </w:rPr>
      </w:pPr>
    </w:p>
    <w:p>
      <w:pPr>
        <w:ind w:left="440" w:right="3539" w:hanging="257"/>
        <w:spacing w:after="0" w:line="254" w:lineRule="auto"/>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is a broker-dealer that will receive exchange notes for its own account in exchange for outstanding notes that were acquired as a result of market-making or other trading activities, the holder will deliver a prospectus in connection with any resale of the exchange notes. We refer to these broker-dealers as participating broker-dealers.</w:t>
      </w:r>
    </w:p>
    <w:p>
      <w:pPr>
        <w:spacing w:after="0" w:line="162"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We will agree to make available, during the period required by the Securities Act, a prospectus meeting the requirements of the Securities Act for use by participating broker-dealers and any other persons with similar prospectus delivery requirements for use in connection with any resale of exchange notes.</w:t>
      </w:r>
    </w:p>
    <w:p>
      <w:pPr>
        <w:spacing w:after="0" w:line="330" w:lineRule="exact"/>
        <w:rPr>
          <w:sz w:val="20"/>
          <w:szCs w:val="20"/>
          <w:color w:val="auto"/>
        </w:rPr>
      </w:pPr>
    </w:p>
    <w:p>
      <w:pPr>
        <w:ind w:right="3459" w:firstLine="260"/>
        <w:spacing w:after="0" w:line="258" w:lineRule="auto"/>
        <w:rPr>
          <w:sz w:val="20"/>
          <w:szCs w:val="20"/>
          <w:color w:val="auto"/>
        </w:rPr>
      </w:pPr>
      <w:r>
        <w:rPr>
          <w:rFonts w:ascii="Courier New" w:cs="Courier New" w:eastAsia="Courier New" w:hAnsi="Courier New"/>
          <w:sz w:val="14"/>
          <w:szCs w:val="14"/>
          <w:color w:val="auto"/>
        </w:rPr>
        <w:t>We will be required to file a shelf registration statement covering resales of the outstanding notes if:</w:t>
      </w:r>
    </w:p>
    <w:p>
      <w:pPr>
        <w:spacing w:after="0" w:line="160" w:lineRule="exact"/>
        <w:rPr>
          <w:sz w:val="20"/>
          <w:szCs w:val="20"/>
          <w:color w:val="auto"/>
        </w:rPr>
      </w:pPr>
    </w:p>
    <w:p>
      <w:pPr>
        <w:ind w:left="620" w:right="3639" w:hanging="437"/>
        <w:spacing w:after="0" w:line="255" w:lineRule="auto"/>
        <w:tabs>
          <w:tab w:leader="none" w:pos="6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not required to file the exchange offer registration statement or consummate the exchange offer because the exchange offer is not permitted by applicable law or SEC policy; or</w:t>
      </w:r>
    </w:p>
    <w:p>
      <w:pPr>
        <w:spacing w:after="0" w:line="162" w:lineRule="exact"/>
        <w:rPr>
          <w:rFonts w:ascii="Courier New" w:cs="Courier New" w:eastAsia="Courier New" w:hAnsi="Courier New"/>
          <w:sz w:val="14"/>
          <w:szCs w:val="14"/>
          <w:color w:val="auto"/>
        </w:rPr>
      </w:pPr>
    </w:p>
    <w:p>
      <w:pPr>
        <w:ind w:left="620" w:right="3719" w:hanging="437"/>
        <w:spacing w:after="0" w:line="258" w:lineRule="auto"/>
        <w:tabs>
          <w:tab w:leader="none" w:pos="6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some circumstances, the holders of unregistered exchange notes so request.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22" w:name="page23"/>
    <w:bookmarkEnd w:id="22"/>
    <w:p>
      <w:pPr>
        <w:ind w:right="3379"/>
        <w:spacing w:after="0" w:line="254" w:lineRule="auto"/>
        <w:rPr>
          <w:sz w:val="20"/>
          <w:szCs w:val="20"/>
          <w:color w:val="auto"/>
        </w:rPr>
      </w:pPr>
      <w:r>
        <w:rPr>
          <w:rFonts w:ascii="Courier New" w:cs="Courier New" w:eastAsia="Courier New" w:hAnsi="Courier New"/>
          <w:sz w:val="14"/>
          <w:szCs w:val="14"/>
          <w:color w:val="auto"/>
        </w:rPr>
        <w:t>If obligated to file the shelf registration statement, we will use our best efforts to file the shelf registration statement with the SEC on or prior to 60 days after such filing obligation arises and to cause the shelf registration statement to be declared effective by the SEC on or prior to 150 days after such obligation arises.</w:t>
      </w:r>
    </w:p>
    <w:p>
      <w:pPr>
        <w:spacing w:after="0" w:line="162" w:lineRule="exact"/>
        <w:rPr>
          <w:sz w:val="20"/>
          <w:szCs w:val="20"/>
          <w:color w:val="auto"/>
        </w:rPr>
      </w:pPr>
    </w:p>
    <w:p>
      <w:pPr>
        <w:ind w:right="3379" w:firstLine="260"/>
        <w:spacing w:after="0" w:line="255" w:lineRule="auto"/>
        <w:rPr>
          <w:sz w:val="20"/>
          <w:szCs w:val="20"/>
          <w:color w:val="auto"/>
        </w:rPr>
      </w:pPr>
      <w:r>
        <w:rPr>
          <w:rFonts w:ascii="Courier New" w:cs="Courier New" w:eastAsia="Courier New" w:hAnsi="Courier New"/>
          <w:sz w:val="14"/>
          <w:szCs w:val="14"/>
          <w:color w:val="auto"/>
        </w:rPr>
        <w:t>In addition, we have agreed to use our best efforts to keep effective the shelf registration statement for a period of two years (or the time when all of the applicable notes have been sold under the shelf registration statement).</w:t>
      </w:r>
    </w:p>
    <w:p>
      <w:pPr>
        <w:spacing w:after="0" w:line="162"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If we fail to comply with any of the above provisions or if the exchange offer registration statement or the shelf registration statement fails to become effective, then, as liquidated damages, commencing on the day after the required filing date, we will pay additional interest in an amount equal to $0.05 per week per $1,000 principal amount of Notes held by a holder.</w:t>
      </w:r>
    </w:p>
    <w:p>
      <w:pPr>
        <w:spacing w:after="0" w:line="162"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The amount of liquidated damages will increase by an additional $0.05 per week per $1,000 principal amount of Notes with respect to each subsequent 90-day period until such failure has been cured, up to a maximum amount of liquidated damages for all failures of $0.50 per week per $1,000 principal amount of Notes.</w:t>
      </w:r>
    </w:p>
    <w:p>
      <w:pPr>
        <w:spacing w:after="0" w:line="16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Following the consummation of the exchange offer, holders of the outstanding notes who were eligible to participate in the exchange offer but who did not tender its outstanding notes will not have any further registration rights and the outstanding notes will continue to be subject to certain restrictions on transfer. Accordingly, the liquidity of the market for the outstanding notes could be adversely affected.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the Exchange Offer</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Upon the terms and subject to the conditions set forth in this prospectus and in the letter of transmittal, we will accept any and all outstanding notes validly tendered and not withdrawn prior to 5:00 p.m., New York City time, on the expiration date of the exchange offer. We will issue $1,000 principal amount of exchange notes in exchange for each $1,000 principal amount of outstanding notes accepted in the exchange offer. Any holder may tender some or all of its outstanding notes pursuant to the exchange offer. However, outstanding notes may be tendered only in integral multiples of $1,000.</w:t>
      </w:r>
    </w:p>
    <w:p>
      <w:pPr>
        <w:spacing w:after="0" w:line="165" w:lineRule="exact"/>
        <w:rPr>
          <w:sz w:val="20"/>
          <w:szCs w:val="20"/>
          <w:color w:val="auto"/>
        </w:rPr>
      </w:pPr>
    </w:p>
    <w:p>
      <w:pPr>
        <w:ind w:right="3459" w:firstLine="260"/>
        <w:spacing w:after="0" w:line="258" w:lineRule="auto"/>
        <w:rPr>
          <w:sz w:val="20"/>
          <w:szCs w:val="20"/>
          <w:color w:val="auto"/>
        </w:rPr>
      </w:pPr>
      <w:r>
        <w:rPr>
          <w:rFonts w:ascii="Courier New" w:cs="Courier New" w:eastAsia="Courier New" w:hAnsi="Courier New"/>
          <w:sz w:val="14"/>
          <w:szCs w:val="14"/>
          <w:color w:val="auto"/>
        </w:rPr>
        <w:t>The form and terms of the exchange notes are the same as the form and terms of the outstanding notes except that:</w:t>
      </w:r>
    </w:p>
    <w:p>
      <w:pPr>
        <w:spacing w:after="0" w:line="160" w:lineRule="exact"/>
        <w:rPr>
          <w:sz w:val="20"/>
          <w:szCs w:val="20"/>
          <w:color w:val="auto"/>
        </w:rPr>
      </w:pPr>
    </w:p>
    <w:p>
      <w:pPr>
        <w:ind w:left="620" w:right="3719" w:hanging="437"/>
        <w:spacing w:after="0" w:line="258" w:lineRule="auto"/>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notes bear a Series B designation and a different CUSIP Number from the outstanding notes;</w:t>
      </w:r>
    </w:p>
    <w:p>
      <w:pPr>
        <w:spacing w:after="0" w:line="159" w:lineRule="exact"/>
        <w:rPr>
          <w:rFonts w:ascii="Courier New" w:cs="Courier New" w:eastAsia="Courier New" w:hAnsi="Courier New"/>
          <w:sz w:val="14"/>
          <w:szCs w:val="14"/>
          <w:color w:val="auto"/>
        </w:rPr>
      </w:pPr>
    </w:p>
    <w:p>
      <w:pPr>
        <w:ind w:left="620" w:right="3719" w:hanging="437"/>
        <w:spacing w:after="0" w:line="258" w:lineRule="auto"/>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notes have been registered under the Securities Act and hence will not bear legends restricting the transfer thereof; and</w:t>
      </w:r>
    </w:p>
    <w:p>
      <w:pPr>
        <w:spacing w:after="0" w:line="159" w:lineRule="exact"/>
        <w:rPr>
          <w:rFonts w:ascii="Courier New" w:cs="Courier New" w:eastAsia="Courier New" w:hAnsi="Courier New"/>
          <w:sz w:val="14"/>
          <w:szCs w:val="14"/>
          <w:color w:val="auto"/>
        </w:rPr>
      </w:pPr>
    </w:p>
    <w:p>
      <w:pPr>
        <w:ind w:left="620" w:right="3719" w:hanging="437"/>
        <w:spacing w:after="0" w:line="253" w:lineRule="auto"/>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exchange notes will not be entitled to certain rights under the registration rights agreement, including the provisions providing for an increase in the interest rate on the outstanding notes in certain circumstances relating to the timing of the exchange offer, all of which rights will terminate when the exchange offer is terminated.</w:t>
      </w:r>
    </w:p>
    <w:p>
      <w:pPr>
        <w:spacing w:after="0" w:line="16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exchange notes will evidence the same debt as the outstanding notes and will be entitled to the benefits of the Indenture.</w:t>
      </w:r>
    </w:p>
    <w:p>
      <w:pPr>
        <w:spacing w:after="0" w:line="160" w:lineRule="exact"/>
        <w:rPr>
          <w:sz w:val="20"/>
          <w:szCs w:val="20"/>
          <w:color w:val="auto"/>
        </w:rPr>
      </w:pPr>
    </w:p>
    <w:p>
      <w:pPr>
        <w:ind w:right="3459" w:firstLine="260"/>
        <w:spacing w:after="0" w:line="252" w:lineRule="auto"/>
        <w:rPr>
          <w:sz w:val="20"/>
          <w:szCs w:val="20"/>
          <w:color w:val="auto"/>
        </w:rPr>
      </w:pPr>
      <w:r>
        <w:rPr>
          <w:rFonts w:ascii="Courier New" w:cs="Courier New" w:eastAsia="Courier New" w:hAnsi="Courier New"/>
          <w:sz w:val="14"/>
          <w:szCs w:val="14"/>
          <w:color w:val="auto"/>
        </w:rPr>
        <w:t>As of the date of this prospectus, $300,000,000 aggregate principal amount of the outstanding notes were outstanding. We have fixed the close of business</w:t>
      </w:r>
    </w:p>
    <w:p>
      <w:pPr>
        <w:spacing w:after="0" w:line="1"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on , 2001 as the record date for the exchange offer for purposes of determining the persons to whom this prospectus and the letter of transmittal will be mailed initially.</w:t>
      </w:r>
    </w:p>
    <w:p>
      <w:pPr>
        <w:spacing w:after="0" w:line="162" w:lineRule="exact"/>
        <w:rPr>
          <w:sz w:val="20"/>
          <w:szCs w:val="20"/>
          <w:color w:val="auto"/>
        </w:rPr>
      </w:pPr>
    </w:p>
    <w:p>
      <w:pPr>
        <w:jc w:val="both"/>
        <w:ind w:right="3379" w:firstLine="260"/>
        <w:spacing w:after="0" w:line="255" w:lineRule="auto"/>
        <w:rPr>
          <w:sz w:val="20"/>
          <w:szCs w:val="20"/>
          <w:color w:val="auto"/>
        </w:rPr>
      </w:pPr>
      <w:r>
        <w:rPr>
          <w:rFonts w:ascii="Courier New" w:cs="Courier New" w:eastAsia="Courier New" w:hAnsi="Courier New"/>
          <w:sz w:val="14"/>
          <w:szCs w:val="14"/>
          <w:color w:val="auto"/>
        </w:rPr>
        <w:t>Holders of outstanding notes do not have any appraisal or dissenters' rights under the General Corporation Law of Delaware, or the Indenture relating to the notes in connection with the exchange offer. We intend to</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3" w:name="page24"/>
    <w:bookmarkEnd w:id="23"/>
    <w:p>
      <w:pPr>
        <w:ind w:right="3639"/>
        <w:spacing w:after="0" w:line="258" w:lineRule="auto"/>
        <w:rPr>
          <w:sz w:val="20"/>
          <w:szCs w:val="20"/>
          <w:color w:val="auto"/>
        </w:rPr>
      </w:pPr>
      <w:r>
        <w:rPr>
          <w:rFonts w:ascii="Courier New" w:cs="Courier New" w:eastAsia="Courier New" w:hAnsi="Courier New"/>
          <w:sz w:val="14"/>
          <w:szCs w:val="14"/>
          <w:color w:val="auto"/>
        </w:rPr>
        <w:t>conduct the exchange offer in accordance with the applicable requirements of the Exchange Act and the rules and regulations of the SEC thereunder.</w:t>
      </w:r>
    </w:p>
    <w:p>
      <w:pPr>
        <w:spacing w:after="0" w:line="160"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We will be deemed to have accepted validly tendered outstanding notes when, as and if we have given oral or written notice thereof to the exchange agent. The exchange agent will act as agent for the tendering holders for the purpose of receiving the exchange notes from us.</w:t>
      </w:r>
    </w:p>
    <w:p>
      <w:pPr>
        <w:spacing w:after="0" w:line="163"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If any tendered outstanding notes are not accepted for exchange because of an invalid tender, the occurrence of specified other events set forth in this prospectus or otherwise, the certificates for any unaccepted outstanding notes will be returned, without expense, to the tendering holder thereof as promptly as practicable after the expiration date of the exchange offer.</w:t>
      </w:r>
    </w:p>
    <w:p>
      <w:pPr>
        <w:spacing w:after="0" w:line="16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Holders who tender outstanding notes in the exchange offer will not be required to pay brokerage commissions or fees or, subject to the instructions in the letter of transmittal, transfer taxes with respect to the exchange of outstanding notes pursuant to the exchange offer. We will pay all charges and expenses, other than transfer taxes in certain circumstances, in connection with the exchange offer. See "--Fees and Expenses."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Expiration Date; Extensions; Amendments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term "expiration date" will mean 5:00 p.m., New York City time, on</w:t>
      </w:r>
    </w:p>
    <w:p>
      <w:pPr>
        <w:spacing w:after="0" w:line="8" w:lineRule="exact"/>
        <w:rPr>
          <w:sz w:val="20"/>
          <w:szCs w:val="20"/>
          <w:color w:val="auto"/>
        </w:rPr>
      </w:pPr>
    </w:p>
    <w:p>
      <w:pPr>
        <w:ind w:right="3539" w:firstLine="443"/>
        <w:spacing w:after="0" w:line="255" w:lineRule="auto"/>
        <w:tabs>
          <w:tab w:leader="none" w:pos="60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2001, unless we, in our sole discretion, extend the exchange offer, in which case the term "expiration date" will mean the latest date and time to which the exchange offer is extended.</w:t>
      </w:r>
    </w:p>
    <w:p>
      <w:pPr>
        <w:spacing w:after="0" w:line="162"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In order to extend the exchange offer, we will notify the exchange agent of any extension by oral or written notice and will mail to the registered holders an announcement thereof, each prior to 9:00 a.m., New York City time, on the next business day after the previously scheduled expiration date.</w:t>
      </w:r>
    </w:p>
    <w:p>
      <w:pPr>
        <w:spacing w:after="0" w:line="163"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We reserve the right, in our sole discretion, (1) to delay accepting any outstanding notes, to extend the exchange offer or to terminate the exchange offer if any of the conditions set forth below under "--Conditions" have not been satisfied, by giving oral or written notice of any delay, extension or termination to the exchange agent or (2) to amend the terms of the exchange offer in any manner. Any delay in acceptance, extension, termination or amendment will be followed as promptly as practicable by oral or written notice thereof to the registered 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on the Exchange Notes</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exchange notes will bear interest from their date of issuance. Holders of outstanding notes that are accepted for exchange will receive, in cash, accrued interest thereon to, but not including, the date of issuance of the exchange notes. Such interest will be paid with the first interest payment on the exchange notes on October 1, 2001. Interest on the outstanding notes accepted for exchange will cease to accrue upon issuance of the exchange notes.</w:t>
      </w:r>
    </w:p>
    <w:p>
      <w:pPr>
        <w:spacing w:after="0" w:line="165" w:lineRule="exact"/>
        <w:rPr>
          <w:sz w:val="20"/>
          <w:szCs w:val="20"/>
          <w:color w:val="auto"/>
        </w:rPr>
      </w:pPr>
    </w:p>
    <w:p>
      <w:pPr>
        <w:ind w:right="3639" w:firstLine="260"/>
        <w:spacing w:after="0" w:line="258" w:lineRule="auto"/>
        <w:rPr>
          <w:sz w:val="20"/>
          <w:szCs w:val="20"/>
          <w:color w:val="auto"/>
        </w:rPr>
      </w:pPr>
      <w:r>
        <w:rPr>
          <w:rFonts w:ascii="Courier New" w:cs="Courier New" w:eastAsia="Courier New" w:hAnsi="Courier New"/>
          <w:sz w:val="14"/>
          <w:szCs w:val="14"/>
          <w:color w:val="auto"/>
        </w:rPr>
        <w:t>Interest on the exchange notes is payable semi-annually on each January 1 and July 1, commencing on July 1, 2001.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Procedures for Tendering</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Only a holder of outstanding notes may tender outstanding notes in the exchange offer. To tender in the exchange offer, a holder must complete, sign and date the letter of transmittal, or a facsimile thereof, have the signatures thereon guaranteed if required by the letter of transmittal or transmit an agent's message in connection with a book-entry transfer, and mail or otherwise deliver the letter of transmittal or the facsimile, together with the outstanding notes and any other required documents, to the exchange agent prior to 5:00 p.m., New York City time, on the expiration date. To be tendered effectively, the outstanding notes, letter of</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4" w:name="page25"/>
    <w:bookmarkEnd w:id="24"/>
    <w:p>
      <w:pPr>
        <w:ind w:right="3379"/>
        <w:spacing w:after="0" w:line="253" w:lineRule="auto"/>
        <w:rPr>
          <w:sz w:val="20"/>
          <w:szCs w:val="20"/>
          <w:color w:val="auto"/>
        </w:rPr>
      </w:pPr>
      <w:r>
        <w:rPr>
          <w:rFonts w:ascii="Courier New" w:cs="Courier New" w:eastAsia="Courier New" w:hAnsi="Courier New"/>
          <w:sz w:val="14"/>
          <w:szCs w:val="14"/>
          <w:color w:val="auto"/>
        </w:rPr>
        <w:t>transmittal or an agent's message and other required documents must be completed and received by the exchange agent at the address set forth below under "Exchange Agent" prior to 5:00 p.m., New York City time, on the expiration date. Delivery of the outstanding notes may be made by book-entry transfer in accordance with the procedures described below. Confirmation of the book-entry transfer must be received by the exchange agent prior to the expiration date.</w:t>
      </w:r>
    </w:p>
    <w:p>
      <w:pPr>
        <w:spacing w:after="0" w:line="332"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The term "agent's message" means a message, transmitted by a book-entry transfer facility to, and received by, the exchange agent forming a part of a confirmation of a book-entry, which states that the book-entry transfer facility has received an express acknowledgment from the participant in the book-entry transfer facility tendering the outstanding notes that the participant has received and agrees: (1) to participate in ATOP; (2) to be bound by the terms of the letter of transmittal; and (3) that we may enforce the agreement against the participant.</w:t>
      </w:r>
    </w:p>
    <w:p>
      <w:pPr>
        <w:spacing w:after="0" w:line="165" w:lineRule="exact"/>
        <w:rPr>
          <w:sz w:val="20"/>
          <w:szCs w:val="20"/>
          <w:color w:val="auto"/>
        </w:rPr>
      </w:pPr>
    </w:p>
    <w:p>
      <w:pPr>
        <w:ind w:right="3379" w:firstLine="260"/>
        <w:spacing w:after="0" w:line="255" w:lineRule="auto"/>
        <w:rPr>
          <w:sz w:val="20"/>
          <w:szCs w:val="20"/>
          <w:color w:val="auto"/>
        </w:rPr>
      </w:pPr>
      <w:r>
        <w:rPr>
          <w:rFonts w:ascii="Courier New" w:cs="Courier New" w:eastAsia="Courier New" w:hAnsi="Courier New"/>
          <w:sz w:val="14"/>
          <w:szCs w:val="14"/>
          <w:color w:val="auto"/>
        </w:rPr>
        <w:t>By executing the letter of transmittal, each holder will make to us the representations set forth above under the heading "Exchange Offer; Registration Statement."</w:t>
      </w:r>
    </w:p>
    <w:p>
      <w:pPr>
        <w:spacing w:after="0" w:line="162"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The tender by a holder and our acceptance thereof will constitute agreement between the holder and us in accordance with the terms and subject to the conditions set forth in this prospectus and in the letter of transmittal or agent's message.</w:t>
      </w:r>
    </w:p>
    <w:p>
      <w:pPr>
        <w:spacing w:after="0" w:line="163"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method of delivery of outstanding notes and the letter of transmittal or agent's message and all other required documents to the exchange agent is at the election and sole risk of the holder. As an alternative to delivery by mail, holders may wish to consider overnight or hand delivery service. In all cases, sufficient time should be allowed to assure delivery to the exchange agent before the expiration date. No letter of transmittal or outstanding notes should be sent to us. Holders may request their respective brokers, dealers, commercial banks, trust companies or nominees to effect the above transactions for them.</w:t>
      </w:r>
    </w:p>
    <w:p>
      <w:pPr>
        <w:spacing w:after="0" w:line="33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Any beneficial owner whose outstanding notes are registered in the name of a broker, dealer, commercial bank, trust company or other nominee and who wishes to tender should contact the registered holder promptly and instruct the registered holder to tender on the beneficial owner's behalf. See "Instructions to Registered Holder and/or Book-Entry Transfer Facility Participant from Beneficial Owner" included with the letter of transmittal.</w:t>
      </w:r>
    </w:p>
    <w:p>
      <w:pPr>
        <w:spacing w:after="0" w:line="16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Signatures on a letter of transmittal or a notice of withdrawal, as the case may be, must be guaranteed by a member of the Medallion System unless the outstanding notes tendered pursuant to the letter of transmittal are tendered</w:t>
      </w:r>
    </w:p>
    <w:p>
      <w:pPr>
        <w:spacing w:after="0" w:line="1" w:lineRule="exact"/>
        <w:rPr>
          <w:sz w:val="20"/>
          <w:szCs w:val="20"/>
          <w:color w:val="auto"/>
        </w:rPr>
      </w:pPr>
    </w:p>
    <w:p>
      <w:pPr>
        <w:ind w:left="360" w:hanging="351"/>
        <w:spacing w:after="0"/>
        <w:tabs>
          <w:tab w:leader="none" w:pos="3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 registered holder who has not completed the box entitled "Special</w:t>
      </w:r>
    </w:p>
    <w:p>
      <w:pPr>
        <w:spacing w:after="0" w:line="8" w:lineRule="exact"/>
        <w:rPr>
          <w:rFonts w:ascii="Courier New" w:cs="Courier New" w:eastAsia="Courier New" w:hAnsi="Courier New"/>
          <w:sz w:val="14"/>
          <w:szCs w:val="14"/>
          <w:color w:val="auto"/>
        </w:rPr>
      </w:pPr>
    </w:p>
    <w:p>
      <w:pPr>
        <w:ind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Instructions" or "Special Delivery Instructions" on the letter of transmittal or (2) for the account of a member firm of the Medallion System. In the event that signatures on a letter of transmittal or a notice of withdrawal, as the case may be, are required to be guaranteed, the guarantee must be by a member firm of the Medallion System.</w:t>
      </w:r>
    </w:p>
    <w:p>
      <w:pPr>
        <w:spacing w:after="0" w:line="162"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If the letter of transmittal is signed by a person other than the registered holder of any outstanding notes, the outstanding notes must be endorsed or accompanied by a properly completed bond power, signed by the registered holder as the registered holder's name appears on the outstanding notes with the signature thereon guaranteed by a member firm of the Medallion System.</w:t>
      </w:r>
    </w:p>
    <w:p>
      <w:pPr>
        <w:spacing w:after="0" w:line="16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If the letter of transmittal or any outstanding notes or bond powers are signed by trustees, executors, administrators, guardians, attorneys-in-fact, offices of corporations or others acting in a fiduciary or representative capacity, the person signing should so indicate when signing, and evidence satisfactory to us of its authority to so act must be submitted with the letter of transmittal.</w:t>
      </w:r>
    </w:p>
    <w:p>
      <w:pPr>
        <w:spacing w:after="0" w:line="165" w:lineRule="exact"/>
        <w:rPr>
          <w:sz w:val="20"/>
          <w:szCs w:val="20"/>
          <w:color w:val="auto"/>
        </w:rPr>
      </w:pPr>
    </w:p>
    <w:p>
      <w:pPr>
        <w:ind w:right="3379" w:firstLine="260"/>
        <w:spacing w:after="0" w:line="255" w:lineRule="auto"/>
        <w:rPr>
          <w:sz w:val="20"/>
          <w:szCs w:val="20"/>
          <w:color w:val="auto"/>
        </w:rPr>
      </w:pPr>
      <w:r>
        <w:rPr>
          <w:rFonts w:ascii="Courier New" w:cs="Courier New" w:eastAsia="Courier New" w:hAnsi="Courier New"/>
          <w:sz w:val="14"/>
          <w:szCs w:val="14"/>
          <w:color w:val="auto"/>
        </w:rPr>
        <w:t>We understand that the exchange agent will make a request promptly after the date of this prospectus to establish accounts with respect to the outstanding notes at DTC for the purpose of facilitating the exchange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5" w:name="page26"/>
    <w:bookmarkEnd w:id="25"/>
    <w:p>
      <w:pPr>
        <w:ind w:right="3379"/>
        <w:spacing w:after="0" w:line="253" w:lineRule="auto"/>
        <w:rPr>
          <w:sz w:val="20"/>
          <w:szCs w:val="20"/>
          <w:color w:val="auto"/>
        </w:rPr>
      </w:pPr>
      <w:r>
        <w:rPr>
          <w:rFonts w:ascii="Courier New" w:cs="Courier New" w:eastAsia="Courier New" w:hAnsi="Courier New"/>
          <w:sz w:val="14"/>
          <w:szCs w:val="14"/>
          <w:color w:val="auto"/>
        </w:rPr>
        <w:t>offer, and subject to the establishment thereof, any financial institution that is a participant in DTC's system may make book-entry delivery of outstanding notes by causing DTC to transfer the outstanding notes into the exchange agent's account with respect to the outstanding notes in accordance with DTC's procedures for the transfer. Although delivery of the outstanding notes may be effected through book-entry transfer into the exchange agent's account at DTC, unless an agent's message is received by the exchange agent in compliance with ATOP, an appropriate letter of transmittal properly completed and duly executed with any required signature guarantee and all other required documents must in each case be transmitted to and received or confirmed by the exchange agent at its address set forth below on or prior to the expiration date, or, if the guaranteed delivery procedures described below are complied with, within the time period provided under the procedures. Delivery of documents to DTC does not constitute delivery to the exchange agent.</w:t>
      </w:r>
    </w:p>
    <w:p>
      <w:pPr>
        <w:spacing w:after="0" w:line="163"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All questions as to the validity, form, eligibility, including time of receipt, acceptance of tendered outstanding notes and withdrawal of tendered outstanding notes will be determined by us in our sole discretion, which determination will be final and binding. We reserve the absolute right to reject any and all outstanding notes not properly tendered or any outstanding notes our acceptance of which would, in the opinion of our counsel, be unlawful. We also reserve the right in our sole discretion to waive any defects, irregularities or conditions of tender as to particular outstanding notes. Our interpretation of the terms and conditions of the exchange offer, including the instructions in the letter of transmittal, will be final and binding on all parties. Unless waived, any defects or irregularities in connection with tenders of outstanding notes must be cured within the time we determine. Although we intend to notify holders of defects or irregularities with respect to tenders of outstanding notes, neither we, the exchange agent nor any other person will incur any liability for failure to give the notification. Tenders of outstanding notes will not be deemed to have been made until the defects or irregularities have been cured or waived. Any outstanding notes received by the exchange agent that are not properly tendered and as to which the defects or irregularities have not been cured or waived will be returned by the exchange agent to the tendering holders, unless otherwise provided in the letter of transmittal, as soon as practicable following the expiration date.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Guaranteed Delivery Procedures</w:t>
      </w:r>
    </w:p>
    <w:p>
      <w:pPr>
        <w:spacing w:after="0" w:line="175"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Holders who wish to tender their outstanding notes and (1) whose outstanding notes are not immediately available, (2) who cannot deliver their outstanding notes, the letter of transmittal or any other required documents to the exchange agent or (3) who cannot complete the procedures for book-entry transfer, prior to the expiration date, may effect a tender if:</w:t>
      </w:r>
    </w:p>
    <w:p>
      <w:pPr>
        <w:spacing w:after="0" w:line="162" w:lineRule="exact"/>
        <w:rPr>
          <w:sz w:val="20"/>
          <w:szCs w:val="20"/>
          <w:color w:val="auto"/>
        </w:rPr>
      </w:pPr>
    </w:p>
    <w:p>
      <w:pPr>
        <w:ind w:left="520" w:hanging="337"/>
        <w:spacing w:after="0"/>
        <w:tabs>
          <w:tab w:leader="none" w:pos="5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tender is made through a member firm of the Medallion System;</w:t>
      </w:r>
    </w:p>
    <w:p>
      <w:pPr>
        <w:spacing w:after="0" w:line="175" w:lineRule="exact"/>
        <w:rPr>
          <w:rFonts w:ascii="Courier New" w:cs="Courier New" w:eastAsia="Courier New" w:hAnsi="Courier New"/>
          <w:sz w:val="14"/>
          <w:szCs w:val="14"/>
          <w:color w:val="auto"/>
        </w:rPr>
      </w:pPr>
    </w:p>
    <w:p>
      <w:pPr>
        <w:ind w:left="520" w:right="3539" w:hanging="337"/>
        <w:spacing w:after="0" w:line="253" w:lineRule="auto"/>
        <w:tabs>
          <w:tab w:leader="none" w:pos="5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expiration date, the exchange agent receives from a member firm of the Medallion System a properly completed and duly executed Notice of Guaranteed Delivery by facsimile transmission, mail or hand delivery setting forth the name and address of the holder, the certificate number(s) of the outstanding notes and the principal amount of outstanding notes tendered, stating that the tender is being made thereby and guaranteeing that, within three New York Stock Exchange trading days after the expiration date, the letter of transmittal or facsimile thereof together with the certificate(s) representing the outstanding notes or a confirmation of book-entry transfer of the outstanding notes into the exchange agent's account at DTC, and any other documents required by the letter of transmittal will be deposited by the member firm of the Medallion System with the exchange agent; and</w:t>
      </w:r>
    </w:p>
    <w:p>
      <w:pPr>
        <w:spacing w:after="0" w:line="163" w:lineRule="exact"/>
        <w:rPr>
          <w:rFonts w:ascii="Courier New" w:cs="Courier New" w:eastAsia="Courier New" w:hAnsi="Courier New"/>
          <w:sz w:val="14"/>
          <w:szCs w:val="14"/>
          <w:color w:val="auto"/>
        </w:rPr>
      </w:pPr>
    </w:p>
    <w:p>
      <w:pPr>
        <w:ind w:left="520" w:right="3639" w:hanging="337"/>
        <w:spacing w:after="0" w:line="253" w:lineRule="auto"/>
        <w:tabs>
          <w:tab w:leader="none" w:pos="5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properly completed and executed letter of transmittal of facsimile thereof, as well as the certificate(s) representing all tendered outstanding notes in proper form for transfer or a confirmation of book-entry transfer of the outstanding notes into the exchange agent's account at DTC, and all other documents required by the letter of transmittal are received by the exchange agent within five New York Stock Exchange trading days after the expiration date.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6" w:name="page27"/>
    <w:bookmarkEnd w:id="26"/>
    <w:p>
      <w:pPr>
        <w:ind w:right="3459" w:firstLine="260"/>
        <w:spacing w:after="0" w:line="255" w:lineRule="auto"/>
        <w:rPr>
          <w:sz w:val="20"/>
          <w:szCs w:val="20"/>
          <w:color w:val="auto"/>
        </w:rPr>
      </w:pPr>
      <w:r>
        <w:rPr>
          <w:rFonts w:ascii="Courier New" w:cs="Courier New" w:eastAsia="Courier New" w:hAnsi="Courier New"/>
          <w:sz w:val="14"/>
          <w:szCs w:val="14"/>
          <w:color w:val="auto"/>
        </w:rPr>
        <w:t>Upon request to the exchange agent, a Notice of Guaranteed Delivery will be sent to holders who wish to tender their outstanding notes according to the guaranteed delivery procedures set forth above.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Withdrawal of Tenders</w:t>
      </w:r>
    </w:p>
    <w:p>
      <w:pPr>
        <w:spacing w:after="0" w:line="175" w:lineRule="exact"/>
        <w:rPr>
          <w:sz w:val="20"/>
          <w:szCs w:val="20"/>
          <w:color w:val="auto"/>
        </w:rPr>
      </w:pPr>
    </w:p>
    <w:p>
      <w:pPr>
        <w:ind w:right="3539" w:firstLine="260"/>
        <w:spacing w:after="0" w:line="255" w:lineRule="auto"/>
        <w:rPr>
          <w:sz w:val="20"/>
          <w:szCs w:val="20"/>
          <w:color w:val="auto"/>
        </w:rPr>
      </w:pPr>
      <w:r>
        <w:rPr>
          <w:rFonts w:ascii="Courier New" w:cs="Courier New" w:eastAsia="Courier New" w:hAnsi="Courier New"/>
          <w:sz w:val="14"/>
          <w:szCs w:val="14"/>
          <w:color w:val="auto"/>
        </w:rPr>
        <w:t>Except as otherwise provided in this prospectus, tenders of outstanding notes may be withdrawn at any time prior to 5:00 p.m., New York City time, on the expiration date.</w:t>
      </w:r>
    </w:p>
    <w:p>
      <w:pPr>
        <w:spacing w:after="0" w:line="162"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To withdraw a tender of outstanding notes in the exchange offer, a telegram, telex, letter or facsimile transmission notice of withdrawal must be received by the exchange agent at its address set forth in this prospectus prior to 5:00 p.m., New York City time, on the expiration date of the exchange offer. Any notice of withdrawal must:</w:t>
      </w:r>
    </w:p>
    <w:p>
      <w:pPr>
        <w:spacing w:after="0" w:line="162" w:lineRule="exact"/>
        <w:rPr>
          <w:sz w:val="20"/>
          <w:szCs w:val="20"/>
          <w:color w:val="auto"/>
        </w:rPr>
      </w:pPr>
    </w:p>
    <w:p>
      <w:pPr>
        <w:ind w:left="620" w:right="3639" w:hanging="437"/>
        <w:spacing w:after="0" w:line="258" w:lineRule="auto"/>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the name of the person having deposited the outstanding notes to be withdrawn;</w:t>
      </w:r>
    </w:p>
    <w:p>
      <w:pPr>
        <w:spacing w:after="0" w:line="159" w:lineRule="exact"/>
        <w:rPr>
          <w:rFonts w:ascii="Courier New" w:cs="Courier New" w:eastAsia="Courier New" w:hAnsi="Courier New"/>
          <w:sz w:val="14"/>
          <w:szCs w:val="14"/>
          <w:color w:val="auto"/>
        </w:rPr>
      </w:pPr>
    </w:p>
    <w:p>
      <w:pPr>
        <w:ind w:left="620" w:right="3719" w:hanging="437"/>
        <w:spacing w:after="0" w:line="254" w:lineRule="auto"/>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identify the outstanding notes to be withdrawn, including the certificate number(s) and principal amount of the outstanding notes, or, in the case of outstanding notes transferred by book-entry transfer, the name and number of the account at DTC to be credited;</w:t>
      </w:r>
    </w:p>
    <w:p>
      <w:pPr>
        <w:spacing w:after="0" w:line="163" w:lineRule="exact"/>
        <w:rPr>
          <w:rFonts w:ascii="Courier New" w:cs="Courier New" w:eastAsia="Courier New" w:hAnsi="Courier New"/>
          <w:sz w:val="14"/>
          <w:szCs w:val="14"/>
          <w:color w:val="auto"/>
        </w:rPr>
      </w:pPr>
    </w:p>
    <w:p>
      <w:pPr>
        <w:ind w:left="620" w:right="3639" w:hanging="437"/>
        <w:spacing w:after="0" w:line="253" w:lineRule="auto"/>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signed by the holder in the same manner as the original signature on the letter of transmittal by which the outstanding notes were tendered, including any required signature guarantees, or be accompanied by documents of transfer sufficient to have the trustee with respect to the outstanding notes register the transfer of the outstanding notes into the name of the person withdrawing the tender; and</w:t>
      </w:r>
    </w:p>
    <w:p>
      <w:pPr>
        <w:spacing w:after="0" w:line="332" w:lineRule="exact"/>
        <w:rPr>
          <w:rFonts w:ascii="Courier New" w:cs="Courier New" w:eastAsia="Courier New" w:hAnsi="Courier New"/>
          <w:sz w:val="14"/>
          <w:szCs w:val="14"/>
          <w:color w:val="auto"/>
        </w:rPr>
      </w:pPr>
    </w:p>
    <w:p>
      <w:pPr>
        <w:jc w:val="both"/>
        <w:ind w:left="620" w:right="3639" w:hanging="437"/>
        <w:spacing w:after="0" w:line="255" w:lineRule="auto"/>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the name in which any outstanding notes are to be registered, if different from that of the person depositing the outstanding notes to be withdrawn.</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All questions as to the validity, form and eligibility, including time of receipt, of the notices will be determined by us, and our determination will be final and binding on all parties. Any outstanding notes so withdrawn will be deemed not to have been validly tendered for purposes of the exchange offer and no exchange notes will be issued with respect thereto unless the outstanding notes so withdrawn are validly retendered. Any outstanding notes which have been tendered but which are not accepted for exchange will be returned to the holder thereof without cost to the holder as soon as practicable after withdrawal, rejection of tender or termination of the exchange offer. Properly withdrawn outstanding notes may be retendered by following one of the procedures described above under "--Procedures for Tendering" at any time prior to the expiration date.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w:t>
      </w:r>
    </w:p>
    <w:p>
      <w:pPr>
        <w:spacing w:after="0" w:line="175"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Notwithstanding any other term of the exchange offer, we will not be required to accept for exchange, or exchange notes for, any outstanding notes, and may terminate or amend the exchange offer as provided in this prospectus before the acceptance of the outstanding notes, if:</w:t>
      </w:r>
    </w:p>
    <w:p>
      <w:pPr>
        <w:spacing w:after="0" w:line="163" w:lineRule="exact"/>
        <w:rPr>
          <w:sz w:val="20"/>
          <w:szCs w:val="20"/>
          <w:color w:val="auto"/>
        </w:rPr>
      </w:pPr>
    </w:p>
    <w:p>
      <w:pPr>
        <w:ind w:left="620" w:right="3539" w:hanging="437"/>
        <w:spacing w:after="0" w:line="253" w:lineRule="auto"/>
        <w:tabs>
          <w:tab w:leader="none" w:pos="6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or proceeding is instituted or threatened in any court or by or before any governmental agency with respect to the exchange offer which, in our sole judgment, might materially impair our ability to proceed with the exchange offer or any material adverse development has occurred in any existing action or proceeding with respect to us or any of our subsidiaries; or</w:t>
      </w:r>
    </w:p>
    <w:p>
      <w:pPr>
        <w:spacing w:after="0" w:line="165" w:lineRule="exact"/>
        <w:rPr>
          <w:rFonts w:ascii="Courier New" w:cs="Courier New" w:eastAsia="Courier New" w:hAnsi="Courier New"/>
          <w:sz w:val="14"/>
          <w:szCs w:val="14"/>
          <w:color w:val="auto"/>
        </w:rPr>
      </w:pPr>
    </w:p>
    <w:p>
      <w:pPr>
        <w:ind w:left="620" w:right="3539" w:hanging="437"/>
        <w:spacing w:after="0" w:line="254" w:lineRule="auto"/>
        <w:tabs>
          <w:tab w:leader="none" w:pos="6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law, statute, rule, regulation or interpretation by the Staff of the SEC is proposed, adopted or enacted, which, in our sole judgment, might materially impair our ability to proceed with the exchange offer or materially impair the contemplated benefits of the exchange offer to us; or</w:t>
      </w:r>
    </w:p>
    <w:p>
      <w:pPr>
        <w:spacing w:after="0" w:line="162" w:lineRule="exact"/>
        <w:rPr>
          <w:rFonts w:ascii="Courier New" w:cs="Courier New" w:eastAsia="Courier New" w:hAnsi="Courier New"/>
          <w:sz w:val="14"/>
          <w:szCs w:val="14"/>
          <w:color w:val="auto"/>
        </w:rPr>
      </w:pPr>
    </w:p>
    <w:p>
      <w:pPr>
        <w:ind w:left="620" w:right="3719" w:hanging="437"/>
        <w:spacing w:after="0" w:line="255" w:lineRule="auto"/>
        <w:tabs>
          <w:tab w:leader="none" w:pos="6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governmental approval has not been obtained, which approval we will, in our sole discretion, deem necessary for the consummation of the exchange offer as contemplated by this prospectus.</w:t>
      </w:r>
    </w:p>
    <w:p>
      <w:pPr>
        <w:spacing w:after="0" w:line="162" w:lineRule="exact"/>
        <w:rPr>
          <w:sz w:val="20"/>
          <w:szCs w:val="20"/>
          <w:color w:val="auto"/>
        </w:rPr>
      </w:pPr>
    </w:p>
    <w:p>
      <w:pPr>
        <w:ind w:right="3639" w:firstLine="260"/>
        <w:spacing w:after="0" w:line="255" w:lineRule="auto"/>
        <w:rPr>
          <w:sz w:val="20"/>
          <w:szCs w:val="20"/>
          <w:color w:val="auto"/>
        </w:rPr>
      </w:pPr>
      <w:r>
        <w:rPr>
          <w:rFonts w:ascii="Courier New" w:cs="Courier New" w:eastAsia="Courier New" w:hAnsi="Courier New"/>
          <w:sz w:val="14"/>
          <w:szCs w:val="14"/>
          <w:color w:val="auto"/>
        </w:rPr>
        <w:t>If we determine in our sole discretion that any of the conditions are not satisfied, we may (1) refuse to accept any outstanding notes and return all tendered outstanding notes to the tendering holders, (2) extend the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7" w:name="page28"/>
    <w:bookmarkEnd w:id="27"/>
    <w:p>
      <w:pPr>
        <w:ind w:right="3379"/>
        <w:spacing w:after="0" w:line="254" w:lineRule="auto"/>
        <w:rPr>
          <w:sz w:val="20"/>
          <w:szCs w:val="20"/>
          <w:color w:val="auto"/>
        </w:rPr>
      </w:pPr>
      <w:r>
        <w:rPr>
          <w:rFonts w:ascii="Courier New" w:cs="Courier New" w:eastAsia="Courier New" w:hAnsi="Courier New"/>
          <w:sz w:val="14"/>
          <w:szCs w:val="14"/>
          <w:color w:val="auto"/>
        </w:rPr>
        <w:t>exchange offer and retain all outstanding notes tendered prior to the expiration of the exchange offer, subject, however, to the rights of holders to withdraw the outstanding notes (see "--Withdrawal of Tenders") or (3) waive the unsatisfied conditions with respect to the exchange offer and accept all properly tendered outstanding notes which have not been withdrawn.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Agent</w:t>
      </w:r>
    </w:p>
    <w:p>
      <w:pPr>
        <w:spacing w:after="0" w:line="175"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United States Trust Company of New York has been appointed as exchange agent for the exchange offer. Questions and requests for assistance, requests for additional copies of this prospectus or of the letter of transmittal and requests for Notice of Guaranteed Delivery should be directed to the exchange agent addressed as follows:</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By Registered or Certified Mail:</w:t>
      </w:r>
    </w:p>
    <w:p>
      <w:pPr>
        <w:spacing w:after="0" w:line="200" w:lineRule="exact"/>
        <w:rPr>
          <w:sz w:val="20"/>
          <w:szCs w:val="20"/>
          <w:color w:val="auto"/>
        </w:rPr>
      </w:pPr>
    </w:p>
    <w:p>
      <w:pPr>
        <w:spacing w:after="0" w:line="309" w:lineRule="exact"/>
        <w:rPr>
          <w:sz w:val="20"/>
          <w:szCs w:val="20"/>
          <w:color w:val="auto"/>
        </w:rPr>
      </w:pPr>
    </w:p>
    <w:p>
      <w:pPr>
        <w:jc w:val="center"/>
        <w:ind w:left="40"/>
        <w:spacing w:after="0"/>
        <w:rPr>
          <w:sz w:val="20"/>
          <w:szCs w:val="20"/>
          <w:color w:val="auto"/>
        </w:rPr>
      </w:pPr>
      <w:r>
        <w:rPr>
          <w:rFonts w:ascii="Courier New" w:cs="Courier New" w:eastAsia="Courier New" w:hAnsi="Courier New"/>
          <w:sz w:val="14"/>
          <w:szCs w:val="14"/>
          <w:color w:val="auto"/>
        </w:rPr>
        <w:t>United States Trust Company of New</w:t>
      </w:r>
    </w:p>
    <w:p>
      <w:pPr>
        <w:spacing w:after="0" w:line="8" w:lineRule="exact"/>
        <w:rPr>
          <w:sz w:val="20"/>
          <w:szCs w:val="20"/>
          <w:color w:val="auto"/>
        </w:rPr>
      </w:pPr>
    </w:p>
    <w:p>
      <w:pPr>
        <w:jc w:val="center"/>
        <w:ind w:left="40"/>
        <w:spacing w:after="0"/>
        <w:rPr>
          <w:sz w:val="20"/>
          <w:szCs w:val="20"/>
          <w:color w:val="auto"/>
        </w:rPr>
      </w:pPr>
      <w:r>
        <w:rPr>
          <w:rFonts w:ascii="Courier New" w:cs="Courier New" w:eastAsia="Courier New" w:hAnsi="Courier New"/>
          <w:sz w:val="14"/>
          <w:szCs w:val="14"/>
          <w:color w:val="auto"/>
        </w:rPr>
        <w:t>York</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Overnight Courier and by Hand</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Delivery after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4:30 p.m., New York City time, on</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expiration date:</w:t>
      </w:r>
    </w:p>
    <w:p>
      <w:pPr>
        <w:spacing w:after="0" w:line="675" w:lineRule="exact"/>
        <w:rPr>
          <w:sz w:val="20"/>
          <w:szCs w:val="20"/>
          <w:color w:val="auto"/>
        </w:rPr>
      </w:pPr>
    </w:p>
    <w:p>
      <w:pPr>
        <w:sectPr>
          <w:pgSz w:w="11900" w:h="16838" w:orient="portrait"/>
          <w:cols w:equalWidth="0" w:num="2">
            <w:col w:w="3100" w:space="720"/>
            <w:col w:w="6419"/>
          </w:cols>
          <w:pgMar w:left="220" w:top="620" w:right="1440"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34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P. O. Box 112, Bowling Green Station</w:t>
            </w:r>
          </w:p>
        </w:tc>
        <w:tc>
          <w:tcPr>
            <w:tcW w:w="326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United States Trust Company of New</w:t>
            </w:r>
          </w:p>
        </w:tc>
      </w:tr>
      <w:tr>
        <w:trPr>
          <w:trHeight w:val="167"/>
        </w:trPr>
        <w:tc>
          <w:tcPr>
            <w:tcW w:w="3440" w:type="dxa"/>
            <w:vAlign w:val="bottom"/>
          </w:tcPr>
          <w:p>
            <w:pPr>
              <w:ind w:left="620"/>
              <w:spacing w:after="0"/>
              <w:rPr>
                <w:sz w:val="20"/>
                <w:szCs w:val="20"/>
                <w:color w:val="auto"/>
              </w:rPr>
            </w:pPr>
            <w:r>
              <w:rPr>
                <w:rFonts w:ascii="Courier New" w:cs="Courier New" w:eastAsia="Courier New" w:hAnsi="Courier New"/>
                <w:sz w:val="14"/>
                <w:szCs w:val="14"/>
                <w:color w:val="auto"/>
              </w:rPr>
              <w:t>New York, NY 10274-0084</w:t>
            </w:r>
          </w:p>
        </w:tc>
        <w:tc>
          <w:tcPr>
            <w:tcW w:w="326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York</w:t>
            </w:r>
          </w:p>
        </w:tc>
      </w:tr>
      <w:tr>
        <w:trPr>
          <w:trHeight w:val="167"/>
        </w:trPr>
        <w:tc>
          <w:tcPr>
            <w:tcW w:w="3440" w:type="dxa"/>
            <w:vAlign w:val="bottom"/>
          </w:tcPr>
          <w:p>
            <w:pPr>
              <w:spacing w:after="0"/>
              <w:rPr>
                <w:sz w:val="14"/>
                <w:szCs w:val="14"/>
                <w:color w:val="auto"/>
              </w:rPr>
            </w:pPr>
          </w:p>
        </w:tc>
        <w:tc>
          <w:tcPr>
            <w:tcW w:w="326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30 Broad Street, 14th Floor</w:t>
            </w:r>
          </w:p>
        </w:tc>
      </w:tr>
      <w:tr>
        <w:trPr>
          <w:trHeight w:val="334"/>
        </w:trPr>
        <w:tc>
          <w:tcPr>
            <w:tcW w:w="34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By Hand Prior to 4:30 p.m., New York</w:t>
            </w:r>
          </w:p>
        </w:tc>
        <w:tc>
          <w:tcPr>
            <w:tcW w:w="326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New York, NY 10004-2304</w:t>
            </w:r>
          </w:p>
        </w:tc>
      </w:tr>
      <w:tr>
        <w:trPr>
          <w:trHeight w:val="167"/>
        </w:trPr>
        <w:tc>
          <w:tcPr>
            <w:tcW w:w="34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City time:</w:t>
            </w:r>
          </w:p>
        </w:tc>
        <w:tc>
          <w:tcPr>
            <w:tcW w:w="3260" w:type="dxa"/>
            <w:vAlign w:val="bottom"/>
          </w:tcPr>
          <w:p>
            <w:pPr>
              <w:spacing w:after="0"/>
              <w:rPr>
                <w:sz w:val="14"/>
                <w:szCs w:val="14"/>
                <w:color w:val="auto"/>
              </w:rPr>
            </w:pPr>
          </w:p>
        </w:tc>
      </w:tr>
      <w:tr>
        <w:trPr>
          <w:trHeight w:val="334"/>
        </w:trPr>
        <w:tc>
          <w:tcPr>
            <w:tcW w:w="3440" w:type="dxa"/>
            <w:vAlign w:val="bottom"/>
          </w:tcPr>
          <w:p>
            <w:pPr>
              <w:spacing w:after="0"/>
              <w:rPr>
                <w:sz w:val="24"/>
                <w:szCs w:val="24"/>
                <w:color w:val="auto"/>
              </w:rPr>
            </w:pPr>
          </w:p>
        </w:tc>
        <w:tc>
          <w:tcPr>
            <w:tcW w:w="326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For Information Telephone (call</w:t>
            </w:r>
          </w:p>
        </w:tc>
      </w:tr>
      <w:tr>
        <w:trPr>
          <w:trHeight w:val="167"/>
        </w:trPr>
        <w:tc>
          <w:tcPr>
            <w:tcW w:w="3440" w:type="dxa"/>
            <w:vAlign w:val="bottom"/>
          </w:tcPr>
          <w:p>
            <w:pPr>
              <w:spacing w:after="0"/>
              <w:rPr>
                <w:sz w:val="14"/>
                <w:szCs w:val="14"/>
                <w:color w:val="auto"/>
              </w:rPr>
            </w:pPr>
          </w:p>
        </w:tc>
        <w:tc>
          <w:tcPr>
            <w:tcW w:w="326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toll-free):</w:t>
            </w:r>
          </w:p>
        </w:tc>
      </w:tr>
      <w:tr>
        <w:trPr>
          <w:trHeight w:val="334"/>
        </w:trPr>
        <w:tc>
          <w:tcPr>
            <w:tcW w:w="34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United States Trust Company of New</w:t>
            </w:r>
          </w:p>
        </w:tc>
        <w:tc>
          <w:tcPr>
            <w:tcW w:w="3260" w:type="dxa"/>
            <w:vAlign w:val="bottom"/>
          </w:tcPr>
          <w:p>
            <w:pPr>
              <w:spacing w:after="0"/>
              <w:rPr>
                <w:sz w:val="24"/>
                <w:szCs w:val="24"/>
                <w:color w:val="auto"/>
              </w:rPr>
            </w:pPr>
          </w:p>
        </w:tc>
      </w:tr>
      <w:tr>
        <w:trPr>
          <w:trHeight w:val="167"/>
        </w:trPr>
        <w:tc>
          <w:tcPr>
            <w:tcW w:w="34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York</w:t>
            </w:r>
          </w:p>
        </w:tc>
        <w:tc>
          <w:tcPr>
            <w:tcW w:w="3260" w:type="dxa"/>
            <w:vAlign w:val="bottom"/>
          </w:tcPr>
          <w:p>
            <w:pPr>
              <w:spacing w:after="0"/>
              <w:rPr>
                <w:sz w:val="14"/>
                <w:szCs w:val="14"/>
                <w:color w:val="auto"/>
              </w:rPr>
            </w:pPr>
          </w:p>
        </w:tc>
      </w:tr>
      <w:tr>
        <w:trPr>
          <w:trHeight w:val="334"/>
        </w:trPr>
        <w:tc>
          <w:tcPr>
            <w:tcW w:w="34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30 Broad Street, B-Level</w:t>
            </w:r>
          </w:p>
        </w:tc>
        <w:tc>
          <w:tcPr>
            <w:tcW w:w="326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(800) 548-6565</w:t>
            </w:r>
          </w:p>
        </w:tc>
      </w:tr>
      <w:tr>
        <w:trPr>
          <w:trHeight w:val="167"/>
        </w:trPr>
        <w:tc>
          <w:tcPr>
            <w:tcW w:w="3440" w:type="dxa"/>
            <w:vAlign w:val="bottom"/>
          </w:tcPr>
          <w:p>
            <w:pPr>
              <w:ind w:left="620"/>
              <w:spacing w:after="0"/>
              <w:rPr>
                <w:sz w:val="20"/>
                <w:szCs w:val="20"/>
                <w:color w:val="auto"/>
              </w:rPr>
            </w:pPr>
            <w:r>
              <w:rPr>
                <w:rFonts w:ascii="Courier New" w:cs="Courier New" w:eastAsia="Courier New" w:hAnsi="Courier New"/>
                <w:sz w:val="14"/>
                <w:szCs w:val="14"/>
                <w:color w:val="auto"/>
              </w:rPr>
              <w:t>New York, NY 10004-2304</w:t>
            </w:r>
          </w:p>
        </w:tc>
        <w:tc>
          <w:tcPr>
            <w:tcW w:w="3260" w:type="dxa"/>
            <w:vAlign w:val="bottom"/>
          </w:tcPr>
          <w:p>
            <w:pPr>
              <w:spacing w:after="0"/>
              <w:rPr>
                <w:sz w:val="14"/>
                <w:szCs w:val="14"/>
                <w:color w:val="auto"/>
              </w:rPr>
            </w:pPr>
          </w:p>
        </w:tc>
      </w:tr>
    </w:tbl>
    <w:p>
      <w:pPr>
        <w:spacing w:after="0" w:line="171" w:lineRule="exact"/>
        <w:rPr>
          <w:sz w:val="20"/>
          <w:szCs w:val="20"/>
          <w:color w:val="auto"/>
        </w:rPr>
      </w:pPr>
    </w:p>
    <w:p>
      <w:pPr>
        <w:jc w:val="both"/>
        <w:ind w:right="3539"/>
        <w:spacing w:after="0" w:line="258" w:lineRule="auto"/>
        <w:rPr>
          <w:sz w:val="20"/>
          <w:szCs w:val="20"/>
          <w:color w:val="auto"/>
        </w:rPr>
      </w:pPr>
      <w:r>
        <w:rPr>
          <w:rFonts w:ascii="Courier New" w:cs="Courier New" w:eastAsia="Courier New" w:hAnsi="Courier New"/>
          <w:sz w:val="14"/>
          <w:szCs w:val="14"/>
          <w:color w:val="auto"/>
        </w:rPr>
        <w:t>Delivery to an address other than set forth above will not constitute a valid delivery.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Fees and Expenses</w:t>
      </w:r>
    </w:p>
    <w:p>
      <w:pPr>
        <w:spacing w:after="0" w:line="175"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We will bear the expenses of soliciting tenders. The principal solicitation is being made by mail; however, additional solicitation may be made by telegraph, telecopy, telephone or in person by our and our affiliates' officers and regular employees.</w:t>
      </w:r>
    </w:p>
    <w:p>
      <w:pPr>
        <w:spacing w:after="0" w:line="163"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We have not retained any dealer-manager in connection with the exchange offer and will not make any payments to brokers, dealers or others soliciting acceptances of the exchange offer. We will, however, pay the exchange agent reasonable and customary fees for its services and will reimburse it for its reasonable out-of-pocket expenses incurred in connection with these services.</w:t>
      </w:r>
    </w:p>
    <w:p>
      <w:pPr>
        <w:spacing w:after="0" w:line="162" w:lineRule="exact"/>
        <w:rPr>
          <w:sz w:val="20"/>
          <w:szCs w:val="20"/>
          <w:color w:val="auto"/>
        </w:rPr>
      </w:pPr>
    </w:p>
    <w:p>
      <w:pPr>
        <w:ind w:right="3379" w:firstLine="260"/>
        <w:spacing w:after="0" w:line="255" w:lineRule="auto"/>
        <w:rPr>
          <w:sz w:val="20"/>
          <w:szCs w:val="20"/>
          <w:color w:val="auto"/>
        </w:rPr>
      </w:pPr>
      <w:r>
        <w:rPr>
          <w:rFonts w:ascii="Courier New" w:cs="Courier New" w:eastAsia="Courier New" w:hAnsi="Courier New"/>
          <w:sz w:val="14"/>
          <w:szCs w:val="14"/>
          <w:color w:val="auto"/>
        </w:rPr>
        <w:t>We will pay the cash expenses to be incurred in connection with the exchange offer. Such expenses include fees and expenses of the exchange agent and trustee, accounting and legal fees and printing costs, among others.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175"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The exchange notes will be recorded at the same carrying value as the outstanding notes, which is face value, as reflected in our accounting records on the date of exchange. Accordingly, we will not recognize any gain or loss for accounting purposes as a result of the exchange offer. The expenses of the exchange offer will be deferred and charged to expense over the term of the exchange notes.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Consequences of Failure to Exchange</w:t>
      </w:r>
    </w:p>
    <w:p>
      <w:pPr>
        <w:spacing w:after="0" w:line="175" w:lineRule="exact"/>
        <w:rPr>
          <w:sz w:val="20"/>
          <w:szCs w:val="20"/>
          <w:color w:val="auto"/>
        </w:rPr>
      </w:pPr>
    </w:p>
    <w:p>
      <w:pPr>
        <w:ind w:right="3459" w:firstLine="260"/>
        <w:spacing w:after="0" w:line="255" w:lineRule="auto"/>
        <w:rPr>
          <w:sz w:val="20"/>
          <w:szCs w:val="20"/>
          <w:color w:val="auto"/>
        </w:rPr>
      </w:pPr>
      <w:r>
        <w:rPr>
          <w:rFonts w:ascii="Courier New" w:cs="Courier New" w:eastAsia="Courier New" w:hAnsi="Courier New"/>
          <w:sz w:val="14"/>
          <w:szCs w:val="14"/>
          <w:color w:val="auto"/>
        </w:rPr>
        <w:t>The outstanding notes that are not exchanged for exchange notes pursuant to the exchange offer will remain restricted securities. Accordingly, the outstanding notes may be resold only:</w:t>
      </w:r>
    </w:p>
    <w:p>
      <w:pPr>
        <w:spacing w:after="0" w:line="162" w:lineRule="exact"/>
        <w:rPr>
          <w:sz w:val="20"/>
          <w:szCs w:val="20"/>
          <w:color w:val="auto"/>
        </w:rPr>
      </w:pPr>
    </w:p>
    <w:p>
      <w:pPr>
        <w:ind w:left="3400" w:right="5979" w:hanging="3217"/>
        <w:spacing w:after="0" w:line="511" w:lineRule="auto"/>
        <w:tabs>
          <w:tab w:leader="none" w:pos="536"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us upon redemption thereof or otherwise; 23</w:t>
      </w:r>
    </w:p>
    <w:p>
      <w:pPr>
        <w:sectPr>
          <w:pgSz w:w="11900" w:h="16838" w:orient="portrait"/>
          <w:cols w:equalWidth="0" w:num="1">
            <w:col w:w="10239"/>
          </w:cols>
          <w:pgMar w:left="220" w:top="620" w:right="1440" w:bottom="1440" w:gutter="0" w:footer="0" w:header="0"/>
          <w:type w:val="continuous"/>
        </w:sectPr>
      </w:pPr>
    </w:p>
    <w:bookmarkStart w:id="28" w:name="page29"/>
    <w:bookmarkEnd w:id="28"/>
    <w:p>
      <w:pPr>
        <w:ind w:left="520" w:right="3539" w:hanging="337"/>
        <w:spacing w:after="0" w:line="253"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the outstanding notes are eligible for resale pursuant to Rule 144A, to a person inside the United States whom the seller reasonably believes is a qualified institutional buyer within the meaning of Rule 144A under the Securities Act in a transaction meeting the requirements of Rule 144A, in accordance with Rule 144 under the Securities Act, or pursuant to another exemption from the registration requirements of the Securities Act, which other exemption is based upon an opinion of counsel reasonably acceptable to us;</w:t>
      </w:r>
    </w:p>
    <w:p>
      <w:pPr>
        <w:spacing w:after="0" w:line="164" w:lineRule="exact"/>
        <w:rPr>
          <w:rFonts w:ascii="Courier New" w:cs="Courier New" w:eastAsia="Courier New" w:hAnsi="Courier New"/>
          <w:sz w:val="14"/>
          <w:szCs w:val="14"/>
          <w:color w:val="auto"/>
        </w:rPr>
      </w:pPr>
    </w:p>
    <w:p>
      <w:pPr>
        <w:ind w:left="520" w:right="3639" w:hanging="337"/>
        <w:spacing w:after="0" w:line="258"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outside the United States to a foreign person in a transaction meeting the requirements of Rule 904 under the Securities Act; or</w:t>
      </w:r>
    </w:p>
    <w:p>
      <w:pPr>
        <w:spacing w:after="0" w:line="159" w:lineRule="exact"/>
        <w:rPr>
          <w:rFonts w:ascii="Courier New" w:cs="Courier New" w:eastAsia="Courier New" w:hAnsi="Courier New"/>
          <w:sz w:val="14"/>
          <w:szCs w:val="14"/>
          <w:color w:val="auto"/>
        </w:rPr>
      </w:pPr>
    </w:p>
    <w:p>
      <w:pPr>
        <w:ind w:left="520" w:right="3639" w:hanging="337"/>
        <w:spacing w:after="0" w:line="255"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effective registration statement under the Securities Act, in each case in accordance with any applicable securities laws of any state of the United States.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Resale of the Exchange Notes</w:t>
      </w:r>
    </w:p>
    <w:p>
      <w:pPr>
        <w:spacing w:after="0" w:line="17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With respect to resales of exchange notes, based on interpretations by the Staff of the SEC set forth in no-action letters issued to third parties, we believe that a holder or other person who receives exchange notes, whether or not the person is the holder, other than a person that is our affiliate within the meaning of Rule 405 under the Securities Act, in exchange for outstanding notes in the ordinary course of business and who is not participating, does not intend to participate, and has no arrangement or understanding with any person to participate, in the distribution of the exchange notes, will be allowed to resell the exchange notes to the public without further registration under the Securities Act and without delivering to the purchasers of the exchange notes a prospectus that satisfies the requirements of Section 10 of the Securities Act. However, if any holder acquires exchange notes in the exchange offer for the purpose of distributing or participating in a distribution of the exchange notes, the holder cannot rely on the position of the Staff of the SEC expressed in the no-action letters or any similar interpretive letters, and must comply with the registration and prospectus delivery requirements of the Securities Act in connection with any resale transaction, unless an exemption from registration is otherwise available. Further, each broker-dealer that receives exchange notes for its own account in exchange for outstanding notes, where the outstanding notes were acquired by the broker-dealer as a result of market-making activities or other trading activities, must acknowledge that it will deliver a prospectus in connection with any resale of the exchange notes.</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USE OF PROCEEDS</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This exchange offer is intended to satisfy certain of our obligations under the registration rights agreement. We will not receive any cash proceeds from the issuance of the exchange notes. In consideration for issuing the exchange notes contemplated in this prospectus, we will receive outstanding notes in like principal amount, the form and terms of which are the same as the form and terms of the exchange notes, except as otherwise described in this prospectus.</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CONDENSED CONSOLIDATING FINANCIAL STATEMENTS</w:t>
      </w:r>
    </w:p>
    <w:p>
      <w:pPr>
        <w:spacing w:after="0" w:line="175"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The following condensed consolidating financial statements show the consolidating balance sheet as of March 31, 2001, and consolidating income statement information for the year ended December 31, 2000, and for the three months ended March 31, 2001, for Radio One and its guarantor subsidiaries. All of Radio One's subsidiaries are guarantors and are wholly owned by Radio One. All guarantees are full and unconditional and joint and several.</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29" w:name="page30"/>
    <w:bookmarkEnd w:id="29"/>
    <w:p>
      <w:pPr>
        <w:jc w:val="center"/>
        <w:ind w:right="3279"/>
        <w:spacing w:after="0"/>
        <w:rPr>
          <w:sz w:val="20"/>
          <w:szCs w:val="20"/>
          <w:color w:val="auto"/>
        </w:rPr>
      </w:pPr>
      <w:r>
        <w:rPr>
          <w:rFonts w:ascii="Courier New" w:cs="Courier New" w:eastAsia="Courier New" w:hAnsi="Courier New"/>
          <w:sz w:val="14"/>
          <w:szCs w:val="14"/>
          <w:color w:val="auto"/>
        </w:rPr>
        <w:t>CONDENSED CONSOLIDATING BALANCE SHEETS</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AS OF MARCH 31, 2001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(UNAUDITED)</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Combined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62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Guarantor</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Radio</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spacing w:after="0"/>
              <w:rPr>
                <w:sz w:val="14"/>
                <w:szCs w:val="14"/>
                <w:color w:val="auto"/>
              </w:rPr>
            </w:pPr>
          </w:p>
        </w:tc>
        <w:tc>
          <w:tcPr>
            <w:tcW w:w="22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Subsidiaries One, Inc.</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Eliminations</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Consolidated</w:t>
            </w:r>
          </w:p>
        </w:tc>
      </w:tr>
      <w:tr>
        <w:trPr>
          <w:trHeight w:val="167"/>
        </w:trPr>
        <w:tc>
          <w:tcPr>
            <w:tcW w:w="26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23,604</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24,245</w:t>
            </w: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Trade accounts receivable,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net of allowance for</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doubtful accounts..........</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3,643</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32,922</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36,565</w:t>
            </w: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Due from Combined Guarantor</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Subsidiaries...............</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1,657,366</w:t>
            </w:r>
          </w:p>
        </w:tc>
        <w:tc>
          <w:tcPr>
            <w:tcW w:w="1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(1,657,366)</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Prepaid expenses and other..</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194</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4,933</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5,127</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 tax receivable.......</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1,750</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1,750</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Deferred tax asset..........</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2,311</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2,476</w:t>
            </w:r>
          </w:p>
        </w:tc>
      </w:tr>
      <w:tr>
        <w:trPr>
          <w:trHeight w:val="167"/>
        </w:trPr>
        <w:tc>
          <w:tcPr>
            <w:tcW w:w="262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current assets......</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4,643</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1,722,886</w:t>
            </w:r>
          </w:p>
        </w:tc>
        <w:tc>
          <w:tcPr>
            <w:tcW w:w="1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(1,657,366)</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70,163</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PROPERTY AND EQUIPMENT, net..</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5,800</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26,743</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32,543</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INTANGIBLE ASSETS, net.......</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1,580,367</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29,808</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1,610,175</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ASSETS.................</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2,578</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14,221</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16,799</w:t>
            </w:r>
          </w:p>
        </w:tc>
      </w:tr>
      <w:tr>
        <w:trPr>
          <w:trHeight w:val="167"/>
        </w:trPr>
        <w:tc>
          <w:tcPr>
            <w:tcW w:w="262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assets..............</w:t>
            </w: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$1,593,388</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$1,793,658</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$(1,657,366)</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$1,729,680</w:t>
            </w:r>
          </w:p>
        </w:tc>
      </w:tr>
      <w:tr>
        <w:trPr>
          <w:trHeight w:val="167"/>
        </w:trPr>
        <w:tc>
          <w:tcPr>
            <w:tcW w:w="262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LIABILITIES AND STOCKHOLDERS'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Accounts payable............</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16,739</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17,137</w:t>
            </w:r>
          </w:p>
        </w:tc>
      </w:tr>
      <w:tr>
        <w:trPr>
          <w:trHeight w:val="334"/>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expenses............</w:t>
            </w:r>
          </w:p>
        </w:tc>
        <w:tc>
          <w:tcPr>
            <w:tcW w:w="2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1,573</w:t>
            </w:r>
          </w:p>
        </w:tc>
        <w:tc>
          <w:tcPr>
            <w:tcW w:w="14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14,660</w:t>
            </w:r>
          </w:p>
        </w:tc>
        <w:tc>
          <w:tcPr>
            <w:tcW w:w="14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16,233</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current liabilities...</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421</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3,662</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4,083</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Due to the Company..........</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1,657,366</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(1,657,366)</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Total current</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liabilities..............</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1,659,758</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35,061</w:t>
            </w:r>
          </w:p>
        </w:tc>
        <w:tc>
          <w:tcPr>
            <w:tcW w:w="1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(1,657,366)</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37,453</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INVESTMENT IN SUBSIDIARIES...</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90,093</w:t>
            </w:r>
          </w:p>
        </w:tc>
        <w:tc>
          <w:tcPr>
            <w:tcW w:w="1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(90,093)</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LONG-TERM DEBT AND DEFERRED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INTEREST, net of current</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portion.....................</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634,520</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634,541</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SWAP AGREEMENTS LIABILITY....</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9,733</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9,733</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DEFERRED INCOME TAX</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LIABILITY...................</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23,702</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(6,070)</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17,632</w:t>
            </w:r>
          </w:p>
        </w:tc>
      </w:tr>
      <w:tr>
        <w:trPr>
          <w:trHeight w:val="167"/>
        </w:trPr>
        <w:tc>
          <w:tcPr>
            <w:tcW w:w="262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liabilities.........</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1,683,481</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763,337</w:t>
            </w:r>
          </w:p>
        </w:tc>
        <w:tc>
          <w:tcPr>
            <w:tcW w:w="1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(1,747,459)</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699,359</w:t>
            </w:r>
          </w:p>
        </w:tc>
      </w:tr>
      <w:tr>
        <w:trPr>
          <w:trHeight w:val="167"/>
        </w:trPr>
        <w:tc>
          <w:tcPr>
            <w:tcW w:w="262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COMMITMENTS AND CONTINGENCIES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Common stock................</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w:t>
            </w: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Accumulated comprehensive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 adjustments.........</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(6,570)</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(6,570)</w:t>
            </w: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Stock subscriptions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receivable.................</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(9,005)</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(9,005)</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Additional paid-in capital..</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1,105,714</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1,105,714</w:t>
            </w: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Accumulated deficit.........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(90,093)</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(59,905)</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90,093</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(59,905)</w:t>
            </w:r>
          </w:p>
        </w:tc>
      </w:tr>
      <w:tr>
        <w:trPr>
          <w:trHeight w:val="167"/>
        </w:trPr>
        <w:tc>
          <w:tcPr>
            <w:tcW w:w="262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Total stockholders'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(90,093)</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1,030,321</w:t>
            </w:r>
          </w:p>
        </w:tc>
        <w:tc>
          <w:tcPr>
            <w:tcW w:w="1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90,093</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1,030,321</w:t>
            </w:r>
          </w:p>
        </w:tc>
      </w:tr>
      <w:tr>
        <w:trPr>
          <w:trHeight w:val="167"/>
        </w:trPr>
        <w:tc>
          <w:tcPr>
            <w:tcW w:w="262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TOTAL LIABILITIES AND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STOCKHOLDERS' EQUITY.....</w:t>
            </w: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$1,593,388</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$1,793,658</w:t>
            </w:r>
          </w:p>
        </w:tc>
        <w:tc>
          <w:tcPr>
            <w:tcW w:w="11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$(1,657,366)</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$1,729,680</w:t>
            </w:r>
          </w:p>
        </w:tc>
      </w:tr>
      <w:tr>
        <w:trPr>
          <w:trHeight w:val="167"/>
        </w:trPr>
        <w:tc>
          <w:tcPr>
            <w:tcW w:w="262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30" w:name="page31"/>
    <w:bookmarkEnd w:id="30"/>
    <w:p>
      <w:pPr>
        <w:jc w:val="center"/>
        <w:ind w:right="3279"/>
        <w:spacing w:after="0"/>
        <w:rPr>
          <w:sz w:val="20"/>
          <w:szCs w:val="20"/>
          <w:color w:val="auto"/>
        </w:rPr>
      </w:pPr>
      <w:r>
        <w:rPr>
          <w:rFonts w:ascii="Courier New" w:cs="Courier New" w:eastAsia="Courier New" w:hAnsi="Courier New"/>
          <w:sz w:val="14"/>
          <w:szCs w:val="14"/>
          <w:color w:val="auto"/>
        </w:rPr>
        <w:t>CONDENSED CONSOLIDATING STATEMENTS OF OPERATIONS</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FOR THE YEAR ENDED DECEMBER 31, 2000</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Combined</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Radio</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Guarantor</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One,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Subsidiaries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w:t>
            </w:r>
          </w:p>
        </w:tc>
        <w:tc>
          <w:tcPr>
            <w:tcW w:w="2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Eliminations Consolidated</w:t>
            </w:r>
          </w:p>
        </w:tc>
      </w:tr>
      <w:tr>
        <w:trPr>
          <w:trHeight w:val="167"/>
        </w:trPr>
        <w:tc>
          <w:tcPr>
            <w:tcW w:w="27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2700" w:type="dxa"/>
            <w:vAlign w:val="bottom"/>
          </w:tcPr>
          <w:p>
            <w:pPr>
              <w:ind w:left="100"/>
              <w:spacing w:after="0"/>
              <w:rPr>
                <w:sz w:val="20"/>
                <w:szCs w:val="20"/>
                <w:color w:val="auto"/>
              </w:rPr>
            </w:pPr>
            <w:r>
              <w:rPr>
                <w:rFonts w:ascii="Courier New" w:cs="Courier New" w:eastAsia="Courier New" w:hAnsi="Courier New"/>
                <w:sz w:val="14"/>
                <w:szCs w:val="14"/>
                <w:color w:val="auto"/>
              </w:rPr>
              <w:t>Broadcast revenue, including</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barter revenue..............</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$ 31,941</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$145,278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$177,219</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Less: agency commissions.....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3,749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17,804</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21,553</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broadcast revenue......</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28,192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127,474</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155,666</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Program and technical........</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4,771</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19,200</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23,971</w:t>
            </w:r>
          </w:p>
        </w:tc>
      </w:tr>
      <w:tr>
        <w:trPr>
          <w:trHeight w:val="167"/>
        </w:trPr>
        <w:tc>
          <w:tcPr>
            <w:tcW w:w="2700" w:type="dxa"/>
            <w:vAlign w:val="bottom"/>
          </w:tcPr>
          <w:p>
            <w:pPr>
              <w:ind w:left="100"/>
              <w:spacing w:after="0"/>
              <w:rPr>
                <w:sz w:val="20"/>
                <w:szCs w:val="20"/>
                <w:color w:val="auto"/>
              </w:rPr>
            </w:pPr>
            <w:r>
              <w:rPr>
                <w:rFonts w:ascii="Courier New" w:cs="Courier New" w:eastAsia="Courier New" w:hAnsi="Courier New"/>
                <w:sz w:val="14"/>
                <w:szCs w:val="14"/>
                <w:color w:val="auto"/>
              </w:rPr>
              <w:t>Selling, general and</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administrative..............</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11,959</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41,350</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53,309</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Corporate expenses...........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6,303</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6,303</w:t>
            </w:r>
          </w:p>
        </w:tc>
      </w:tr>
      <w:tr>
        <w:trPr>
          <w:trHeight w:val="167"/>
        </w:trPr>
        <w:tc>
          <w:tcPr>
            <w:tcW w:w="2700" w:type="dxa"/>
            <w:vAlign w:val="bottom"/>
          </w:tcPr>
          <w:p>
            <w:pPr>
              <w:ind w:left="100"/>
              <w:spacing w:after="0"/>
              <w:rPr>
                <w:sz w:val="20"/>
                <w:szCs w:val="20"/>
                <w:color w:val="auto"/>
              </w:rPr>
            </w:pPr>
            <w:r>
              <w:rPr>
                <w:rFonts w:ascii="Courier New" w:cs="Courier New" w:eastAsia="Courier New" w:hAnsi="Courier New"/>
                <w:sz w:val="14"/>
                <w:szCs w:val="14"/>
                <w:color w:val="auto"/>
              </w:rPr>
              <w:t>Depreciation and</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amortization................</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57,758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5,449</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63,207</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operating expenses...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74,488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72,302</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146,790</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(loss) income....</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(46,296)</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55,172</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8,876</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INTEREST EXPENSE, INCLUDING</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ind w:left="100"/>
              <w:spacing w:after="0"/>
              <w:rPr>
                <w:sz w:val="20"/>
                <w:szCs w:val="20"/>
                <w:color w:val="auto"/>
              </w:rPr>
            </w:pPr>
            <w:r>
              <w:rPr>
                <w:rFonts w:ascii="Courier New" w:cs="Courier New" w:eastAsia="Courier New" w:hAnsi="Courier New"/>
                <w:sz w:val="14"/>
                <w:szCs w:val="14"/>
                <w:color w:val="auto"/>
              </w:rPr>
              <w:t>AMORTIZATION OF DEFERRED</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FINANCING COSTS..............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32,256</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32,407</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net.............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20,071</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20,084</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(Loss) income before</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provision for income</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taxes.....................</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(46,434)</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42,987</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(3,447)</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BENEFIT FOR INCOME</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TAXES........................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804</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804</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EQUITY IN LOSSES OF</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SUBSIDIARIES.................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(46,434)</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46,434</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 INCOME..........</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$(46,434)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(4,251)</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$46,434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(4,251)</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NET (LOSS) INCOME APPLICABLE</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 COMMON STOCKHOLDERS.......</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$(46,434)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$(13,487)</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$(13,487)</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668"/>
        </w:trPr>
        <w:tc>
          <w:tcPr>
            <w:tcW w:w="2700" w:type="dxa"/>
            <w:vAlign w:val="bottom"/>
          </w:tcPr>
          <w:p>
            <w:pPr>
              <w:spacing w:after="0"/>
              <w:rPr>
                <w:sz w:val="24"/>
                <w:szCs w:val="2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26</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787" w:right="1440" w:bottom="1440" w:gutter="0" w:footer="0" w:header="0"/>
        </w:sectPr>
      </w:pPr>
    </w:p>
    <w:bookmarkStart w:id="31" w:name="page32"/>
    <w:bookmarkEnd w:id="31"/>
    <w:p>
      <w:pPr>
        <w:ind w:left="1400"/>
        <w:spacing w:after="0"/>
        <w:rPr>
          <w:sz w:val="20"/>
          <w:szCs w:val="20"/>
          <w:color w:val="auto"/>
        </w:rPr>
      </w:pPr>
      <w:r>
        <w:rPr>
          <w:rFonts w:ascii="Courier New" w:cs="Courier New" w:eastAsia="Courier New" w:hAnsi="Courier New"/>
          <w:sz w:val="14"/>
          <w:szCs w:val="14"/>
          <w:color w:val="auto"/>
        </w:rPr>
        <w:t>CONDENSED CONSOLIDATING STATEMENTS OF OPERATIONS</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FOR THE THREE MONTHS ENDED MARCH 31, 2001</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Combined</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Radio</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Guarantor</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One,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Subsidiaries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w:t>
            </w:r>
          </w:p>
        </w:tc>
        <w:tc>
          <w:tcPr>
            <w:tcW w:w="2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Eliminations Consolidated</w:t>
            </w:r>
          </w:p>
        </w:tc>
      </w:tr>
      <w:tr>
        <w:trPr>
          <w:trHeight w:val="167"/>
        </w:trPr>
        <w:tc>
          <w:tcPr>
            <w:tcW w:w="27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2700" w:type="dxa"/>
            <w:vAlign w:val="bottom"/>
          </w:tcPr>
          <w:p>
            <w:pPr>
              <w:ind w:left="100"/>
              <w:spacing w:after="0"/>
              <w:rPr>
                <w:sz w:val="20"/>
                <w:szCs w:val="20"/>
                <w:color w:val="auto"/>
              </w:rPr>
            </w:pPr>
            <w:r>
              <w:rPr>
                <w:rFonts w:ascii="Courier New" w:cs="Courier New" w:eastAsia="Courier New" w:hAnsi="Courier New"/>
                <w:sz w:val="14"/>
                <w:szCs w:val="14"/>
                <w:color w:val="auto"/>
              </w:rPr>
              <w:t>Broadcast revenue, including</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barter revenue of $853,000</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and $645,000, respectively..</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6,868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$ 47,405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$ 54,273</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Less: agency commissions.....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768</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5,580</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6,348</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broadcast revenue......</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6,100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41,825</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47,925</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Program and technical........</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7,621</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8,856</w:t>
            </w:r>
          </w:p>
        </w:tc>
      </w:tr>
      <w:tr>
        <w:trPr>
          <w:trHeight w:val="167"/>
        </w:trPr>
        <w:tc>
          <w:tcPr>
            <w:tcW w:w="2700" w:type="dxa"/>
            <w:vAlign w:val="bottom"/>
          </w:tcPr>
          <w:p>
            <w:pPr>
              <w:ind w:left="100"/>
              <w:spacing w:after="0"/>
              <w:rPr>
                <w:sz w:val="20"/>
                <w:szCs w:val="20"/>
                <w:color w:val="auto"/>
              </w:rPr>
            </w:pPr>
            <w:r>
              <w:rPr>
                <w:rFonts w:ascii="Courier New" w:cs="Courier New" w:eastAsia="Courier New" w:hAnsi="Courier New"/>
                <w:sz w:val="14"/>
                <w:szCs w:val="14"/>
                <w:color w:val="auto"/>
              </w:rPr>
              <w:t>Selling, general and</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administrative..............</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13,956</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17,116</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Corporate expenses...........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2,078</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2,078</w:t>
            </w:r>
          </w:p>
        </w:tc>
      </w:tr>
      <w:tr>
        <w:trPr>
          <w:trHeight w:val="167"/>
        </w:trPr>
        <w:tc>
          <w:tcPr>
            <w:tcW w:w="2700" w:type="dxa"/>
            <w:vAlign w:val="bottom"/>
          </w:tcPr>
          <w:p>
            <w:pPr>
              <w:ind w:left="100"/>
              <w:spacing w:after="0"/>
              <w:rPr>
                <w:sz w:val="20"/>
                <w:szCs w:val="20"/>
                <w:color w:val="auto"/>
              </w:rPr>
            </w:pPr>
            <w:r>
              <w:rPr>
                <w:rFonts w:ascii="Courier New" w:cs="Courier New" w:eastAsia="Courier New" w:hAnsi="Courier New"/>
                <w:sz w:val="14"/>
                <w:szCs w:val="14"/>
                <w:color w:val="auto"/>
              </w:rPr>
              <w:t>Depreciation and</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amortization................</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25,762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5,762</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31,524</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operating expenses...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30,157</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29,417</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59,574</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(loss) income....</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(24,057)</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12,408</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(11,649)</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INTEREST EXPENSE, INCLUDING</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ind w:left="100"/>
              <w:spacing w:after="0"/>
              <w:rPr>
                <w:sz w:val="20"/>
                <w:szCs w:val="20"/>
                <w:color w:val="auto"/>
              </w:rPr>
            </w:pPr>
            <w:r>
              <w:rPr>
                <w:rFonts w:ascii="Courier New" w:cs="Courier New" w:eastAsia="Courier New" w:hAnsi="Courier New"/>
                <w:sz w:val="14"/>
                <w:szCs w:val="14"/>
                <w:color w:val="auto"/>
              </w:rPr>
              <w:t>AMORTIZATION OF DEFERRED</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FINANCING COSTS..............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15,661</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15,701</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GAIN ON SALE OF ASSETS........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4,272</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4,272</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net.............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592</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596</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(Loss) income before</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provision for income</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taxes.....................</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(24,093)</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1,611</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(22,482)</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BENEFIT FOR INCOME</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TAXES........................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7,309</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7,309</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EQUITY IN LOSSES OF</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SUBSIDIARIES.................</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(24,093)</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24,093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$(24,093)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$(15,173)</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$24,093</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$(15,173)</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NET (LOSS) INCOME APPLICABLE</w:t>
            </w: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 COMMON STOCKHOLDERS.......</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$(24,093)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$(20,211)</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$(20,211)</w:t>
            </w:r>
          </w:p>
        </w:tc>
      </w:tr>
      <w:tr>
        <w:trPr>
          <w:trHeight w:val="167"/>
        </w:trPr>
        <w:tc>
          <w:tcPr>
            <w:tcW w:w="2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668"/>
        </w:trPr>
        <w:tc>
          <w:tcPr>
            <w:tcW w:w="2700" w:type="dxa"/>
            <w:vAlign w:val="bottom"/>
          </w:tcPr>
          <w:p>
            <w:pPr>
              <w:spacing w:after="0"/>
              <w:rPr>
                <w:sz w:val="24"/>
                <w:szCs w:val="2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27</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32" w:name="page33"/>
    <w:bookmarkEnd w:id="32"/>
    <w:p>
      <w:pPr>
        <w:jc w:val="center"/>
        <w:ind w:right="3279"/>
        <w:spacing w:after="0"/>
        <w:rPr>
          <w:sz w:val="20"/>
          <w:szCs w:val="20"/>
          <w:color w:val="auto"/>
        </w:rPr>
      </w:pPr>
      <w:r>
        <w:rPr>
          <w:rFonts w:ascii="Courier New" w:cs="Courier New" w:eastAsia="Courier New" w:hAnsi="Courier New"/>
          <w:sz w:val="14"/>
          <w:szCs w:val="14"/>
          <w:color w:val="auto"/>
        </w:rPr>
        <w:t>CAPITALIZATION</w:t>
      </w:r>
    </w:p>
    <w:p>
      <w:pPr>
        <w:spacing w:after="0" w:line="175" w:lineRule="exact"/>
        <w:rPr>
          <w:sz w:val="20"/>
          <w:szCs w:val="20"/>
          <w:color w:val="auto"/>
        </w:rPr>
      </w:pPr>
    </w:p>
    <w:p>
      <w:pPr>
        <w:ind w:right="3379" w:firstLine="260"/>
        <w:spacing w:after="0" w:line="255" w:lineRule="auto"/>
        <w:rPr>
          <w:sz w:val="20"/>
          <w:szCs w:val="20"/>
          <w:color w:val="auto"/>
        </w:rPr>
      </w:pPr>
      <w:r>
        <w:rPr>
          <w:rFonts w:ascii="Courier New" w:cs="Courier New" w:eastAsia="Courier New" w:hAnsi="Courier New"/>
          <w:sz w:val="14"/>
          <w:szCs w:val="14"/>
          <w:color w:val="auto"/>
        </w:rPr>
        <w:t>The table below sets forth our cash, cash equivalents and capitalization as of March 31, 2001, on an actual basis and on a pro forma basis giving effect to the transactions identified below:</w:t>
      </w:r>
    </w:p>
    <w:p>
      <w:pPr>
        <w:spacing w:after="0" w:line="162" w:lineRule="exact"/>
        <w:rPr>
          <w:sz w:val="20"/>
          <w:szCs w:val="20"/>
          <w:color w:val="auto"/>
        </w:rPr>
      </w:pPr>
    </w:p>
    <w:p>
      <w:pPr>
        <w:ind w:left="440" w:hanging="257"/>
        <w:spacing w:after="0"/>
        <w:tabs>
          <w:tab w:leader="none" w:pos="4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pending acquisitions of:</w:t>
      </w:r>
    </w:p>
    <w:p>
      <w:pPr>
        <w:spacing w:after="0" w:line="175" w:lineRule="exact"/>
        <w:rPr>
          <w:rFonts w:ascii="Courier New" w:cs="Courier New" w:eastAsia="Courier New" w:hAnsi="Courier New"/>
          <w:sz w:val="14"/>
          <w:szCs w:val="14"/>
          <w:color w:val="auto"/>
        </w:rPr>
      </w:pPr>
    </w:p>
    <w:p>
      <w:pPr>
        <w:ind w:left="620" w:right="4499" w:hanging="264"/>
        <w:spacing w:after="0" w:line="258" w:lineRule="auto"/>
        <w:tabs>
          <w:tab w:leader="none" w:pos="62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WJMO-FM (formerly WPLZ-FM), WCDX-FM, WPZE-FM and WGCV-AM in Richmond;</w:t>
      </w:r>
    </w:p>
    <w:p>
      <w:pPr>
        <w:spacing w:after="0" w:line="159" w:lineRule="exact"/>
        <w:rPr>
          <w:rFonts w:ascii="Courier New" w:cs="Courier New" w:eastAsia="Courier New" w:hAnsi="Courier New"/>
          <w:sz w:val="14"/>
          <w:szCs w:val="14"/>
          <w:color w:val="auto"/>
        </w:rPr>
      </w:pPr>
    </w:p>
    <w:p>
      <w:pPr>
        <w:ind w:left="620" w:hanging="264"/>
        <w:spacing w:after="0"/>
        <w:tabs>
          <w:tab w:leader="none" w:pos="62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 Chip Broadcasting, Inc.; and</w:t>
      </w:r>
    </w:p>
    <w:p>
      <w:pPr>
        <w:spacing w:after="0" w:line="175" w:lineRule="exact"/>
        <w:rPr>
          <w:rFonts w:ascii="Courier New" w:cs="Courier New" w:eastAsia="Courier New" w:hAnsi="Courier New"/>
          <w:sz w:val="14"/>
          <w:szCs w:val="14"/>
          <w:color w:val="auto"/>
        </w:rPr>
      </w:pPr>
    </w:p>
    <w:p>
      <w:pPr>
        <w:ind w:left="620" w:hanging="264"/>
        <w:spacing w:after="0"/>
        <w:tabs>
          <w:tab w:leader="none" w:pos="62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WPEZ-FM in Atlanta (pro forma balance sheet only); and</w:t>
      </w:r>
    </w:p>
    <w:p>
      <w:pPr>
        <w:spacing w:after="0" w:line="175" w:lineRule="exact"/>
        <w:rPr>
          <w:sz w:val="20"/>
          <w:szCs w:val="20"/>
          <w:color w:val="auto"/>
        </w:rPr>
      </w:pPr>
    </w:p>
    <w:p>
      <w:pPr>
        <w:ind w:left="440" w:hanging="257"/>
        <w:spacing w:after="0"/>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offering of the outstanding notes to the initial purchasers.</w:t>
      </w:r>
    </w:p>
    <w:p>
      <w:pPr>
        <w:spacing w:after="0" w:line="175"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The information in this table should be read in conjunction with "Use of Proceeds," "Unaudited Pro Forma Consolidated Financial Information," "Management's Discussion and Analysis of Financial Condition and Results of Operations" and the Consolidated Financial Statements included elsewhere in, or incorporated by reference into, this prospectus.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As of March 31, 2001</w:t>
            </w:r>
          </w:p>
        </w:tc>
      </w:tr>
      <w:tr>
        <w:trPr>
          <w:trHeight w:val="167"/>
        </w:trPr>
        <w:tc>
          <w:tcPr>
            <w:tcW w:w="482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48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Actual</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48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spacing w:after="0"/>
              <w:rPr>
                <w:sz w:val="14"/>
                <w:szCs w:val="14"/>
                <w:color w:val="auto"/>
              </w:rPr>
            </w:pPr>
          </w:p>
        </w:tc>
        <w:tc>
          <w:tcPr>
            <w:tcW w:w="20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24,245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2,050</w:t>
            </w:r>
          </w:p>
        </w:tc>
      </w:tr>
      <w:tr>
        <w:trPr>
          <w:trHeight w:val="167"/>
        </w:trPr>
        <w:tc>
          <w:tcPr>
            <w:tcW w:w="48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Long-term debt (including current portion):</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Bank credit facility...................................</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550,000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490,200</w:t>
            </w:r>
          </w:p>
        </w:tc>
      </w:tr>
      <w:tr>
        <w:trPr>
          <w:trHeight w:val="167"/>
        </w:trPr>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12% Senior Subordinated Notes due 2004.................</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84,451</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8 7/8% Senior Subordinated Notes.......................</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300,000</w:t>
            </w:r>
          </w:p>
        </w:tc>
      </w:tr>
      <w:tr>
        <w:trPr>
          <w:trHeight w:val="167"/>
        </w:trPr>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Other long-term debt...................................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w:t>
            </w:r>
          </w:p>
        </w:tc>
      </w:tr>
      <w:tr>
        <w:trPr>
          <w:trHeight w:val="167"/>
        </w:trPr>
        <w:tc>
          <w:tcPr>
            <w:tcW w:w="48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Total debt...........................................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634,541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790,354</w:t>
            </w:r>
          </w:p>
        </w:tc>
      </w:tr>
      <w:tr>
        <w:trPr>
          <w:trHeight w:val="167"/>
        </w:trPr>
        <w:tc>
          <w:tcPr>
            <w:tcW w:w="48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Preferred stock........................................</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Common stock...........................................</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w:t>
            </w:r>
          </w:p>
        </w:tc>
      </w:tr>
      <w:tr>
        <w:trPr>
          <w:trHeight w:val="167"/>
        </w:trPr>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Stock subscriptions receivable.........................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(9,005)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(9,005)</w:t>
            </w:r>
          </w:p>
        </w:tc>
      </w:tr>
      <w:tr>
        <w:trPr>
          <w:trHeight w:val="167"/>
        </w:trPr>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Accumulated comprehensive income adjustments...........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(6,570)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(6,570)</w:t>
            </w:r>
          </w:p>
        </w:tc>
      </w:tr>
      <w:tr>
        <w:trPr>
          <w:trHeight w:val="167"/>
        </w:trPr>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Additional paid-in capital.............................</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1,105,714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1,218,134</w:t>
            </w:r>
          </w:p>
        </w:tc>
      </w:tr>
      <w:tr>
        <w:trPr>
          <w:trHeight w:val="167"/>
        </w:trPr>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Accumulated deficit....................................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(59,905)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(67,224)</w:t>
            </w:r>
          </w:p>
        </w:tc>
      </w:tr>
      <w:tr>
        <w:trPr>
          <w:trHeight w:val="167"/>
        </w:trPr>
        <w:tc>
          <w:tcPr>
            <w:tcW w:w="48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Total stockholders' equity...........................</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1,030,321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1,135,422</w:t>
            </w:r>
          </w:p>
        </w:tc>
      </w:tr>
      <w:tr>
        <w:trPr>
          <w:trHeight w:val="167"/>
        </w:trPr>
        <w:tc>
          <w:tcPr>
            <w:tcW w:w="48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jc w:val="right"/>
              <w:spacing w:after="0"/>
              <w:rPr>
                <w:sz w:val="20"/>
                <w:szCs w:val="20"/>
                <w:color w:val="auto"/>
              </w:rPr>
            </w:pPr>
            <w:r>
              <w:rPr>
                <w:rFonts w:ascii="Courier New" w:cs="Courier New" w:eastAsia="Courier New" w:hAnsi="Courier New"/>
                <w:sz w:val="14"/>
                <w:szCs w:val="14"/>
                <w:color w:val="auto"/>
              </w:rPr>
              <w:t>Total capitalization.................................</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$1,664,862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$1,925,776</w:t>
            </w:r>
          </w:p>
        </w:tc>
      </w:tr>
      <w:tr>
        <w:trPr>
          <w:trHeight w:val="167"/>
        </w:trPr>
        <w:tc>
          <w:tcPr>
            <w:tcW w:w="48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482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28</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33" w:name="page34"/>
    <w:bookmarkEnd w:id="33"/>
    <w:p>
      <w:pPr>
        <w:jc w:val="center"/>
        <w:ind w:right="3279"/>
        <w:spacing w:after="0"/>
        <w:rPr>
          <w:sz w:val="20"/>
          <w:szCs w:val="20"/>
          <w:color w:val="auto"/>
        </w:rPr>
      </w:pPr>
      <w:r>
        <w:rPr>
          <w:rFonts w:ascii="Courier New" w:cs="Courier New" w:eastAsia="Courier New" w:hAnsi="Courier New"/>
          <w:sz w:val="14"/>
          <w:szCs w:val="14"/>
          <w:color w:val="auto"/>
        </w:rPr>
        <w:t>UNAUDITED PRO FORMA CONSOLIDATED FINANCIAL INFORMATION</w:t>
      </w:r>
    </w:p>
    <w:p>
      <w:pPr>
        <w:spacing w:after="0" w:line="175"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The following unaudited pro forma consolidated financial statements for the year ended December 31, 2000 and the three months ended March 31, 2001 (the "Pro Forma Consolidated Financial Statements") are based on the historical Consolidated Financial Statements of Radio One incorporated by reference into this prospectus.</w:t>
      </w:r>
    </w:p>
    <w:p>
      <w:pPr>
        <w:spacing w:after="0" w:line="162" w:lineRule="exact"/>
        <w:rPr>
          <w:sz w:val="20"/>
          <w:szCs w:val="20"/>
          <w:color w:val="auto"/>
        </w:rPr>
      </w:pPr>
    </w:p>
    <w:p>
      <w:pPr>
        <w:ind w:right="3639" w:firstLine="260"/>
        <w:spacing w:after="0" w:line="255" w:lineRule="auto"/>
        <w:rPr>
          <w:sz w:val="20"/>
          <w:szCs w:val="20"/>
          <w:color w:val="auto"/>
        </w:rPr>
      </w:pPr>
      <w:r>
        <w:rPr>
          <w:rFonts w:ascii="Courier New" w:cs="Courier New" w:eastAsia="Courier New" w:hAnsi="Courier New"/>
          <w:sz w:val="14"/>
          <w:szCs w:val="14"/>
          <w:color w:val="auto"/>
        </w:rPr>
        <w:t>The pro forma amounts for the year ended December 31, 2000, and the three months ended March 31, 2001, are adjusted to give effect to the following transactions as if they had occurred on January 1, 2000:</w:t>
      </w:r>
    </w:p>
    <w:p>
      <w:pPr>
        <w:spacing w:after="0" w:line="162" w:lineRule="exact"/>
        <w:rPr>
          <w:sz w:val="20"/>
          <w:szCs w:val="20"/>
          <w:color w:val="auto"/>
        </w:rPr>
      </w:pPr>
    </w:p>
    <w:p>
      <w:pPr>
        <w:ind w:left="440" w:hanging="257"/>
        <w:spacing w:after="0"/>
        <w:tabs>
          <w:tab w:leader="none" w:pos="4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acquisitions of:</w:t>
      </w:r>
    </w:p>
    <w:p>
      <w:pPr>
        <w:spacing w:after="0" w:line="175" w:lineRule="exact"/>
        <w:rPr>
          <w:rFonts w:ascii="Courier New" w:cs="Courier New" w:eastAsia="Courier New" w:hAnsi="Courier New"/>
          <w:sz w:val="14"/>
          <w:szCs w:val="14"/>
          <w:color w:val="auto"/>
        </w:rPr>
      </w:pPr>
    </w:p>
    <w:p>
      <w:pPr>
        <w:ind w:left="620" w:hanging="264"/>
        <w:spacing w:after="0"/>
        <w:tabs>
          <w:tab w:leader="none" w:pos="62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WPLY-FM in Philadelphia;</w:t>
      </w:r>
    </w:p>
    <w:p>
      <w:pPr>
        <w:spacing w:after="0" w:line="175" w:lineRule="exact"/>
        <w:rPr>
          <w:rFonts w:ascii="Courier New" w:cs="Courier New" w:eastAsia="Courier New" w:hAnsi="Courier New"/>
          <w:sz w:val="14"/>
          <w:szCs w:val="14"/>
          <w:color w:val="auto"/>
        </w:rPr>
      </w:pPr>
    </w:p>
    <w:p>
      <w:pPr>
        <w:ind w:left="620" w:right="3719" w:hanging="264"/>
        <w:spacing w:after="0" w:line="255" w:lineRule="auto"/>
        <w:tabs>
          <w:tab w:leader="none" w:pos="62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Davis Broadcasting (through which we acquired six radio stations: WTHB-AM, WAEG-FM, WAKB-FM, WAEJ-FM and WFXA-FM in Augusta, and WCHH-FM (formerly WCCJ-FM) in Charlotte;</w:t>
      </w:r>
    </w:p>
    <w:p>
      <w:pPr>
        <w:spacing w:after="0" w:line="162" w:lineRule="exact"/>
        <w:rPr>
          <w:rFonts w:ascii="Courier New" w:cs="Courier New" w:eastAsia="Courier New" w:hAnsi="Courier New"/>
          <w:sz w:val="14"/>
          <w:szCs w:val="14"/>
          <w:color w:val="auto"/>
        </w:rPr>
      </w:pPr>
    </w:p>
    <w:p>
      <w:pPr>
        <w:ind w:left="620" w:right="3899" w:hanging="264"/>
        <w:spacing w:after="0" w:line="258" w:lineRule="auto"/>
        <w:tabs>
          <w:tab w:leader="none" w:pos="62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WYJZ-FM, WHHH-FM, WTLC-FM (formerly WBKS-FM) and WDNI-LP (formerly W53AV-LP) in Indianapolis; and</w:t>
      </w:r>
    </w:p>
    <w:p>
      <w:pPr>
        <w:spacing w:after="0" w:line="159" w:lineRule="exact"/>
        <w:rPr>
          <w:rFonts w:ascii="Courier New" w:cs="Courier New" w:eastAsia="Courier New" w:hAnsi="Courier New"/>
          <w:sz w:val="14"/>
          <w:szCs w:val="14"/>
          <w:color w:val="auto"/>
        </w:rPr>
      </w:pPr>
    </w:p>
    <w:p>
      <w:pPr>
        <w:ind w:left="620" w:right="3799" w:hanging="264"/>
        <w:spacing w:after="0" w:line="254" w:lineRule="auto"/>
        <w:tabs>
          <w:tab w:leader="none" w:pos="620"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twelve radio stations from Clear Channel Communications, Inc. and AMFM, Inc. (KKBT-FM in Los Angeles, KMJQ-FM and KBXX-FM in Houston, WVCG-AM in Miami, KBFB-FM in Dallas, WZAK-FM and WJMO-AM in Cleveland, WFXC-FM, WFXK-FM, WNNL-FM and WQOK-FM in Raleigh-Durham, and the subsequently divested WJMZ-FM in Greenville);</w:t>
      </w:r>
    </w:p>
    <w:p>
      <w:pPr>
        <w:spacing w:after="0" w:line="162" w:lineRule="exact"/>
        <w:rPr>
          <w:sz w:val="20"/>
          <w:szCs w:val="20"/>
          <w:color w:val="auto"/>
        </w:rPr>
      </w:pPr>
    </w:p>
    <w:p>
      <w:pPr>
        <w:ind w:left="440" w:hanging="257"/>
        <w:spacing w:after="0"/>
        <w:tabs>
          <w:tab w:leader="none" w:pos="4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pending acquisitions of:</w:t>
      </w:r>
    </w:p>
    <w:p>
      <w:pPr>
        <w:spacing w:after="0" w:line="175" w:lineRule="exact"/>
        <w:rPr>
          <w:rFonts w:ascii="Courier New" w:cs="Courier New" w:eastAsia="Courier New" w:hAnsi="Courier New"/>
          <w:sz w:val="14"/>
          <w:szCs w:val="14"/>
          <w:color w:val="auto"/>
        </w:rPr>
      </w:pPr>
    </w:p>
    <w:p>
      <w:pPr>
        <w:ind w:left="620" w:right="4499" w:hanging="264"/>
        <w:spacing w:after="0" w:line="258" w:lineRule="auto"/>
        <w:tabs>
          <w:tab w:leader="none" w:pos="62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WJMO-FM (formerly WPLZ-FM), WCDX-FM, WPZE-FM and WGCV-AM in Richmond;</w:t>
      </w:r>
    </w:p>
    <w:p>
      <w:pPr>
        <w:spacing w:after="0" w:line="159" w:lineRule="exact"/>
        <w:rPr>
          <w:rFonts w:ascii="Courier New" w:cs="Courier New" w:eastAsia="Courier New" w:hAnsi="Courier New"/>
          <w:sz w:val="14"/>
          <w:szCs w:val="14"/>
          <w:color w:val="auto"/>
        </w:rPr>
      </w:pPr>
    </w:p>
    <w:p>
      <w:pPr>
        <w:ind w:left="620" w:right="3719" w:hanging="264"/>
        <w:spacing w:after="0" w:line="254" w:lineRule="auto"/>
        <w:tabs>
          <w:tab w:leader="none" w:pos="62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 Chip Broadcasting, Inc. (through which we expect to acquire sixteen radio stations: WIZF-FM and WDBZ-AM in Cincinnati, WCKX-FM, WXMG-FM and WJYD-FM in Columbus, WGTZ-FM, WING-FM, WING-AM and WKSW-FM in Dayton, WDJX-FM, WBLO-FM, WGZB-FM, WULV-FM, WMJM-FM and WLRS-FM in Louisville, and KTTB-FM in Minneapolis); and</w:t>
      </w:r>
    </w:p>
    <w:p>
      <w:pPr>
        <w:spacing w:after="0" w:line="162" w:lineRule="exact"/>
        <w:rPr>
          <w:rFonts w:ascii="Courier New" w:cs="Courier New" w:eastAsia="Courier New" w:hAnsi="Courier New"/>
          <w:sz w:val="14"/>
          <w:szCs w:val="14"/>
          <w:color w:val="auto"/>
        </w:rPr>
      </w:pPr>
    </w:p>
    <w:p>
      <w:pPr>
        <w:ind w:left="620" w:hanging="264"/>
        <w:spacing w:after="0"/>
        <w:tabs>
          <w:tab w:leader="none" w:pos="62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WPEZ-FM in Atlanta (pro forma balance sheet only);</w:t>
      </w:r>
    </w:p>
    <w:p>
      <w:pPr>
        <w:spacing w:after="0" w:line="175" w:lineRule="exact"/>
        <w:rPr>
          <w:sz w:val="20"/>
          <w:szCs w:val="20"/>
          <w:color w:val="auto"/>
        </w:rPr>
      </w:pPr>
    </w:p>
    <w:p>
      <w:pPr>
        <w:ind w:left="440" w:hanging="257"/>
        <w:spacing w:after="0"/>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divestiture of KJOI-AM in Dallas;</w:t>
      </w:r>
    </w:p>
    <w:p>
      <w:pPr>
        <w:spacing w:after="0" w:line="175" w:lineRule="exact"/>
        <w:rPr>
          <w:sz w:val="20"/>
          <w:szCs w:val="20"/>
          <w:color w:val="auto"/>
        </w:rPr>
      </w:pPr>
    </w:p>
    <w:p>
      <w:pPr>
        <w:ind w:left="440" w:right="4159" w:hanging="257"/>
        <w:spacing w:after="0" w:line="258" w:lineRule="auto"/>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use of proceeds from our bank credit facility used to finance partially the Clear Channel/AMFM and Blue Chip acquisitions; and</w:t>
      </w:r>
    </w:p>
    <w:p>
      <w:pPr>
        <w:spacing w:after="0" w:line="160" w:lineRule="exact"/>
        <w:rPr>
          <w:sz w:val="20"/>
          <w:szCs w:val="20"/>
          <w:color w:val="auto"/>
        </w:rPr>
      </w:pPr>
    </w:p>
    <w:p>
      <w:pPr>
        <w:ind w:left="440" w:hanging="257"/>
        <w:spacing w:after="0"/>
        <w:tabs>
          <w:tab w:leader="none" w:pos="4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offering of the outstanding notes to the initial purchasers.</w:t>
      </w:r>
    </w:p>
    <w:p>
      <w:pPr>
        <w:spacing w:after="0" w:line="175" w:lineRule="exact"/>
        <w:rPr>
          <w:sz w:val="20"/>
          <w:szCs w:val="20"/>
          <w:color w:val="auto"/>
        </w:rPr>
      </w:pPr>
    </w:p>
    <w:p>
      <w:pPr>
        <w:ind w:right="3799" w:firstLine="260"/>
        <w:spacing w:after="0" w:line="255" w:lineRule="auto"/>
        <w:rPr>
          <w:sz w:val="20"/>
          <w:szCs w:val="20"/>
          <w:color w:val="auto"/>
        </w:rPr>
      </w:pPr>
      <w:r>
        <w:rPr>
          <w:rFonts w:ascii="Courier New" w:cs="Courier New" w:eastAsia="Courier New" w:hAnsi="Courier New"/>
          <w:sz w:val="14"/>
          <w:szCs w:val="14"/>
          <w:color w:val="auto"/>
        </w:rPr>
        <w:t>The pro forma balance sheet data are adjusted to give effect to the transactions described above as if they had occurred as of March 31, 2001, unless the transactions had actually occurred prior to that date.</w:t>
      </w:r>
    </w:p>
    <w:p>
      <w:pPr>
        <w:spacing w:after="0" w:line="162"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The pro forma financial statements were prepared using financial accounting standards in effect as of March 31, 2001. Thus, the pro forma financial statements do not reflect the accounting of the Financial Accounting Standards Board (FASB) pronouncement on Business Combinations and Intangible Assets-- Accounting for Goodwill, which became effective on June 30, 2001. The new pronouncement requires the use of a non-amortization approach to account for certain purchased intangible assets. Under the non-amortization approach certain intangible assets would be tested for impairment, rather than being amortized to earnings.</w:t>
      </w:r>
    </w:p>
    <w:p>
      <w:pPr>
        <w:spacing w:after="0" w:line="164" w:lineRule="exact"/>
        <w:rPr>
          <w:sz w:val="20"/>
          <w:szCs w:val="20"/>
          <w:color w:val="auto"/>
        </w:rPr>
      </w:pPr>
    </w:p>
    <w:p>
      <w:pPr>
        <w:jc w:val="both"/>
        <w:ind w:right="3459" w:firstLine="260"/>
        <w:spacing w:after="0" w:line="252" w:lineRule="auto"/>
        <w:rPr>
          <w:sz w:val="20"/>
          <w:szCs w:val="20"/>
          <w:color w:val="auto"/>
        </w:rPr>
      </w:pPr>
      <w:r>
        <w:rPr>
          <w:rFonts w:ascii="Courier New" w:cs="Courier New" w:eastAsia="Courier New" w:hAnsi="Courier New"/>
          <w:sz w:val="14"/>
          <w:szCs w:val="14"/>
          <w:color w:val="auto"/>
        </w:rPr>
        <w:t>These transactions are described in the accompanying notes to the Pro Forma Consolidated Financial Statements. The pro forma data are based upon available information and certain assumptions that management believes are reasonable.</w:t>
      </w:r>
    </w:p>
    <w:p>
      <w:pPr>
        <w:spacing w:after="0" w:line="1"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Pro Forma Consolidated Financial Statements do not purport to represent what our results of operations or financial condition would actually have been had these transactions occurred on the dates indicated or to project our results of operations or financial condition for any future period or date. The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34" w:name="page35"/>
    <w:bookmarkEnd w:id="34"/>
    <w:p>
      <w:pPr>
        <w:ind w:right="3459"/>
        <w:spacing w:after="0" w:line="254" w:lineRule="auto"/>
        <w:rPr>
          <w:sz w:val="20"/>
          <w:szCs w:val="20"/>
          <w:color w:val="auto"/>
        </w:rPr>
      </w:pPr>
      <w:r>
        <w:rPr>
          <w:rFonts w:ascii="Courier New" w:cs="Courier New" w:eastAsia="Courier New" w:hAnsi="Courier New"/>
          <w:sz w:val="14"/>
          <w:szCs w:val="14"/>
          <w:color w:val="auto"/>
        </w:rPr>
        <w:t>Pro Forma Consolidated Financial Statements should be read in conjunction with our Consolidated Financial Statements, the historical consolidated financial statements of Blue Chip and its subsidiaries, and "Management's Discussion and Analysis of Financial Condition and Results of Operations" incorporated by reference into this prospectus.</w:t>
      </w:r>
    </w:p>
    <w:p>
      <w:pPr>
        <w:spacing w:after="0" w:line="162"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After an acquisition, the total consideration of such acquisition will be allocated to the tangible and intangible assets acquired and liabilities assumed, if any, based upon their respective estimated fair values. The allocation of the aggregate total consideration included in the Pro Forma Consolidated Financial Statements is preliminary as we believe further refinement is impractical at this time. However, we do not expect that the final allocation of the total consideration will materially differ from the preliminary allocations.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2"/>
        </w:trPr>
        <w:tc>
          <w:tcPr>
            <w:tcW w:w="7080" w:type="dxa"/>
            <w:vAlign w:val="bottom"/>
            <w:gridSpan w:val="6"/>
          </w:tcPr>
          <w:p>
            <w:pPr>
              <w:ind w:left="360"/>
              <w:spacing w:after="0"/>
              <w:rPr>
                <w:sz w:val="20"/>
                <w:szCs w:val="20"/>
                <w:color w:val="auto"/>
              </w:rPr>
            </w:pPr>
            <w:r>
              <w:rPr>
                <w:rFonts w:ascii="Courier New" w:cs="Courier New" w:eastAsia="Courier New" w:hAnsi="Courier New"/>
                <w:sz w:val="14"/>
                <w:szCs w:val="14"/>
                <w:color w:val="auto"/>
              </w:rPr>
              <w:t>Unaudited Pro Forma Consolidated Statement of Operations and Other Data</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68"/>
        </w:trPr>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40" w:type="dxa"/>
            <w:vAlign w:val="bottom"/>
            <w:gridSpan w:val="3"/>
          </w:tcPr>
          <w:p>
            <w:pPr>
              <w:jc w:val="right"/>
              <w:ind w:right="768"/>
              <w:spacing w:after="0"/>
              <w:rPr>
                <w:sz w:val="20"/>
                <w:szCs w:val="20"/>
                <w:color w:val="auto"/>
              </w:rPr>
            </w:pPr>
            <w:r>
              <w:rPr>
                <w:rFonts w:ascii="Courier New" w:cs="Courier New" w:eastAsia="Courier New" w:hAnsi="Courier New"/>
                <w:sz w:val="14"/>
                <w:szCs w:val="14"/>
                <w:color w:val="auto"/>
              </w:rPr>
              <w:t>Year Ended December 31, 2000</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180" w:type="dxa"/>
            <w:vAlign w:val="bottom"/>
          </w:tcPr>
          <w:p>
            <w:pPr>
              <w:spacing w:after="0"/>
              <w:rPr>
                <w:sz w:val="14"/>
                <w:szCs w:val="14"/>
                <w:color w:val="auto"/>
              </w:rPr>
            </w:pPr>
          </w:p>
        </w:tc>
        <w:tc>
          <w:tcPr>
            <w:tcW w:w="8160" w:type="dxa"/>
            <w:vAlign w:val="bottom"/>
            <w:gridSpan w:val="9"/>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Pro Forma</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Pro Forma</w:t>
            </w:r>
          </w:p>
        </w:tc>
        <w:tc>
          <w:tcPr>
            <w:tcW w:w="1300" w:type="dxa"/>
            <w:vAlign w:val="bottom"/>
          </w:tcPr>
          <w:p>
            <w:pPr>
              <w:spacing w:after="0"/>
              <w:rPr>
                <w:sz w:val="14"/>
                <w:szCs w:val="14"/>
                <w:color w:val="auto"/>
              </w:rPr>
            </w:pPr>
          </w:p>
        </w:tc>
        <w:tc>
          <w:tcPr>
            <w:tcW w:w="11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for</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Completed</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for</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Pending</w:t>
            </w:r>
          </w:p>
        </w:tc>
        <w:tc>
          <w:tcPr>
            <w:tcW w:w="11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Completed</w:t>
            </w:r>
          </w:p>
        </w:tc>
        <w:tc>
          <w:tcPr>
            <w:tcW w:w="11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Transactions</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Completed</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Transactions</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and Pending</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Offering</w:t>
            </w:r>
          </w:p>
        </w:tc>
        <w:tc>
          <w:tcPr>
            <w:tcW w:w="12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w:t>
            </w:r>
          </w:p>
        </w:tc>
      </w:tr>
      <w:tr>
        <w:trPr>
          <w:trHeight w:val="167"/>
        </w:trPr>
        <w:tc>
          <w:tcPr>
            <w:tcW w:w="2180" w:type="dxa"/>
            <w:vAlign w:val="bottom"/>
          </w:tcPr>
          <w:p>
            <w:pPr>
              <w:spacing w:after="0"/>
              <w:rPr>
                <w:sz w:val="14"/>
                <w:szCs w:val="14"/>
                <w:color w:val="auto"/>
              </w:rPr>
            </w:pPr>
          </w:p>
        </w:tc>
        <w:tc>
          <w:tcPr>
            <w:tcW w:w="7160" w:type="dxa"/>
            <w:vAlign w:val="bottom"/>
            <w:gridSpan w:val="7"/>
          </w:tcPr>
          <w:p>
            <w:pPr>
              <w:jc w:val="right"/>
              <w:ind w:right="68"/>
              <w:spacing w:after="0"/>
              <w:rPr>
                <w:sz w:val="20"/>
                <w:szCs w:val="20"/>
                <w:color w:val="auto"/>
              </w:rPr>
            </w:pPr>
            <w:r>
              <w:rPr>
                <w:rFonts w:ascii="Courier New" w:cs="Courier New" w:eastAsia="Courier New" w:hAnsi="Courier New"/>
                <w:sz w:val="14"/>
                <w:szCs w:val="14"/>
                <w:color w:val="auto"/>
              </w:rPr>
              <w:t>Historical(a) Adjustments(b) Transaction Adjustments(c) Transactions Adjustments</w:t>
            </w:r>
          </w:p>
        </w:tc>
        <w:tc>
          <w:tcPr>
            <w:tcW w:w="1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Adjusted</w:t>
            </w:r>
          </w:p>
        </w:tc>
      </w:tr>
      <w:tr>
        <w:trPr>
          <w:trHeight w:val="167"/>
        </w:trPr>
        <w:tc>
          <w:tcPr>
            <w:tcW w:w="21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(in thousands)</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Statement of Operations: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Net broadcast revenue..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155,666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$ 70,527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$226,193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$31,469</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$257,662</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257,662</w:t>
            </w: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Station operating</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expenses..............</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77,280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30,585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107,865</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21,728</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129,593</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129,593</w:t>
            </w: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Corporate expenses.....</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6,303</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7,213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7,383</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7,383</w:t>
            </w: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Depreciation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amortization..........</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63,207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58,808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122,015</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15,315</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137,330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137,330</w:t>
            </w:r>
          </w:p>
        </w:tc>
      </w:tr>
      <w:tr>
        <w:trPr>
          <w:trHeight w:val="167"/>
        </w:trPr>
        <w:tc>
          <w:tcPr>
            <w:tcW w:w="21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Operating income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(loss)................</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8,876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(19,776)</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(5,744)</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(16,644)</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(16,644)</w:t>
            </w: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32,407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28,316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60,723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4,170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64,893</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1,221(d)</w:t>
            </w:r>
          </w:p>
        </w:tc>
        <w:tc>
          <w:tcPr>
            <w:tcW w:w="12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66,114</w:t>
            </w: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Other income (expense),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net...................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20,084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(20,053)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Income tax expense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(benefit).............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804</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(804)(e)</w:t>
            </w:r>
          </w:p>
        </w:tc>
        <w:tc>
          <w:tcPr>
            <w:tcW w:w="1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Net loss...............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(4,251)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$(68,145)</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$(72,396)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$(9,880)</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$(82,276)</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$(417)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(82,693)</w:t>
            </w:r>
          </w:p>
        </w:tc>
      </w:tr>
      <w:tr>
        <w:trPr>
          <w:trHeight w:val="167"/>
        </w:trPr>
        <w:tc>
          <w:tcPr>
            <w:tcW w:w="21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Net loss applicable to</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common stockholders....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(13,487)</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(102,845)</w:t>
            </w:r>
          </w:p>
        </w:tc>
      </w:tr>
      <w:tr>
        <w:trPr>
          <w:trHeight w:val="167"/>
        </w:trPr>
        <w:tc>
          <w:tcPr>
            <w:tcW w:w="21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Share: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Basic and diluted......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Weighted Average Common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Shares Outstanding</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Basic and diluted......</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84,540</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92,448</w:t>
            </w:r>
          </w:p>
        </w:tc>
      </w:tr>
      <w:tr>
        <w:trPr>
          <w:trHeight w:val="334"/>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Statement of Cash Flows: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Cash flows from:</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Operating activities...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55,686</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Investing activities...</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(1,220,023)</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Financing activities...</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1,178,995</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Broadcast cash flow(f)..</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78,386</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128,069</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Broadcast cash flow</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margin(g)..............</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50.4%</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49.7%</w:t>
            </w: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EBITDA(f)...............</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72,271</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120,874</w:t>
            </w: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EBITDA margin(g)........</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46.4%</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46.9%</w:t>
            </w: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After tax cash flow(f)..</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48,712</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32,675</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Cash interest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expense(h).............</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28,581</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61,034</w:t>
            </w:r>
          </w:p>
        </w:tc>
      </w:tr>
      <w:tr>
        <w:trPr>
          <w:trHeight w:val="167"/>
        </w:trPr>
        <w:tc>
          <w:tcPr>
            <w:tcW w:w="2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Capital expenditures....</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3,665</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5,168</w:t>
            </w:r>
          </w:p>
        </w:tc>
      </w:tr>
      <w:tr>
        <w:trPr>
          <w:trHeight w:val="167"/>
        </w:trPr>
        <w:tc>
          <w:tcPr>
            <w:tcW w:w="4780" w:type="dxa"/>
            <w:vAlign w:val="bottom"/>
            <w:gridSpan w:val="4"/>
          </w:tcPr>
          <w:p>
            <w:pPr>
              <w:spacing w:after="0"/>
              <w:rPr>
                <w:sz w:val="20"/>
                <w:szCs w:val="20"/>
                <w:color w:val="auto"/>
              </w:rPr>
            </w:pPr>
            <w:r>
              <w:rPr>
                <w:rFonts w:ascii="Courier New" w:cs="Courier New" w:eastAsia="Courier New" w:hAnsi="Courier New"/>
                <w:sz w:val="10"/>
                <w:szCs w:val="10"/>
                <w:color w:val="auto"/>
                <w:w w:val="74"/>
              </w:rPr>
              <w:t>Ratio of total debt to EBITDA.............................................................................</w:t>
            </w: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6.4x</w:t>
            </w:r>
          </w:p>
        </w:tc>
      </w:tr>
      <w:tr>
        <w:trPr>
          <w:trHeight w:val="167"/>
        </w:trPr>
        <w:tc>
          <w:tcPr>
            <w:tcW w:w="4780" w:type="dxa"/>
            <w:vAlign w:val="bottom"/>
            <w:gridSpan w:val="4"/>
          </w:tcPr>
          <w:p>
            <w:pPr>
              <w:spacing w:after="0"/>
              <w:rPr>
                <w:sz w:val="20"/>
                <w:szCs w:val="20"/>
                <w:color w:val="auto"/>
              </w:rPr>
            </w:pPr>
            <w:r>
              <w:rPr>
                <w:rFonts w:ascii="Courier New" w:cs="Courier New" w:eastAsia="Courier New" w:hAnsi="Courier New"/>
                <w:sz w:val="10"/>
                <w:szCs w:val="10"/>
                <w:color w:val="auto"/>
                <w:w w:val="74"/>
              </w:rPr>
              <w:t>Ratio of EBITDA to interest expense.......................................................................</w:t>
            </w: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1.8x</w:t>
            </w:r>
          </w:p>
        </w:tc>
      </w:tr>
      <w:tr>
        <w:trPr>
          <w:trHeight w:val="167"/>
        </w:trPr>
        <w:tc>
          <w:tcPr>
            <w:tcW w:w="5780" w:type="dxa"/>
            <w:vAlign w:val="bottom"/>
            <w:gridSpan w:val="5"/>
          </w:tcPr>
          <w:p>
            <w:pPr>
              <w:spacing w:after="0"/>
              <w:rPr>
                <w:sz w:val="20"/>
                <w:szCs w:val="20"/>
                <w:color w:val="auto"/>
              </w:rPr>
            </w:pPr>
            <w:r>
              <w:rPr>
                <w:rFonts w:ascii="Courier New" w:cs="Courier New" w:eastAsia="Courier New" w:hAnsi="Courier New"/>
                <w:sz w:val="12"/>
                <w:szCs w:val="12"/>
                <w:color w:val="auto"/>
                <w:w w:val="75"/>
              </w:rPr>
              <w:t>Ratio of EBITDA to cash interest expense(h)...............................................................</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2.0x</w:t>
            </w:r>
          </w:p>
        </w:tc>
      </w:tr>
      <w:tr>
        <w:trPr>
          <w:trHeight w:val="167"/>
        </w:trPr>
        <w:tc>
          <w:tcPr>
            <w:tcW w:w="4780" w:type="dxa"/>
            <w:vAlign w:val="bottom"/>
            <w:gridSpan w:val="4"/>
          </w:tcPr>
          <w:p>
            <w:pPr>
              <w:spacing w:after="0"/>
              <w:rPr>
                <w:sz w:val="20"/>
                <w:szCs w:val="20"/>
                <w:color w:val="auto"/>
              </w:rPr>
            </w:pPr>
            <w:r>
              <w:rPr>
                <w:rFonts w:ascii="Courier New" w:cs="Courier New" w:eastAsia="Courier New" w:hAnsi="Courier New"/>
                <w:sz w:val="10"/>
                <w:szCs w:val="10"/>
                <w:color w:val="auto"/>
                <w:w w:val="74"/>
              </w:rPr>
              <w:t>Ratio of earnings to fixed charges(i).....................................................................</w:t>
            </w: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jc w:val="right"/>
              <w:ind w:right="1148"/>
              <w:spacing w:after="0"/>
              <w:rPr>
                <w:sz w:val="20"/>
                <w:szCs w:val="20"/>
                <w:color w:val="auto"/>
              </w:rPr>
            </w:pPr>
            <w:r>
              <w:rPr>
                <w:rFonts w:ascii="Courier New" w:cs="Courier New" w:eastAsia="Courier New" w:hAnsi="Courier New"/>
                <w:sz w:val="14"/>
                <w:szCs w:val="14"/>
                <w:color w:val="auto"/>
                <w:w w:val="83"/>
              </w:rPr>
              <w:t>31</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340"/>
          </w:cols>
          <w:pgMar w:left="220" w:top="620" w:right="1339" w:bottom="1440" w:gutter="0" w:footer="0" w:header="0"/>
        </w:sectPr>
      </w:pPr>
    </w:p>
    <w:bookmarkStart w:id="36" w:name="page37"/>
    <w:bookmarkEnd w:id="36"/>
    <w:p>
      <w:pPr>
        <w:spacing w:after="0" w:line="1" w:lineRule="exact"/>
        <w:rPr>
          <w:sz w:val="20"/>
          <w:szCs w:val="20"/>
          <w:color w:val="auto"/>
        </w:rPr>
      </w:pPr>
    </w:p>
    <w:p>
      <w:pPr>
        <w:ind w:right="4260"/>
        <w:spacing w:after="0" w:line="258" w:lineRule="auto"/>
        <w:rPr>
          <w:sz w:val="20"/>
          <w:szCs w:val="20"/>
          <w:color w:val="auto"/>
        </w:rPr>
      </w:pPr>
      <w:r>
        <w:rPr>
          <w:rFonts w:ascii="Courier New" w:cs="Courier New" w:eastAsia="Courier New" w:hAnsi="Courier New"/>
          <w:sz w:val="14"/>
          <w:szCs w:val="14"/>
          <w:color w:val="auto"/>
        </w:rPr>
        <w:t>Footnotes for the Unaudited Pro Forma Consolidated Statement of Operations and Other Data for the Year Ended December 31, 2000</w:t>
      </w:r>
    </w:p>
    <w:p>
      <w:pPr>
        <w:spacing w:after="0" w:line="160" w:lineRule="exact"/>
        <w:rPr>
          <w:sz w:val="20"/>
          <w:szCs w:val="20"/>
          <w:color w:val="auto"/>
        </w:rPr>
      </w:pPr>
    </w:p>
    <w:p>
      <w:pPr>
        <w:ind w:left="520" w:right="4260" w:hanging="424"/>
        <w:spacing w:after="0" w:line="252" w:lineRule="auto"/>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the consolidated financial statements incorporated by reference into this prospectus.</w:t>
      </w:r>
    </w:p>
    <w:p>
      <w:pPr>
        <w:ind w:left="520" w:right="4260" w:hanging="424"/>
        <w:spacing w:after="0" w:line="253" w:lineRule="auto"/>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table below gives effect to the acquisitions completed during the period January 1, 2000 through December 31, 2000, as if they occurred on January 1, 2000. The operating results include activities of these entities during 2000 prior to the period acquired by Radio One. The 2000 operating results after the acquisition by Radio One are included in the Radio One historical amounts: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Historical</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938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WPLY</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Davis</w:t>
            </w: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Shirk</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AMFM</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Clear Channel</w:t>
            </w:r>
          </w:p>
        </w:tc>
        <w:tc>
          <w:tcPr>
            <w:tcW w:w="16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Pro Forma</w:t>
            </w:r>
          </w:p>
        </w:tc>
        <w:tc>
          <w:tcPr>
            <w:tcW w:w="84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8540" w:type="dxa"/>
            <w:vAlign w:val="bottom"/>
            <w:gridSpan w:val="7"/>
          </w:tcPr>
          <w:p>
            <w:pPr>
              <w:jc w:val="right"/>
              <w:ind w:right="128"/>
              <w:spacing w:after="0"/>
              <w:rPr>
                <w:sz w:val="20"/>
                <w:szCs w:val="20"/>
                <w:color w:val="auto"/>
              </w:rPr>
            </w:pPr>
            <w:r>
              <w:rPr>
                <w:rFonts w:ascii="Courier New" w:cs="Courier New" w:eastAsia="Courier New" w:hAnsi="Courier New"/>
                <w:sz w:val="14"/>
                <w:szCs w:val="14"/>
                <w:color w:val="auto"/>
              </w:rPr>
              <w:t>Historical(/1/) Historical(/2/) Historical(/3/) Historical(/4/) Historical(/4/) Adjustments(/5/)</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660" w:type="dxa"/>
            <w:vAlign w:val="bottom"/>
          </w:tcPr>
          <w:p>
            <w:pPr>
              <w:spacing w:after="0"/>
              <w:rPr>
                <w:sz w:val="14"/>
                <w:szCs w:val="14"/>
                <w:color w:val="auto"/>
              </w:rPr>
            </w:pPr>
          </w:p>
        </w:tc>
        <w:tc>
          <w:tcPr>
            <w:tcW w:w="5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 ---------------</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 thousands)</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Statement of</w:t>
            </w: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1660" w:type="dxa"/>
            <w:vAlign w:val="bottom"/>
          </w:tcPr>
          <w:p>
            <w:pPr>
              <w:ind w:left="100"/>
              <w:spacing w:after="0"/>
              <w:rPr>
                <w:sz w:val="20"/>
                <w:szCs w:val="20"/>
                <w:color w:val="auto"/>
              </w:rPr>
            </w:pPr>
            <w:r>
              <w:rPr>
                <w:rFonts w:ascii="Courier New" w:cs="Courier New" w:eastAsia="Courier New" w:hAnsi="Courier New"/>
                <w:sz w:val="14"/>
                <w:szCs w:val="14"/>
                <w:color w:val="auto"/>
              </w:rPr>
              <w:t>Operations:</w:t>
            </w: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Net broadcast</w:t>
            </w: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ind w:left="100"/>
              <w:spacing w:after="0"/>
              <w:rPr>
                <w:sz w:val="20"/>
                <w:szCs w:val="20"/>
                <w:color w:val="auto"/>
              </w:rPr>
            </w:pPr>
            <w:r>
              <w:rPr>
                <w:rFonts w:ascii="Courier New" w:cs="Courier New" w:eastAsia="Courier New" w:hAnsi="Courier New"/>
                <w:sz w:val="14"/>
                <w:szCs w:val="14"/>
                <w:color w:val="auto"/>
              </w:rPr>
              <w:t>revenue.........</w:t>
            </w:r>
          </w:p>
        </w:tc>
        <w:tc>
          <w:tcPr>
            <w:tcW w:w="17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$1,405</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9"/>
              </w:rPr>
              <w:t>$1,534</w:t>
            </w: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w w:val="99"/>
              </w:rPr>
              <w:t>$2,189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$32,246</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$33,153</w:t>
            </w:r>
          </w:p>
        </w:tc>
        <w:tc>
          <w:tcPr>
            <w:tcW w:w="480" w:type="dxa"/>
            <w:vAlign w:val="bottom"/>
          </w:tcPr>
          <w:p>
            <w:pPr>
              <w:ind w:left="38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$ 70,527</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Station operating</w:t>
            </w: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ind w:left="100"/>
              <w:spacing w:after="0"/>
              <w:rPr>
                <w:sz w:val="20"/>
                <w:szCs w:val="20"/>
                <w:color w:val="auto"/>
              </w:rPr>
            </w:pPr>
            <w:r>
              <w:rPr>
                <w:rFonts w:ascii="Courier New" w:cs="Courier New" w:eastAsia="Courier New" w:hAnsi="Courier New"/>
                <w:sz w:val="14"/>
                <w:szCs w:val="14"/>
                <w:color w:val="auto"/>
              </w:rPr>
              <w:t>expenses........</w:t>
            </w:r>
          </w:p>
        </w:tc>
        <w:tc>
          <w:tcPr>
            <w:tcW w:w="17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726</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961</w:t>
            </w: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1,539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15,342</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12,138</w:t>
            </w:r>
          </w:p>
        </w:tc>
        <w:tc>
          <w:tcPr>
            <w:tcW w:w="4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(121)(/6/)</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30,585</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7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117</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49</w:t>
            </w: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8</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736(/7/)</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910</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ind w:left="100"/>
              <w:spacing w:after="0"/>
              <w:rPr>
                <w:sz w:val="20"/>
                <w:szCs w:val="20"/>
                <w:color w:val="auto"/>
              </w:rPr>
            </w:pPr>
            <w:r>
              <w:rPr>
                <w:rFonts w:ascii="Courier New" w:cs="Courier New" w:eastAsia="Courier New" w:hAnsi="Courier New"/>
                <w:sz w:val="14"/>
                <w:szCs w:val="14"/>
                <w:color w:val="auto"/>
              </w:rPr>
              <w:t>amortization....</w:t>
            </w:r>
          </w:p>
        </w:tc>
        <w:tc>
          <w:tcPr>
            <w:tcW w:w="17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6</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135</w:t>
            </w: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160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5,947</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3,488</w:t>
            </w:r>
          </w:p>
        </w:tc>
        <w:tc>
          <w:tcPr>
            <w:tcW w:w="4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49,072(/8/)</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58,808</w:t>
            </w:r>
          </w:p>
        </w:tc>
      </w:tr>
      <w:tr>
        <w:trPr>
          <w:trHeight w:val="167"/>
        </w:trPr>
        <w:tc>
          <w:tcPr>
            <w:tcW w:w="1660" w:type="dxa"/>
            <w:vAlign w:val="bottom"/>
          </w:tcPr>
          <w:p>
            <w:pPr>
              <w:spacing w:after="0"/>
              <w:rPr>
                <w:sz w:val="14"/>
                <w:szCs w:val="14"/>
                <w:color w:val="auto"/>
              </w:rPr>
            </w:pPr>
          </w:p>
        </w:tc>
        <w:tc>
          <w:tcPr>
            <w:tcW w:w="17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9"/>
              </w:rPr>
              <w:t>------</w:t>
            </w: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ind w:left="100"/>
              <w:spacing w:after="0"/>
              <w:rPr>
                <w:sz w:val="20"/>
                <w:szCs w:val="20"/>
                <w:color w:val="auto"/>
              </w:rPr>
            </w:pPr>
            <w:r>
              <w:rPr>
                <w:rFonts w:ascii="Courier New" w:cs="Courier New" w:eastAsia="Courier New" w:hAnsi="Courier New"/>
                <w:sz w:val="14"/>
                <w:szCs w:val="14"/>
                <w:color w:val="auto"/>
              </w:rPr>
              <w:t>Operating income</w:t>
            </w: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(loss).........</w:t>
            </w:r>
          </w:p>
        </w:tc>
        <w:tc>
          <w:tcPr>
            <w:tcW w:w="17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556</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389</w:t>
            </w: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482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10,957</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17,527</w:t>
            </w:r>
          </w:p>
        </w:tc>
        <w:tc>
          <w:tcPr>
            <w:tcW w:w="48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(49,687)</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(19,776)</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ind w:left="100"/>
              <w:spacing w:after="0"/>
              <w:rPr>
                <w:sz w:val="20"/>
                <w:szCs w:val="20"/>
                <w:color w:val="auto"/>
              </w:rPr>
            </w:pPr>
            <w:r>
              <w:rPr>
                <w:rFonts w:ascii="Courier New" w:cs="Courier New" w:eastAsia="Courier New" w:hAnsi="Courier New"/>
                <w:sz w:val="14"/>
                <w:szCs w:val="14"/>
                <w:color w:val="auto"/>
              </w:rPr>
              <w:t>expense.........</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85</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28,231(/9/)</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28,316</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ind w:left="100"/>
              <w:spacing w:after="0"/>
              <w:rPr>
                <w:sz w:val="20"/>
                <w:szCs w:val="20"/>
                <w:color w:val="auto"/>
              </w:rPr>
            </w:pPr>
            <w:r>
              <w:rPr>
                <w:rFonts w:ascii="Courier New" w:cs="Courier New" w:eastAsia="Courier New" w:hAnsi="Courier New"/>
                <w:sz w:val="14"/>
                <w:szCs w:val="14"/>
                <w:color w:val="auto"/>
              </w:rPr>
              <w:t>(expense), net..</w:t>
            </w:r>
          </w:p>
        </w:tc>
        <w:tc>
          <w:tcPr>
            <w:tcW w:w="17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9</w:t>
            </w:r>
          </w:p>
        </w:tc>
        <w:tc>
          <w:tcPr>
            <w:tcW w:w="1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(20,084)(/10/)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(20,053)</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ind w:left="100"/>
              <w:spacing w:after="0"/>
              <w:rPr>
                <w:sz w:val="20"/>
                <w:szCs w:val="20"/>
                <w:color w:val="auto"/>
              </w:rPr>
            </w:pPr>
            <w:r>
              <w:rPr>
                <w:rFonts w:ascii="Courier New" w:cs="Courier New" w:eastAsia="Courier New" w:hAnsi="Courier New"/>
                <w:sz w:val="14"/>
                <w:szCs w:val="14"/>
                <w:color w:val="auto"/>
              </w:rPr>
              <w:t>allocation......</w:t>
            </w:r>
          </w:p>
        </w:tc>
        <w:tc>
          <w:tcPr>
            <w:tcW w:w="17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(4,382)</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(7,011)</w:t>
            </w:r>
          </w:p>
        </w:tc>
        <w:tc>
          <w:tcPr>
            <w:tcW w:w="4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11,393(/11/)</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spacing w:after="0"/>
              <w:rPr>
                <w:sz w:val="14"/>
                <w:szCs w:val="14"/>
                <w:color w:val="auto"/>
              </w:rPr>
            </w:pPr>
          </w:p>
        </w:tc>
        <w:tc>
          <w:tcPr>
            <w:tcW w:w="17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9"/>
              </w:rPr>
              <w:t>------</w:t>
            </w: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66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(loss).........</w:t>
            </w:r>
          </w:p>
        </w:tc>
        <w:tc>
          <w:tcPr>
            <w:tcW w:w="17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  565</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9"/>
              </w:rPr>
              <w:t>$  389</w:t>
            </w: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w w:val="99"/>
              </w:rPr>
              <w:t>$  419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$ 6,575</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$10,516</w:t>
            </w:r>
          </w:p>
        </w:tc>
        <w:tc>
          <w:tcPr>
            <w:tcW w:w="16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$(86,609)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$(68,145)</w:t>
            </w:r>
          </w:p>
        </w:tc>
      </w:tr>
      <w:tr>
        <w:trPr>
          <w:trHeight w:val="167"/>
        </w:trPr>
        <w:tc>
          <w:tcPr>
            <w:tcW w:w="1660" w:type="dxa"/>
            <w:vAlign w:val="bottom"/>
          </w:tcPr>
          <w:p>
            <w:pPr>
              <w:spacing w:after="0"/>
              <w:rPr>
                <w:sz w:val="14"/>
                <w:szCs w:val="14"/>
                <w:color w:val="auto"/>
              </w:rPr>
            </w:pPr>
          </w:p>
        </w:tc>
        <w:tc>
          <w:tcPr>
            <w:tcW w:w="174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9"/>
              </w:rPr>
              <w:t>======</w:t>
            </w:r>
          </w:p>
        </w:tc>
        <w:tc>
          <w:tcPr>
            <w:tcW w:w="1400" w:type="dxa"/>
            <w:vAlign w:val="bottom"/>
          </w:tcPr>
          <w:p>
            <w:pPr>
              <w:jc w:val="right"/>
              <w:ind w:right="80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704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(/1/)The column represents the historical results of operations for the period</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ended February 28, 2000, that were obtained from unaudited financial</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ind w:left="520"/>
              <w:spacing w:after="0"/>
              <w:rPr>
                <w:sz w:val="20"/>
                <w:szCs w:val="20"/>
                <w:color w:val="auto"/>
              </w:rPr>
            </w:pPr>
            <w:r>
              <w:rPr>
                <w:rFonts w:ascii="Courier New" w:cs="Courier New" w:eastAsia="Courier New" w:hAnsi="Courier New"/>
                <w:sz w:val="14"/>
                <w:szCs w:val="14"/>
                <w:color w:val="auto"/>
              </w:rPr>
              <w:t>statements.</w:t>
            </w: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(/2/)The column represents the historical results of operations for the period</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ended June 7, 2000, the date the stations were purchased by Radio One. As</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these stations acquired did not prepare stand-alone financial statements,</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these financial statements were carved out from a larger entity and</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include the direct revenue and expenses charged to those stations and an</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allocation of those expenses which benefitted the stations but were not</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directly charged to the stations. As these results of operations include</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allocated expenses, these financial statements do not represent what the</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results from operations would have been if the stations operated on a</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stand-alone basis or what they would have been if they were owned by</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ind w:left="520"/>
              <w:spacing w:after="0"/>
              <w:rPr>
                <w:sz w:val="20"/>
                <w:szCs w:val="20"/>
                <w:color w:val="auto"/>
              </w:rPr>
            </w:pPr>
            <w:r>
              <w:rPr>
                <w:rFonts w:ascii="Courier New" w:cs="Courier New" w:eastAsia="Courier New" w:hAnsi="Courier New"/>
                <w:sz w:val="14"/>
                <w:szCs w:val="14"/>
                <w:color w:val="auto"/>
              </w:rPr>
              <w:t>Radio One.</w:t>
            </w: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(/3/)The column represents the historical results of operations for the period</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ended June 8, 2000, the date the stations were purchased by Radio One,</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that were obtained from unaudited financial statements of Shirk, Inc. and</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ind w:left="520"/>
              <w:spacing w:after="0"/>
              <w:rPr>
                <w:sz w:val="20"/>
                <w:szCs w:val="20"/>
                <w:color w:val="auto"/>
              </w:rPr>
            </w:pPr>
            <w:r>
              <w:rPr>
                <w:rFonts w:ascii="Courier New" w:cs="Courier New" w:eastAsia="Courier New" w:hAnsi="Courier New"/>
                <w:sz w:val="14"/>
                <w:szCs w:val="14"/>
                <w:color w:val="auto"/>
              </w:rPr>
              <w:t>IBL, L.L.C.</w:t>
            </w: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618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(/4/)The column represents the historical results of operations of the</w:t>
            </w: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stations for the period ended August 25, 2000, the date the stations were</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purchased by Radio One. See the financial statements incorporated by</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34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reference into this prospectus.</w:t>
            </w: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(/5/)Pro forma adjustments related to the sale of KJOI-AM (formerly KLUV-AM)</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for $16.0 million have not been included in this statement of operations</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as the activity for the year ended December 31, 2000 is not significant</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7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as KJOI-AM was purchased on September 25, 2000.</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(/6/)To eliminate expenses which Radio One does not expect to incur going</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618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forward, which consist primarily of corporate officers' salaries.</w:t>
            </w: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(/7/)To record additional corporate expenses of $910,000 which Radio One</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expects to incur related to the acquisitions and to eliminate $174,000 in</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618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corporate expenses which Radio One does not expect to incur going</w:t>
            </w: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ind w:left="520"/>
              <w:spacing w:after="0"/>
              <w:rPr>
                <w:sz w:val="20"/>
                <w:szCs w:val="20"/>
                <w:color w:val="auto"/>
              </w:rPr>
            </w:pPr>
            <w:r>
              <w:rPr>
                <w:rFonts w:ascii="Courier New" w:cs="Courier New" w:eastAsia="Courier New" w:hAnsi="Courier New"/>
                <w:sz w:val="14"/>
                <w:szCs w:val="14"/>
                <w:color w:val="auto"/>
              </w:rPr>
              <w:t>forward.</w:t>
            </w: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(/8/)To record additional depreciation and amortization expense that would</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have been recorded if the acquisitions had occurred and the payment of</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7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the additional $4.0 million purchase price of Richmond II based on the</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7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earn out provision calculated as follows:</w:t>
            </w: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68"/>
        </w:trPr>
        <w:tc>
          <w:tcPr>
            <w:tcW w:w="61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Excess purchase price over tangible assets acquired of WPLY-FM,</w:t>
            </w: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34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Davis, Shirk, AMFM</w:t>
            </w: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61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and Clear Channel amortized over 15 years.........................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$58,523</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61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Additional purchase price paid for Richmond II of $4.0 million</w:t>
            </w: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780" w:type="dxa"/>
            <w:vAlign w:val="bottom"/>
            <w:gridSpan w:val="3"/>
          </w:tcPr>
          <w:p>
            <w:pPr>
              <w:ind w:left="440"/>
              <w:spacing w:after="0"/>
              <w:rPr>
                <w:sz w:val="20"/>
                <w:szCs w:val="20"/>
                <w:color w:val="auto"/>
              </w:rPr>
            </w:pPr>
            <w:r>
              <w:rPr>
                <w:rFonts w:ascii="Courier New" w:cs="Courier New" w:eastAsia="Courier New" w:hAnsi="Courier New"/>
                <w:sz w:val="14"/>
                <w:szCs w:val="14"/>
                <w:color w:val="auto"/>
                <w:w w:val="79"/>
              </w:rPr>
              <w:t>amortized over 15 years..........................................</w:t>
            </w:r>
          </w:p>
        </w:tc>
        <w:tc>
          <w:tcPr>
            <w:tcW w:w="1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61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Amortization of the $3.5 million in acquisition costs over 15</w:t>
            </w: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3400" w:type="dxa"/>
            <w:vAlign w:val="bottom"/>
            <w:gridSpan w:val="2"/>
          </w:tcPr>
          <w:p>
            <w:pPr>
              <w:ind w:left="440"/>
              <w:spacing w:after="0"/>
              <w:rPr>
                <w:sz w:val="20"/>
                <w:szCs w:val="20"/>
                <w:color w:val="auto"/>
              </w:rPr>
            </w:pPr>
            <w:r>
              <w:rPr>
                <w:rFonts w:ascii="Courier New" w:cs="Courier New" w:eastAsia="Courier New" w:hAnsi="Courier New"/>
                <w:sz w:val="10"/>
                <w:szCs w:val="10"/>
                <w:color w:val="auto"/>
                <w:w w:val="75"/>
              </w:rPr>
              <w:t>years............................................................</w:t>
            </w: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61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Less: Previously recorded amortization expense....................</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9,736</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3400" w:type="dxa"/>
            <w:vAlign w:val="bottom"/>
            <w:gridSpan w:val="2"/>
          </w:tcPr>
          <w:p>
            <w:pPr>
              <w:ind w:left="520"/>
              <w:spacing w:after="0"/>
              <w:rPr>
                <w:sz w:val="20"/>
                <w:szCs w:val="20"/>
                <w:color w:val="auto"/>
              </w:rPr>
            </w:pPr>
            <w:r>
              <w:rPr>
                <w:rFonts w:ascii="Courier New" w:cs="Courier New" w:eastAsia="Courier New" w:hAnsi="Courier New"/>
                <w:sz w:val="10"/>
                <w:szCs w:val="10"/>
                <w:color w:val="auto"/>
                <w:w w:val="74"/>
              </w:rPr>
              <w:t>Total...........................................................</w:t>
            </w: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$49,072</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ectPr>
          <w:pgSz w:w="11900" w:h="16839" w:orient="portrait"/>
          <w:cols w:equalWidth="0" w:num="1">
            <w:col w:w="11040"/>
          </w:cols>
          <w:pgMar w:left="220" w:top="620" w:right="639" w:bottom="0" w:gutter="0" w:footer="0" w:header="0"/>
        </w:sectPr>
      </w:pPr>
    </w:p>
    <w:bookmarkStart w:id="37" w:name="page38"/>
    <w:bookmarkEnd w:id="37"/>
    <w:p>
      <w:pPr>
        <w:ind w:left="2180"/>
        <w:spacing w:after="0"/>
        <w:rPr>
          <w:sz w:val="20"/>
          <w:szCs w:val="20"/>
          <w:color w:val="auto"/>
        </w:rPr>
      </w:pPr>
      <w:r>
        <w:rPr>
          <w:rFonts w:ascii="Courier New" w:cs="Courier New" w:eastAsia="Courier New" w:hAnsi="Courier New"/>
          <w:sz w:val="13"/>
          <w:szCs w:val="13"/>
          <w:color w:val="auto"/>
        </w:rPr>
        <w:t>32</w:t>
      </w:r>
    </w:p>
    <w:p>
      <w:pPr>
        <w:sectPr>
          <w:pgSz w:w="11900" w:h="16838" w:orient="portrait"/>
          <w:cols w:equalWidth="0" w:num="1">
            <w:col w:w="9019"/>
          </w:cols>
          <w:pgMar w:left="1440" w:top="475" w:right="1440" w:bottom="1440" w:gutter="0" w:footer="0" w:header="0"/>
        </w:sectPr>
      </w:pPr>
    </w:p>
    <w:bookmarkStart w:id="38" w:name="page39"/>
    <w:bookmarkEnd w:id="38"/>
    <w:p>
      <w:pPr>
        <w:ind w:left="520" w:right="3820" w:hanging="433"/>
        <w:spacing w:after="0" w:line="255" w:lineRule="auto"/>
        <w:rPr>
          <w:sz w:val="20"/>
          <w:szCs w:val="20"/>
          <w:color w:val="auto"/>
        </w:rPr>
      </w:pPr>
      <w:r>
        <w:rPr>
          <w:rFonts w:ascii="Courier New" w:cs="Courier New" w:eastAsia="Courier New" w:hAnsi="Courier New"/>
          <w:sz w:val="14"/>
          <w:szCs w:val="14"/>
          <w:color w:val="auto"/>
        </w:rPr>
        <w:t>(/9/)To reflect the interest expense on the bank credit facility, to record the amortization of deferred finance costs and to eliminate interest expenses of the entities purchased.</w:t>
      </w: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Assumed $570.0 million used of the line of credit at 7.5% to fund</w:t>
      </w:r>
    </w:p>
    <w:p>
      <w:pPr>
        <w:spacing w:after="0" w:line="8" w:lineRule="exact"/>
        <w:rPr>
          <w:sz w:val="20"/>
          <w:szCs w:val="20"/>
          <w:color w:val="auto"/>
        </w:rPr>
      </w:pPr>
    </w:p>
    <w:p>
      <w:pPr>
        <w:ind w:left="440"/>
        <w:spacing w:after="0"/>
        <w:tabs>
          <w:tab w:leader="dot" w:pos="6160" w:val="left"/>
        </w:tabs>
        <w:rPr>
          <w:sz w:val="20"/>
          <w:szCs w:val="20"/>
          <w:color w:val="auto"/>
        </w:rPr>
      </w:pPr>
      <w:r>
        <w:rPr>
          <w:rFonts w:ascii="Courier New" w:cs="Courier New" w:eastAsia="Courier New" w:hAnsi="Courier New"/>
          <w:sz w:val="14"/>
          <w:szCs w:val="14"/>
          <w:color w:val="auto"/>
        </w:rPr>
        <w:t>the acquisitions</w:t>
      </w:r>
      <w:r>
        <w:rPr>
          <w:sz w:val="20"/>
          <w:szCs w:val="20"/>
          <w:color w:val="auto"/>
        </w:rPr>
        <w:tab/>
      </w:r>
      <w:r>
        <w:rPr>
          <w:rFonts w:ascii="Courier New" w:cs="Courier New" w:eastAsia="Courier New" w:hAnsi="Courier New"/>
          <w:sz w:val="14"/>
          <w:szCs w:val="14"/>
          <w:color w:val="auto"/>
        </w:rPr>
        <w:t>$27,787</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Amortization of the $5.7 million in financing costs using the</w:t>
      </w:r>
    </w:p>
    <w:p>
      <w:pPr>
        <w:spacing w:after="0" w:line="8" w:lineRule="exact"/>
        <w:rPr>
          <w:sz w:val="20"/>
          <w:szCs w:val="20"/>
          <w:color w:val="auto"/>
        </w:rPr>
      </w:pPr>
    </w:p>
    <w:p>
      <w:pPr>
        <w:ind w:left="440"/>
        <w:spacing w:after="0"/>
        <w:tabs>
          <w:tab w:leader="dot" w:pos="6500" w:val="left"/>
        </w:tabs>
        <w:rPr>
          <w:sz w:val="20"/>
          <w:szCs w:val="20"/>
          <w:color w:val="auto"/>
        </w:rPr>
      </w:pPr>
      <w:r>
        <w:rPr>
          <w:rFonts w:ascii="Courier New" w:cs="Courier New" w:eastAsia="Courier New" w:hAnsi="Courier New"/>
          <w:sz w:val="14"/>
          <w:szCs w:val="14"/>
          <w:color w:val="auto"/>
        </w:rPr>
        <w:t>effective interest method</w:t>
      </w:r>
      <w:r>
        <w:rPr>
          <w:sz w:val="20"/>
          <w:szCs w:val="20"/>
          <w:color w:val="auto"/>
        </w:rPr>
        <w:tab/>
      </w:r>
      <w:r>
        <w:rPr>
          <w:rFonts w:ascii="Courier New" w:cs="Courier New" w:eastAsia="Courier New" w:hAnsi="Courier New"/>
          <w:sz w:val="14"/>
          <w:szCs w:val="14"/>
          <w:color w:val="auto"/>
        </w:rPr>
        <w:t>529</w:t>
      </w:r>
    </w:p>
    <w:p>
      <w:pPr>
        <w:spacing w:after="0" w:line="8" w:lineRule="exact"/>
        <w:rPr>
          <w:sz w:val="20"/>
          <w:szCs w:val="20"/>
          <w:color w:val="auto"/>
        </w:rPr>
      </w:pPr>
    </w:p>
    <w:p>
      <w:pPr>
        <w:ind w:left="360"/>
        <w:spacing w:after="0"/>
        <w:tabs>
          <w:tab w:leader="dot" w:pos="6580" w:val="left"/>
        </w:tabs>
        <w:rPr>
          <w:sz w:val="20"/>
          <w:szCs w:val="20"/>
          <w:color w:val="auto"/>
        </w:rPr>
      </w:pPr>
      <w:r>
        <w:rPr>
          <w:rFonts w:ascii="Courier New" w:cs="Courier New" w:eastAsia="Courier New" w:hAnsi="Courier New"/>
          <w:sz w:val="14"/>
          <w:szCs w:val="14"/>
          <w:color w:val="auto"/>
        </w:rPr>
        <w:t>Less: Interest expense that would not have been incurred</w:t>
      </w:r>
      <w:r>
        <w:rPr>
          <w:sz w:val="20"/>
          <w:szCs w:val="20"/>
          <w:color w:val="auto"/>
        </w:rPr>
        <w:tab/>
      </w:r>
      <w:r>
        <w:rPr>
          <w:rFonts w:ascii="Courier New" w:cs="Courier New" w:eastAsia="Courier New" w:hAnsi="Courier New"/>
          <w:sz w:val="14"/>
          <w:szCs w:val="14"/>
          <w:color w:val="auto"/>
        </w:rPr>
        <w:t>85</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20"/>
        <w:spacing w:after="0"/>
        <w:tabs>
          <w:tab w:leader="dot" w:pos="616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$28,231</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520" w:right="3640" w:hanging="520"/>
        <w:spacing w:after="0" w:line="252" w:lineRule="auto"/>
        <w:rPr>
          <w:sz w:val="20"/>
          <w:szCs w:val="20"/>
          <w:color w:val="auto"/>
        </w:rPr>
      </w:pPr>
      <w:r>
        <w:rPr>
          <w:rFonts w:ascii="Courier New" w:cs="Courier New" w:eastAsia="Courier New" w:hAnsi="Courier New"/>
          <w:sz w:val="14"/>
          <w:szCs w:val="14"/>
          <w:color w:val="auto"/>
        </w:rPr>
        <w:t>(/10/)To eliminate Radio One's historical interest income as excess cash would have been used to partially finance the acquisitions.</w:t>
      </w:r>
    </w:p>
    <w:p>
      <w:pPr>
        <w:spacing w:after="0" w:line="1" w:lineRule="exact"/>
        <w:rPr>
          <w:sz w:val="20"/>
          <w:szCs w:val="20"/>
          <w:color w:val="auto"/>
        </w:rPr>
      </w:pPr>
    </w:p>
    <w:p>
      <w:pPr>
        <w:ind w:left="520" w:right="3720" w:hanging="520"/>
        <w:spacing w:after="0" w:line="252" w:lineRule="auto"/>
        <w:rPr>
          <w:sz w:val="20"/>
          <w:szCs w:val="20"/>
          <w:color w:val="auto"/>
        </w:rPr>
      </w:pPr>
      <w:r>
        <w:rPr>
          <w:rFonts w:ascii="Courier New" w:cs="Courier New" w:eastAsia="Courier New" w:hAnsi="Courier New"/>
          <w:sz w:val="14"/>
          <w:szCs w:val="14"/>
          <w:color w:val="auto"/>
        </w:rPr>
        <w:t>(/11/)To eliminate the historical tax expense as Radio One would have had a net loss as to which it would have provided a 100% valuation reserve to offset the deferred income tax benefit.</w:t>
      </w:r>
    </w:p>
    <w:p>
      <w:pPr>
        <w:spacing w:after="0" w:line="1" w:lineRule="exact"/>
        <w:rPr>
          <w:sz w:val="20"/>
          <w:szCs w:val="20"/>
          <w:color w:val="auto"/>
        </w:rPr>
      </w:pPr>
    </w:p>
    <w:p>
      <w:pPr>
        <w:ind w:left="440" w:right="3820" w:hanging="431"/>
        <w:spacing w:after="0" w:line="258" w:lineRule="auto"/>
        <w:tabs>
          <w:tab w:leader="none" w:pos="4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table below gives effect to the acquisitions pending as of December 31, 2000.</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Richmond III</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Blue Chip</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Adjusted</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Pro Forma</w:t>
            </w:r>
          </w:p>
        </w:tc>
        <w:tc>
          <w:tcPr>
            <w:tcW w:w="740" w:type="dxa"/>
            <w:vAlign w:val="bottom"/>
          </w:tcPr>
          <w:p>
            <w:pPr>
              <w:spacing w:after="0"/>
              <w:rPr>
                <w:sz w:val="14"/>
                <w:szCs w:val="14"/>
                <w:color w:val="auto"/>
              </w:rPr>
            </w:pPr>
          </w:p>
        </w:tc>
      </w:tr>
      <w:tr>
        <w:trPr>
          <w:trHeight w:val="167"/>
        </w:trPr>
        <w:tc>
          <w:tcPr>
            <w:tcW w:w="9680" w:type="dxa"/>
            <w:vAlign w:val="bottom"/>
            <w:gridSpan w:val="7"/>
          </w:tcPr>
          <w:p>
            <w:pPr>
              <w:ind w:left="2260"/>
              <w:spacing w:after="0"/>
              <w:rPr>
                <w:sz w:val="20"/>
                <w:szCs w:val="20"/>
                <w:color w:val="auto"/>
              </w:rPr>
            </w:pPr>
            <w:r>
              <w:rPr>
                <w:rFonts w:ascii="Courier New" w:cs="Courier New" w:eastAsia="Courier New" w:hAnsi="Courier New"/>
                <w:sz w:val="14"/>
                <w:szCs w:val="14"/>
                <w:color w:val="auto"/>
              </w:rPr>
              <w:t>Historical(/1/) Historical(/2/) WFIA-AM(/3/) Lexington(/4/) Blue Chip Adjustments</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660" w:type="dxa"/>
            <w:vAlign w:val="bottom"/>
            <w:gridSpan w:val="2"/>
          </w:tcPr>
          <w:p>
            <w:pPr>
              <w:ind w:left="22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 --------------</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Statement of Operations:</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Net broadcast revenues..</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$32,214</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294</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$31,469</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$31,469</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Station operating</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expenses...............</w:t>
            </w: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22,943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22,041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(313)(/5/)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21,728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Corporate expenses......</w:t>
            </w: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2,060</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(1,890)(/5/)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amortization...........</w:t>
            </w: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7,515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7,094</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8,221(/6/)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15,315</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Asset Impairment Loss...</w:t>
            </w: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2,560</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14"/>
                <w:szCs w:val="14"/>
                <w:color w:val="auto"/>
              </w:rPr>
            </w:pP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Operating income</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(loss)................</w:t>
            </w: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(2,864)</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(3,117)</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274</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(6,018)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(5,744)</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6,321</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6,321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(2,151)(/7/)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4,170</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167"/>
        </w:trPr>
        <w:tc>
          <w:tcPr>
            <w:tcW w:w="2360" w:type="dxa"/>
            <w:vAlign w:val="bottom"/>
          </w:tcPr>
          <w:p>
            <w:pPr>
              <w:spacing w:after="0"/>
              <w:rPr>
                <w:sz w:val="14"/>
                <w:szCs w:val="14"/>
                <w:color w:val="auto"/>
              </w:rPr>
            </w:pP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Net income (loss)......</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$(9,146)</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$(6,013)</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$(3,867)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$(9,880)</w:t>
            </w:r>
          </w:p>
        </w:tc>
      </w:tr>
      <w:tr>
        <w:trPr>
          <w:trHeight w:val="167"/>
        </w:trPr>
        <w:tc>
          <w:tcPr>
            <w:tcW w:w="2360" w:type="dxa"/>
            <w:vAlign w:val="bottom"/>
          </w:tcPr>
          <w:p>
            <w:pPr>
              <w:spacing w:after="0"/>
              <w:rPr>
                <w:sz w:val="14"/>
                <w:szCs w:val="14"/>
                <w:color w:val="auto"/>
              </w:rPr>
            </w:pP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7300" w:type="dxa"/>
            <w:vAlign w:val="bottom"/>
            <w:gridSpan w:val="5"/>
          </w:tcPr>
          <w:p>
            <w:pPr>
              <w:spacing w:after="0"/>
              <w:rPr>
                <w:sz w:val="20"/>
                <w:szCs w:val="20"/>
                <w:color w:val="auto"/>
              </w:rPr>
            </w:pPr>
            <w:r>
              <w:rPr>
                <w:rFonts w:ascii="Courier New" w:cs="Courier New" w:eastAsia="Courier New" w:hAnsi="Courier New"/>
                <w:sz w:val="14"/>
                <w:szCs w:val="14"/>
                <w:color w:val="auto"/>
              </w:rPr>
              <w:t>(/1/)All broadcast revenues and expenses of Richmond III for the period are</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30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recorded in the financial statements of Radio One because Radio One has a</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26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Local Marketing Agreement with Richmond III during the period.</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300" w:type="dxa"/>
            <w:vAlign w:val="bottom"/>
            <w:gridSpan w:val="5"/>
          </w:tcPr>
          <w:p>
            <w:pPr>
              <w:spacing w:after="0"/>
              <w:rPr>
                <w:sz w:val="20"/>
                <w:szCs w:val="20"/>
                <w:color w:val="auto"/>
              </w:rPr>
            </w:pPr>
            <w:r>
              <w:rPr>
                <w:rFonts w:ascii="Courier New" w:cs="Courier New" w:eastAsia="Courier New" w:hAnsi="Courier New"/>
                <w:sz w:val="14"/>
                <w:szCs w:val="14"/>
                <w:color w:val="auto"/>
              </w:rPr>
              <w:t>(/2/)The column represents the historical results of operations for the year</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30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ended December 31, 2000 for Blue Chip Broadcasting. See the Consolidated</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30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Financial Statements incorporated by reference into this prospectus.</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300" w:type="dxa"/>
            <w:vAlign w:val="bottom"/>
            <w:gridSpan w:val="5"/>
          </w:tcPr>
          <w:p>
            <w:pPr>
              <w:spacing w:after="0"/>
              <w:rPr>
                <w:sz w:val="20"/>
                <w:szCs w:val="20"/>
                <w:color w:val="auto"/>
              </w:rPr>
            </w:pPr>
            <w:r>
              <w:rPr>
                <w:rFonts w:ascii="Courier New" w:cs="Courier New" w:eastAsia="Courier New" w:hAnsi="Courier New"/>
                <w:sz w:val="14"/>
                <w:szCs w:val="14"/>
                <w:color w:val="auto"/>
              </w:rPr>
              <w:t>(/3/)The column represents the historical results of operations for the year</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26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ended December 31, 2000 for WFIA-AM owned by Blue Chip (station not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6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acquired by Radio One).</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300" w:type="dxa"/>
            <w:vAlign w:val="bottom"/>
            <w:gridSpan w:val="5"/>
          </w:tcPr>
          <w:p>
            <w:pPr>
              <w:spacing w:after="0"/>
              <w:rPr>
                <w:sz w:val="20"/>
                <w:szCs w:val="20"/>
                <w:color w:val="auto"/>
              </w:rPr>
            </w:pPr>
            <w:r>
              <w:rPr>
                <w:rFonts w:ascii="Courier New" w:cs="Courier New" w:eastAsia="Courier New" w:hAnsi="Courier New"/>
                <w:sz w:val="14"/>
                <w:szCs w:val="14"/>
                <w:color w:val="auto"/>
              </w:rPr>
              <w:t>(/4/)The column represents the historical results of operations for the year</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30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ended December 31, 2000 for the Lexington Region Stations owned by Blue</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4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Chip (stations not acquired by Radio One).</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300" w:type="dxa"/>
            <w:vAlign w:val="bottom"/>
            <w:gridSpan w:val="5"/>
          </w:tcPr>
          <w:p>
            <w:pPr>
              <w:spacing w:after="0"/>
              <w:rPr>
                <w:sz w:val="20"/>
                <w:szCs w:val="20"/>
                <w:color w:val="auto"/>
              </w:rPr>
            </w:pPr>
            <w:r>
              <w:rPr>
                <w:rFonts w:ascii="Courier New" w:cs="Courier New" w:eastAsia="Courier New" w:hAnsi="Courier New"/>
                <w:sz w:val="14"/>
                <w:szCs w:val="14"/>
                <w:color w:val="auto"/>
              </w:rPr>
              <w:t>(/5/)To eliminate expenses which Radio One does not expect to incur going</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30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forward, which consist primarily of one time costs incurred by Blue Chip,</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26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corporate officers' salaries and other corporate office expenses.</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300" w:type="dxa"/>
            <w:vAlign w:val="bottom"/>
            <w:gridSpan w:val="5"/>
          </w:tcPr>
          <w:p>
            <w:pPr>
              <w:spacing w:after="0"/>
              <w:rPr>
                <w:sz w:val="20"/>
                <w:szCs w:val="20"/>
                <w:color w:val="auto"/>
              </w:rPr>
            </w:pPr>
            <w:r>
              <w:rPr>
                <w:rFonts w:ascii="Courier New" w:cs="Courier New" w:eastAsia="Courier New" w:hAnsi="Courier New"/>
                <w:sz w:val="14"/>
                <w:szCs w:val="14"/>
                <w:color w:val="auto"/>
              </w:rPr>
              <w:t>(/6/)To record additional depreciation and amortization expense that would</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30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have been recorded if the acquisition had occurred on January 1, 2000,</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30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calculated as the excess purchase price over tangible assets acquired</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4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amortized over 15 years calculated as follows:</w:t>
            </w: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68"/>
        </w:trPr>
        <w:tc>
          <w:tcPr>
            <w:tcW w:w="62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Excess purchase price over tangible assets acquired of Blue Chip</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amortized over 15 years</w:t>
            </w:r>
          </w:p>
        </w:tc>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w w:val="73"/>
              </w:rPr>
              <w:t>...........................................</w:t>
            </w:r>
          </w:p>
        </w:tc>
        <w:tc>
          <w:tcPr>
            <w:tcW w:w="1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$11,693</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2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Excess purchase price over tangible assets acquired of Richmond III</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360" w:type="dxa"/>
            <w:vAlign w:val="bottom"/>
          </w:tcPr>
          <w:p>
            <w:pPr>
              <w:ind w:left="360"/>
              <w:spacing w:after="0"/>
              <w:rPr>
                <w:sz w:val="20"/>
                <w:szCs w:val="20"/>
                <w:color w:val="auto"/>
              </w:rPr>
            </w:pPr>
            <w:r>
              <w:rPr>
                <w:rFonts w:ascii="Courier New" w:cs="Courier New" w:eastAsia="Courier New" w:hAnsi="Courier New"/>
                <w:sz w:val="14"/>
                <w:szCs w:val="14"/>
                <w:color w:val="auto"/>
              </w:rPr>
              <w:t>amortized over 15 years</w:t>
            </w:r>
          </w:p>
        </w:tc>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w w:val="73"/>
              </w:rPr>
              <w:t>...........................................</w:t>
            </w:r>
          </w:p>
        </w:tc>
        <w:tc>
          <w:tcPr>
            <w:tcW w:w="1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2,186</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2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Less: Previously recorded amortization expense.....................</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5,658</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660" w:type="dxa"/>
            <w:vAlign w:val="bottom"/>
            <w:gridSpan w:val="2"/>
          </w:tcPr>
          <w:p>
            <w:pPr>
              <w:ind w:left="440"/>
              <w:spacing w:after="0"/>
              <w:rPr>
                <w:sz w:val="20"/>
                <w:szCs w:val="20"/>
                <w:color w:val="auto"/>
              </w:rPr>
            </w:pPr>
            <w:r>
              <w:rPr>
                <w:rFonts w:ascii="Courier New" w:cs="Courier New" w:eastAsia="Courier New" w:hAnsi="Courier New"/>
                <w:sz w:val="11"/>
                <w:szCs w:val="11"/>
                <w:color w:val="auto"/>
                <w:w w:val="74"/>
              </w:rPr>
              <w:t>Total............................................................</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$ 8,221</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338" w:lineRule="exact"/>
        <w:rPr>
          <w:sz w:val="20"/>
          <w:szCs w:val="20"/>
          <w:color w:val="auto"/>
        </w:rPr>
      </w:pPr>
    </w:p>
    <w:p>
      <w:pPr>
        <w:ind w:left="440" w:right="4160" w:hanging="433"/>
        <w:spacing w:after="0" w:line="258" w:lineRule="auto"/>
        <w:rPr>
          <w:sz w:val="20"/>
          <w:szCs w:val="20"/>
          <w:color w:val="auto"/>
        </w:rPr>
      </w:pPr>
      <w:r>
        <w:rPr>
          <w:rFonts w:ascii="Courier New" w:cs="Courier New" w:eastAsia="Courier New" w:hAnsi="Courier New"/>
          <w:sz w:val="14"/>
          <w:szCs w:val="14"/>
          <w:color w:val="auto"/>
        </w:rPr>
        <w:t>(/7/)To reflect the interest expense on the bank credit facility, and to eliminate LMA fees paid by Radio One:</w:t>
      </w:r>
    </w:p>
    <w:p>
      <w:pPr>
        <w:spacing w:after="0" w:line="200" w:lineRule="exact"/>
        <w:rPr>
          <w:sz w:val="20"/>
          <w:szCs w:val="20"/>
          <w:color w:val="auto"/>
        </w:rPr>
      </w:pPr>
    </w:p>
    <w:p>
      <w:pPr>
        <w:spacing w:after="0" w:line="29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700" w:type="dxa"/>
            <w:vAlign w:val="bottom"/>
          </w:tcPr>
          <w:p>
            <w:pPr>
              <w:spacing w:after="0"/>
              <w:rPr>
                <w:sz w:val="20"/>
                <w:szCs w:val="20"/>
                <w:color w:val="auto"/>
              </w:rPr>
            </w:pPr>
            <w:r>
              <w:rPr>
                <w:rFonts w:ascii="Courier New" w:cs="Courier New" w:eastAsia="Courier New" w:hAnsi="Courier New"/>
                <w:sz w:val="14"/>
                <w:szCs w:val="14"/>
                <w:color w:val="auto"/>
              </w:rPr>
              <w:t>Assumed $89.1 million used of the line of credit at 7.5% to fund</w:t>
            </w:r>
          </w:p>
        </w:tc>
        <w:tc>
          <w:tcPr>
            <w:tcW w:w="740" w:type="dxa"/>
            <w:vAlign w:val="bottom"/>
          </w:tcPr>
          <w:p>
            <w:pPr>
              <w:spacing w:after="0"/>
              <w:rPr>
                <w:sz w:val="14"/>
                <w:szCs w:val="14"/>
                <w:color w:val="auto"/>
              </w:rPr>
            </w:pP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the acquisitions................................................</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$ 6,683</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Less: LMA Fees paid to Richmond III..............................</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2,796</w:t>
            </w: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Less: Interest expense that would not have been incurred on</w:t>
            </w:r>
          </w:p>
        </w:tc>
        <w:tc>
          <w:tcPr>
            <w:tcW w:w="740" w:type="dxa"/>
            <w:vAlign w:val="bottom"/>
          </w:tcPr>
          <w:p>
            <w:pPr>
              <w:spacing w:after="0"/>
              <w:rPr>
                <w:sz w:val="14"/>
                <w:szCs w:val="14"/>
                <w:color w:val="auto"/>
              </w:rPr>
            </w:pP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outstanding debt................................................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6,038</w:t>
            </w:r>
          </w:p>
        </w:tc>
      </w:tr>
      <w:tr>
        <w:trPr>
          <w:trHeight w:val="167"/>
        </w:trPr>
        <w:tc>
          <w:tcPr>
            <w:tcW w:w="57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$(2,151)</w:t>
            </w:r>
          </w:p>
        </w:tc>
      </w:tr>
      <w:tr>
        <w:trPr>
          <w:trHeight w:val="167"/>
        </w:trPr>
        <w:tc>
          <w:tcPr>
            <w:tcW w:w="57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420"/>
          </w:cols>
          <w:pgMar w:left="220" w:top="620" w:right="1259" w:bottom="135" w:gutter="0" w:footer="0" w:header="0"/>
        </w:sectPr>
      </w:pPr>
    </w:p>
    <w:bookmarkStart w:id="39" w:name="page40"/>
    <w:bookmarkEnd w:id="39"/>
    <w:p>
      <w:pPr>
        <w:ind w:left="20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9019"/>
          </w:cols>
          <w:pgMar w:left="1440" w:top="308" w:right="1440" w:bottom="1440" w:gutter="0" w:footer="0" w:header="0"/>
        </w:sectPr>
      </w:pPr>
    </w:p>
    <w:bookmarkStart w:id="40" w:name="page41"/>
    <w:bookmarkEnd w:id="40"/>
    <w:p>
      <w:pPr>
        <w:ind w:left="431" w:right="3459" w:hanging="431"/>
        <w:spacing w:after="0" w:line="254" w:lineRule="auto"/>
        <w:tabs>
          <w:tab w:leader="none" w:pos="43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the interest expense on the Notes, including the amortization of deferred financing costs related to the Notes, and the reduction in interest expense related to the repayment of a portion of the bank credit facility and the 12% Senior Subordinated Notes, calculated as follows:</w:t>
      </w:r>
    </w:p>
    <w:p>
      <w:pPr>
        <w:spacing w:after="0" w:line="200" w:lineRule="exact"/>
        <w:rPr>
          <w:sz w:val="20"/>
          <w:szCs w:val="20"/>
          <w:color w:val="auto"/>
        </w:rPr>
      </w:pPr>
    </w:p>
    <w:p>
      <w:pPr>
        <w:spacing w:after="0" w:line="297" w:lineRule="exact"/>
        <w:rPr>
          <w:sz w:val="20"/>
          <w:szCs w:val="20"/>
          <w:color w:val="auto"/>
        </w:rPr>
      </w:pPr>
    </w:p>
    <w:tbl>
      <w:tblPr>
        <w:tblLayout w:type="fixed"/>
        <w:tblInd w:w="251"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Interest expense on the Notes at 8 7/8%...........................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$ 26,625</w:t>
            </w:r>
          </w:p>
        </w:tc>
      </w:tr>
      <w:tr>
        <w:trPr>
          <w:trHeight w:val="167"/>
        </w:trPr>
        <w:tc>
          <w:tcPr>
            <w:tcW w:w="5780" w:type="dxa"/>
            <w:vAlign w:val="bottom"/>
          </w:tcPr>
          <w:p>
            <w:pPr>
              <w:spacing w:after="0"/>
              <w:rPr>
                <w:sz w:val="20"/>
                <w:szCs w:val="20"/>
                <w:color w:val="auto"/>
              </w:rPr>
            </w:pPr>
            <w:r>
              <w:rPr>
                <w:rFonts w:ascii="Courier New" w:cs="Courier New" w:eastAsia="Courier New" w:hAnsi="Courier New"/>
                <w:sz w:val="14"/>
                <w:szCs w:val="14"/>
                <w:color w:val="auto"/>
              </w:rPr>
              <w:t>Amortization of deferred financing costs related to the Notes of</w:t>
            </w:r>
          </w:p>
        </w:tc>
        <w:tc>
          <w:tcPr>
            <w:tcW w:w="820" w:type="dxa"/>
            <w:vAlign w:val="bottom"/>
          </w:tcPr>
          <w:p>
            <w:pPr>
              <w:spacing w:after="0"/>
              <w:rPr>
                <w:sz w:val="14"/>
                <w:szCs w:val="14"/>
                <w:color w:val="auto"/>
              </w:rPr>
            </w:pPr>
          </w:p>
        </w:tc>
      </w:tr>
      <w:tr>
        <w:trPr>
          <w:trHeight w:val="167"/>
        </w:trPr>
        <w:tc>
          <w:tcPr>
            <w:tcW w:w="5780" w:type="dxa"/>
            <w:vAlign w:val="bottom"/>
          </w:tcPr>
          <w:p>
            <w:pPr>
              <w:ind w:left="100"/>
              <w:spacing w:after="0"/>
              <w:rPr>
                <w:sz w:val="20"/>
                <w:szCs w:val="20"/>
                <w:color w:val="auto"/>
              </w:rPr>
            </w:pPr>
            <w:r>
              <w:rPr>
                <w:rFonts w:ascii="Courier New" w:cs="Courier New" w:eastAsia="Courier New" w:hAnsi="Courier New"/>
                <w:sz w:val="14"/>
                <w:szCs w:val="14"/>
                <w:color w:val="auto"/>
              </w:rPr>
              <w:t>approximately $8.8 million to be amortized using the effective</w:t>
            </w:r>
          </w:p>
        </w:tc>
        <w:tc>
          <w:tcPr>
            <w:tcW w:w="820" w:type="dxa"/>
            <w:vAlign w:val="bottom"/>
          </w:tcPr>
          <w:p>
            <w:pPr>
              <w:spacing w:after="0"/>
              <w:rPr>
                <w:sz w:val="14"/>
                <w:szCs w:val="14"/>
                <w:color w:val="auto"/>
              </w:rPr>
            </w:pPr>
          </w:p>
        </w:tc>
      </w:tr>
      <w:tr>
        <w:trPr>
          <w:trHeight w:val="167"/>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interest method..................................................</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1,254</w:t>
            </w:r>
          </w:p>
        </w:tc>
      </w:tr>
      <w:tr>
        <w:trPr>
          <w:trHeight w:val="167"/>
        </w:trPr>
        <w:tc>
          <w:tcPr>
            <w:tcW w:w="5780" w:type="dxa"/>
            <w:vAlign w:val="bottom"/>
          </w:tcPr>
          <w:p>
            <w:pPr>
              <w:spacing w:after="0"/>
              <w:rPr>
                <w:sz w:val="20"/>
                <w:szCs w:val="20"/>
                <w:color w:val="auto"/>
              </w:rPr>
            </w:pPr>
            <w:r>
              <w:rPr>
                <w:rFonts w:ascii="Courier New" w:cs="Courier New" w:eastAsia="Courier New" w:hAnsi="Courier New"/>
                <w:sz w:val="14"/>
                <w:szCs w:val="14"/>
                <w:color w:val="auto"/>
              </w:rPr>
              <w:t>Less: Interest expense on the bank credit facility and the 12%</w:t>
            </w:r>
          </w:p>
        </w:tc>
        <w:tc>
          <w:tcPr>
            <w:tcW w:w="820" w:type="dxa"/>
            <w:vAlign w:val="bottom"/>
          </w:tcPr>
          <w:p>
            <w:pPr>
              <w:spacing w:after="0"/>
              <w:rPr>
                <w:sz w:val="14"/>
                <w:szCs w:val="14"/>
                <w:color w:val="auto"/>
              </w:rPr>
            </w:pPr>
          </w:p>
        </w:tc>
      </w:tr>
      <w:tr>
        <w:trPr>
          <w:trHeight w:val="167"/>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Senior Subordinated Notes........................................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(26,438)</w:t>
            </w:r>
          </w:p>
        </w:tc>
      </w:tr>
      <w:tr>
        <w:trPr>
          <w:trHeight w:val="167"/>
        </w:trPr>
        <w:tc>
          <w:tcPr>
            <w:tcW w:w="5780" w:type="dxa"/>
            <w:vAlign w:val="bottom"/>
          </w:tcPr>
          <w:p>
            <w:pPr>
              <w:spacing w:after="0"/>
              <w:rPr>
                <w:sz w:val="20"/>
                <w:szCs w:val="20"/>
                <w:color w:val="auto"/>
              </w:rPr>
            </w:pPr>
            <w:r>
              <w:rPr>
                <w:rFonts w:ascii="Courier New" w:cs="Courier New" w:eastAsia="Courier New" w:hAnsi="Courier New"/>
                <w:sz w:val="14"/>
                <w:szCs w:val="14"/>
                <w:color w:val="auto"/>
              </w:rPr>
              <w:t>Less: Amortization of deferred financing costs on the 12% Senior</w:t>
            </w:r>
          </w:p>
        </w:tc>
        <w:tc>
          <w:tcPr>
            <w:tcW w:w="820" w:type="dxa"/>
            <w:vAlign w:val="bottom"/>
          </w:tcPr>
          <w:p>
            <w:pPr>
              <w:spacing w:after="0"/>
              <w:rPr>
                <w:sz w:val="14"/>
                <w:szCs w:val="14"/>
                <w:color w:val="auto"/>
              </w:rPr>
            </w:pPr>
          </w:p>
        </w:tc>
      </w:tr>
      <w:tr>
        <w:trPr>
          <w:trHeight w:val="167"/>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Subordinated Notes...............................................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r>
      <w:tr>
        <w:trPr>
          <w:trHeight w:val="167"/>
        </w:trPr>
        <w:tc>
          <w:tcPr>
            <w:tcW w:w="57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1,221</w:t>
            </w:r>
          </w:p>
        </w:tc>
      </w:tr>
      <w:tr>
        <w:trPr>
          <w:trHeight w:val="167"/>
        </w:trPr>
        <w:tc>
          <w:tcPr>
            <w:tcW w:w="57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31" w:right="3379" w:hanging="431"/>
        <w:spacing w:after="0" w:line="252" w:lineRule="auto"/>
        <w:tabs>
          <w:tab w:leader="none" w:pos="43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Radio One's historical tax expense as Radio One would have had a net loss as to which it would have provided a 100% valuation reserve to offset the deferred income tax benefit.</w:t>
      </w:r>
    </w:p>
    <w:p>
      <w:pPr>
        <w:spacing w:after="0" w:line="1" w:lineRule="exact"/>
        <w:rPr>
          <w:rFonts w:ascii="Courier New" w:cs="Courier New" w:eastAsia="Courier New" w:hAnsi="Courier New"/>
          <w:sz w:val="14"/>
          <w:szCs w:val="14"/>
          <w:color w:val="auto"/>
        </w:rPr>
      </w:pPr>
    </w:p>
    <w:p>
      <w:pPr>
        <w:ind w:left="431" w:right="3379" w:hanging="431"/>
        <w:spacing w:after="0" w:line="252" w:lineRule="auto"/>
        <w:tabs>
          <w:tab w:leader="none" w:pos="43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Broadcast cash flow consists of operating income before depreciation, amortization, local marketing agreement fees and corporate expenses. EBITDA consists of operating income before depreciation, amortization, non-cash compensation expense and local marketing agreement fees. After-tax cash flow consists of income before income tax benefit (expense) and extraordinary items, minus net gain on sale of assets (net of tax) and the current income tax provision, plus depreciation and amortization and non-cash compensation expense. Although broadcast cash flow, EBITDA and after-tax cash flow are not measures of performance or liquidity calculated in accordance with GAAP, we believe that these measures are useful to an investor in evaluating Radio One because these measures are widely used in the broadcast industry as a measure of a radio broadcasting company's performance. Nevertheless, broadcast cash flow, EBITDA and after-tax cash flow should not be considered in isolation from or as a substitute for net income, cash flows from operating activities and other income or cash flow statement data prepared in accordance with GAAP, or as a measure of profitability or liquidity. Moreover, because broadcast cash flow, EBITDA and after-tax cash flow are not measures calculated in accordance with GAAP, these performance measures are not necessarily comparable to similarly titled measures employed by other companies.</w:t>
      </w:r>
    </w:p>
    <w:p>
      <w:pPr>
        <w:spacing w:after="0" w:line="7" w:lineRule="exact"/>
        <w:rPr>
          <w:rFonts w:ascii="Courier New" w:cs="Courier New" w:eastAsia="Courier New" w:hAnsi="Courier New"/>
          <w:sz w:val="14"/>
          <w:szCs w:val="14"/>
          <w:color w:val="auto"/>
        </w:rPr>
      </w:pPr>
    </w:p>
    <w:p>
      <w:pPr>
        <w:ind w:left="431" w:right="3539" w:hanging="431"/>
        <w:spacing w:after="0" w:line="252" w:lineRule="auto"/>
        <w:tabs>
          <w:tab w:leader="none" w:pos="43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Broadcast cash flow margin is defined as broadcast cash flow divided by net broadcast revenue. EBITDA margin is defined as EBITDA divided by net broadcast revenue.</w:t>
      </w:r>
    </w:p>
    <w:p>
      <w:pPr>
        <w:spacing w:after="0" w:line="1" w:lineRule="exact"/>
        <w:rPr>
          <w:rFonts w:ascii="Courier New" w:cs="Courier New" w:eastAsia="Courier New" w:hAnsi="Courier New"/>
          <w:sz w:val="14"/>
          <w:szCs w:val="14"/>
          <w:color w:val="auto"/>
        </w:rPr>
      </w:pPr>
    </w:p>
    <w:p>
      <w:pPr>
        <w:ind w:left="431" w:right="3379" w:hanging="431"/>
        <w:spacing w:after="0" w:line="252" w:lineRule="auto"/>
        <w:tabs>
          <w:tab w:leader="none" w:pos="43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interest expense is calculated as interest expense less non-cash interest, including the accretion of principal, the amortization of discounts on debt and the amortization of deferred financing costs, for the indicated period. Cash interest expense for the pro forma ratio of EBITDA to cash interest expense excludes only the amortization of deferred financing costs.</w:t>
      </w:r>
    </w:p>
    <w:p>
      <w:pPr>
        <w:spacing w:after="0" w:line="2" w:lineRule="exact"/>
        <w:rPr>
          <w:rFonts w:ascii="Courier New" w:cs="Courier New" w:eastAsia="Courier New" w:hAnsi="Courier New"/>
          <w:sz w:val="14"/>
          <w:szCs w:val="14"/>
          <w:color w:val="auto"/>
        </w:rPr>
      </w:pPr>
    </w:p>
    <w:p>
      <w:pPr>
        <w:ind w:left="431" w:right="3379" w:hanging="431"/>
        <w:spacing w:after="0" w:line="253" w:lineRule="auto"/>
        <w:tabs>
          <w:tab w:leader="none" w:pos="43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calculation, earnings consist of income (loss) before income taxes, extraordinary items and fixed charges. Fixed charges consist of interest expense, including the amortization of discounts on debt and the amortization of deferred financing costs and rent expense. Earnings were insufficient to cover fixed charges on a pro forma as adjusted basis for the year ended December 31, 2000, by approximately $82.7 million.</w:t>
      </w:r>
    </w:p>
    <w:p>
      <w:pPr>
        <w:spacing w:after="0" w:line="165"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0"/>
          </w:cols>
          <w:pgMar w:left="229" w:top="620" w:right="1440" w:bottom="1440" w:gutter="0" w:footer="0" w:header="0"/>
        </w:sectPr>
      </w:pPr>
    </w:p>
    <w:bookmarkStart w:id="41" w:name="page42"/>
    <w:bookmarkEnd w:id="41"/>
    <w:p>
      <w:pPr>
        <w:ind w:left="360"/>
        <w:spacing w:after="0"/>
        <w:rPr>
          <w:sz w:val="20"/>
          <w:szCs w:val="20"/>
          <w:color w:val="auto"/>
        </w:rPr>
      </w:pPr>
      <w:r>
        <w:rPr>
          <w:rFonts w:ascii="Courier New" w:cs="Courier New" w:eastAsia="Courier New" w:hAnsi="Courier New"/>
          <w:sz w:val="14"/>
          <w:szCs w:val="14"/>
          <w:color w:val="auto"/>
        </w:rPr>
        <w:t>Unaudited Pro Forma Consolidated Statement of Operations and Other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Three Months Ended March 31, 2001</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572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Pending</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Pro Forma</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Pro</w:t>
            </w: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Transactions</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for Pending</w:t>
            </w:r>
          </w:p>
        </w:tc>
        <w:tc>
          <w:tcPr>
            <w:tcW w:w="12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Offering</w:t>
            </w:r>
          </w:p>
        </w:tc>
        <w:tc>
          <w:tcPr>
            <w:tcW w:w="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Forma as</w:t>
            </w: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4900" w:type="dxa"/>
            <w:vAlign w:val="bottom"/>
            <w:gridSpan w:val="5"/>
          </w:tcPr>
          <w:p>
            <w:pPr>
              <w:jc w:val="right"/>
              <w:ind w:right="148"/>
              <w:spacing w:after="0"/>
              <w:rPr>
                <w:sz w:val="20"/>
                <w:szCs w:val="20"/>
                <w:color w:val="auto"/>
              </w:rPr>
            </w:pPr>
            <w:r>
              <w:rPr>
                <w:rFonts w:ascii="Courier New" w:cs="Courier New" w:eastAsia="Courier New" w:hAnsi="Courier New"/>
                <w:sz w:val="14"/>
                <w:szCs w:val="14"/>
                <w:color w:val="auto"/>
              </w:rPr>
              <w:t>Historical(a) Adjustments(b) Transactions Adjustments</w:t>
            </w:r>
          </w:p>
        </w:tc>
        <w:tc>
          <w:tcPr>
            <w:tcW w:w="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Adjusted</w:t>
            </w: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3"/>
              </w:rPr>
              <w:t>-------------</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(in thousands)</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Statement of Operations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Network broadcast</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revenue..............</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$ 47,925</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$ 6,990</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$ 54,915</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w:t>
            </w: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$ 54,915</w:t>
            </w:r>
          </w:p>
        </w:tc>
        <w:tc>
          <w:tcPr>
            <w:tcW w:w="100" w:type="dxa"/>
            <w:vAlign w:val="bottom"/>
          </w:tcPr>
          <w:p>
            <w:pPr>
              <w:spacing w:after="0"/>
              <w:rPr>
                <w:sz w:val="14"/>
                <w:szCs w:val="14"/>
                <w:color w:val="auto"/>
              </w:rPr>
            </w:pP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Station operating</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expenses.............</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25,972</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5,418</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31,390</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31,390</w:t>
            </w: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Corporate expenses....</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2,078</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2,128</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2,128</w:t>
            </w:r>
          </w:p>
        </w:tc>
        <w:tc>
          <w:tcPr>
            <w:tcW w:w="100" w:type="dxa"/>
            <w:vAlign w:val="bottom"/>
          </w:tcPr>
          <w:p>
            <w:pPr>
              <w:spacing w:after="0"/>
              <w:rPr>
                <w:sz w:val="14"/>
                <w:szCs w:val="14"/>
                <w:color w:val="auto"/>
              </w:rPr>
            </w:pP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amortization.........</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31,524</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3,807</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35,331</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35,331</w:t>
            </w: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Operating income</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(11,649)</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(2,285)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(13,934)</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(13,934)</w:t>
            </w: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15,701</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1,023</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16,724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257 (c)</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16,981</w:t>
            </w:r>
          </w:p>
        </w:tc>
        <w:tc>
          <w:tcPr>
            <w:tcW w:w="100" w:type="dxa"/>
            <w:vAlign w:val="bottom"/>
          </w:tcPr>
          <w:p>
            <w:pPr>
              <w:spacing w:after="0"/>
              <w:rPr>
                <w:sz w:val="14"/>
                <w:szCs w:val="14"/>
                <w:color w:val="auto"/>
              </w:rPr>
            </w:pP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4,272</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4,272</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4,272</w:t>
            </w:r>
          </w:p>
        </w:tc>
        <w:tc>
          <w:tcPr>
            <w:tcW w:w="100" w:type="dxa"/>
            <w:vAlign w:val="bottom"/>
          </w:tcPr>
          <w:p>
            <w:pPr>
              <w:spacing w:after="0"/>
              <w:rPr>
                <w:sz w:val="14"/>
                <w:szCs w:val="14"/>
                <w:color w:val="auto"/>
              </w:rPr>
            </w:pP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Other income</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(expense),net........</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596</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596</w:t>
            </w: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 benefit....</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(7,309)</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(7,309)</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7,309 (d)</w:t>
            </w:r>
          </w:p>
        </w:tc>
        <w:tc>
          <w:tcPr>
            <w:tcW w:w="1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$(15,173)</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$(3,308)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$(18,481)</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$(7,566)</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$(26,047)</w:t>
            </w: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Net loss applicable to</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stockholders....</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$(20,211)</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$(31,085)</w:t>
            </w: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share:</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Basic and diluted.....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(0.23)</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(0.33)</w:t>
            </w: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Weighted average common</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shares outstanding:</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Basic and diluted.....</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86,801</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94,831</w:t>
            </w: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Statement of Cash Flows: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Cash flows from:</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activities..</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$ 19,148</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Investing activities..</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1,723</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Financing activities..</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(17,505)</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Broadcast cash flow(e)..</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$ 21,953</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$ 23,525</w:t>
            </w: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Broadcast cash flow</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margin(f)..............</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45.8</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42.8</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EBITDA(e)...............</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$ 20,113</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$ 21,635</w:t>
            </w: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EBITDA margin(f)........</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After tax cashflow(e)...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1,720</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1,962</w:t>
            </w:r>
          </w:p>
        </w:tc>
        <w:tc>
          <w:tcPr>
            <w:tcW w:w="10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Cash interest</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expense(g).............</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12,450</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13,417</w:t>
            </w:r>
          </w:p>
        </w:tc>
        <w:tc>
          <w:tcPr>
            <w:tcW w:w="10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 expenditures....</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1,651</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1,742</w:t>
            </w:r>
          </w:p>
        </w:tc>
        <w:tc>
          <w:tcPr>
            <w:tcW w:w="100" w:type="dxa"/>
            <w:vAlign w:val="bottom"/>
          </w:tcPr>
          <w:p>
            <w:pPr>
              <w:spacing w:after="0"/>
              <w:rPr>
                <w:sz w:val="14"/>
                <w:szCs w:val="14"/>
                <w:color w:val="auto"/>
              </w:rPr>
            </w:pPr>
          </w:p>
        </w:tc>
      </w:tr>
      <w:tr>
        <w:trPr>
          <w:trHeight w:val="668"/>
        </w:trPr>
        <w:tc>
          <w:tcPr>
            <w:tcW w:w="4780" w:type="dxa"/>
            <w:vAlign w:val="bottom"/>
            <w:gridSpan w:val="4"/>
          </w:tcPr>
          <w:p>
            <w:pPr>
              <w:spacing w:after="0"/>
              <w:rPr>
                <w:sz w:val="20"/>
                <w:szCs w:val="20"/>
                <w:color w:val="auto"/>
              </w:rPr>
            </w:pPr>
            <w:r>
              <w:rPr>
                <w:rFonts w:ascii="Courier New" w:cs="Courier New" w:eastAsia="Courier New" w:hAnsi="Courier New"/>
                <w:sz w:val="14"/>
                <w:szCs w:val="14"/>
                <w:color w:val="auto"/>
                <w:w w:val="75"/>
              </w:rPr>
              <w:t>Ratio of EBITDA to interest expenses.......................................</w:t>
            </w:r>
          </w:p>
        </w:tc>
        <w:tc>
          <w:tcPr>
            <w:tcW w:w="1080" w:type="dxa"/>
            <w:vAlign w:val="bottom"/>
          </w:tcPr>
          <w:p>
            <w:pPr>
              <w:spacing w:after="0"/>
              <w:rPr>
                <w:sz w:val="24"/>
                <w:szCs w:val="24"/>
                <w:color w:val="auto"/>
              </w:rPr>
            </w:pPr>
          </w:p>
        </w:tc>
        <w:tc>
          <w:tcPr>
            <w:tcW w:w="1220" w:type="dxa"/>
            <w:vAlign w:val="bottom"/>
          </w:tcPr>
          <w:p>
            <w:pPr>
              <w:ind w:left="740"/>
              <w:spacing w:after="0"/>
              <w:rPr>
                <w:sz w:val="20"/>
                <w:szCs w:val="20"/>
                <w:color w:val="auto"/>
              </w:rPr>
            </w:pPr>
            <w:r>
              <w:rPr>
                <w:rFonts w:ascii="Courier New" w:cs="Courier New" w:eastAsia="Courier New" w:hAnsi="Courier New"/>
                <w:sz w:val="14"/>
                <w:szCs w:val="14"/>
                <w:color w:val="auto"/>
              </w:rPr>
              <w:t>1.3x</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5860" w:type="dxa"/>
            <w:vAlign w:val="bottom"/>
            <w:gridSpan w:val="5"/>
          </w:tcPr>
          <w:p>
            <w:pPr>
              <w:spacing w:after="0"/>
              <w:rPr>
                <w:sz w:val="20"/>
                <w:szCs w:val="20"/>
                <w:color w:val="auto"/>
              </w:rPr>
            </w:pPr>
            <w:r>
              <w:rPr>
                <w:rFonts w:ascii="Courier New" w:cs="Courier New" w:eastAsia="Courier New" w:hAnsi="Courier New"/>
                <w:sz w:val="14"/>
                <w:szCs w:val="14"/>
                <w:color w:val="auto"/>
                <w:w w:val="92"/>
              </w:rPr>
              <w:t>Ratio of EBITDA to cash interest expense(g)................................</w:t>
            </w:r>
          </w:p>
        </w:tc>
        <w:tc>
          <w:tcPr>
            <w:tcW w:w="1220" w:type="dxa"/>
            <w:vAlign w:val="bottom"/>
          </w:tcPr>
          <w:p>
            <w:pPr>
              <w:ind w:left="740"/>
              <w:spacing w:after="0"/>
              <w:rPr>
                <w:sz w:val="20"/>
                <w:szCs w:val="20"/>
                <w:color w:val="auto"/>
              </w:rPr>
            </w:pPr>
            <w:r>
              <w:rPr>
                <w:rFonts w:ascii="Courier New" w:cs="Courier New" w:eastAsia="Courier New" w:hAnsi="Courier New"/>
                <w:sz w:val="14"/>
                <w:szCs w:val="14"/>
                <w:color w:val="auto"/>
              </w:rPr>
              <w:t>1.6x</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3220" w:type="dxa"/>
            <w:vAlign w:val="bottom"/>
            <w:gridSpan w:val="3"/>
          </w:tcPr>
          <w:p>
            <w:pPr>
              <w:spacing w:after="0"/>
              <w:rPr>
                <w:sz w:val="20"/>
                <w:szCs w:val="20"/>
                <w:color w:val="auto"/>
              </w:rPr>
            </w:pPr>
            <w:r>
              <w:rPr>
                <w:rFonts w:ascii="Courier New" w:cs="Courier New" w:eastAsia="Courier New" w:hAnsi="Courier New"/>
                <w:sz w:val="14"/>
                <w:szCs w:val="14"/>
                <w:color w:val="auto"/>
              </w:rPr>
              <w:t>Ratio of earnings to fixed charges(h)</w:t>
            </w:r>
          </w:p>
        </w:tc>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w w:val="82"/>
              </w:rPr>
              <w:t>......................................</w:t>
            </w:r>
          </w:p>
        </w:tc>
        <w:tc>
          <w:tcPr>
            <w:tcW w:w="122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33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Footnotes for the Unaudited Pro Forma Consolidated Statement of Operations and Other Data for the Three Months Ended March 31, 2001</w:t>
      </w:r>
    </w:p>
    <w:p>
      <w:pPr>
        <w:spacing w:after="0" w:line="160" w:lineRule="exact"/>
        <w:rPr>
          <w:sz w:val="20"/>
          <w:szCs w:val="20"/>
          <w:color w:val="auto"/>
        </w:rPr>
      </w:pPr>
    </w:p>
    <w:p>
      <w:pPr>
        <w:ind w:left="360" w:right="3639" w:hanging="351"/>
        <w:spacing w:after="0" w:line="252" w:lineRule="auto"/>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the consolidated financial statements incorporated by reference into this prospectus.</w:t>
      </w:r>
    </w:p>
    <w:p>
      <w:pPr>
        <w:ind w:left="360" w:right="3719" w:hanging="351"/>
        <w:spacing w:after="0" w:line="258" w:lineRule="auto"/>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table below gives effect to the acquisitions pending as of July 17, 2001.</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Richmond III</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Blue Chip</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WFIA-</w:t>
            </w:r>
          </w:p>
        </w:tc>
        <w:tc>
          <w:tcPr>
            <w:tcW w:w="7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Adjusted</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Pro Forma</w:t>
            </w: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8760" w:type="dxa"/>
            <w:vAlign w:val="bottom"/>
            <w:gridSpan w:val="7"/>
          </w:tcPr>
          <w:p>
            <w:pPr>
              <w:ind w:left="1820"/>
              <w:spacing w:after="0"/>
              <w:rPr>
                <w:sz w:val="20"/>
                <w:szCs w:val="20"/>
                <w:color w:val="auto"/>
              </w:rPr>
            </w:pPr>
            <w:r>
              <w:rPr>
                <w:rFonts w:ascii="Courier New" w:cs="Courier New" w:eastAsia="Courier New" w:hAnsi="Courier New"/>
                <w:sz w:val="14"/>
                <w:szCs w:val="14"/>
                <w:color w:val="auto"/>
              </w:rPr>
              <w:t>Historical(/1/) Historical(/2/) AM(/3/) Lexington(/4/) Blue Chip Adjustments</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40" w:type="dxa"/>
            <w:vAlign w:val="bottom"/>
          </w:tcPr>
          <w:p>
            <w:pPr>
              <w:spacing w:after="0"/>
              <w:rPr>
                <w:sz w:val="14"/>
                <w:szCs w:val="14"/>
                <w:color w:val="auto"/>
              </w:rPr>
            </w:pPr>
          </w:p>
        </w:tc>
        <w:tc>
          <w:tcPr>
            <w:tcW w:w="3220" w:type="dxa"/>
            <w:vAlign w:val="bottom"/>
            <w:gridSpan w:val="2"/>
          </w:tcPr>
          <w:p>
            <w:pPr>
              <w:ind w:left="18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Statement of Operations:</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2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Net broadcast revenues..</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$ 7,103</w:t>
            </w:r>
          </w:p>
        </w:tc>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$77</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$ 36</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$ 6,990</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$ 6,990</w:t>
            </w:r>
          </w:p>
        </w:tc>
      </w:tr>
      <w:tr>
        <w:trPr>
          <w:trHeight w:val="167"/>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Station operating</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2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expenses...............</w:t>
            </w: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5,555</w:t>
            </w:r>
          </w:p>
        </w:tc>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47</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5,418</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5,418</w:t>
            </w:r>
          </w:p>
        </w:tc>
      </w:tr>
      <w:tr>
        <w:trPr>
          <w:trHeight w:val="167"/>
        </w:trPr>
        <w:tc>
          <w:tcPr>
            <w:tcW w:w="2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Corporate expenses......</w:t>
            </w: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684</w:t>
            </w:r>
          </w:p>
        </w:tc>
        <w:tc>
          <w:tcPr>
            <w:tcW w:w="11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684</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(634)(/5/)</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w:t>
            </w:r>
          </w:p>
        </w:tc>
      </w:tr>
      <w:tr>
        <w:trPr>
          <w:trHeight w:val="167"/>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Depreciation and</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2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amortization...........</w:t>
            </w: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1,955</w:t>
            </w:r>
          </w:p>
        </w:tc>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38</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1,885</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1,922 (/6/)</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3,807</w:t>
            </w:r>
          </w:p>
        </w:tc>
      </w:tr>
      <w:tr>
        <w:trPr>
          <w:trHeight w:val="167"/>
        </w:trPr>
        <w:tc>
          <w:tcPr>
            <w:tcW w:w="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Operating loss........</w:t>
            </w: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(1,091)</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(997)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(1,288)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(2,285)</w:t>
            </w:r>
          </w:p>
        </w:tc>
      </w:tr>
      <w:tr>
        <w:trPr>
          <w:trHeight w:val="167"/>
        </w:trPr>
        <w:tc>
          <w:tcPr>
            <w:tcW w:w="2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Interest expense........</w:t>
            </w: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1,498</w:t>
            </w:r>
          </w:p>
        </w:tc>
        <w:tc>
          <w:tcPr>
            <w:tcW w:w="11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(475)(/7/)</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1,023</w:t>
            </w:r>
          </w:p>
        </w:tc>
      </w:tr>
      <w:tr>
        <w:trPr>
          <w:trHeight w:val="167"/>
        </w:trPr>
        <w:tc>
          <w:tcPr>
            <w:tcW w:w="23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Loss on sale of assets..</w:t>
            </w: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(433)</w:t>
            </w:r>
          </w:p>
        </w:tc>
        <w:tc>
          <w:tcPr>
            <w:tcW w:w="11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(433)</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 (/5/)</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Net</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loss..............</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$(3,022)</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$(86)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$(2,928)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(380)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$(3,308)</w:t>
            </w:r>
          </w:p>
        </w:tc>
      </w:tr>
      <w:tr>
        <w:trPr>
          <w:trHeight w:val="167"/>
        </w:trPr>
        <w:tc>
          <w:tcPr>
            <w:tcW w:w="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(/1/)</w:t>
            </w:r>
          </w:p>
        </w:tc>
        <w:tc>
          <w:tcPr>
            <w:tcW w:w="65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All broadcast revenues and expenses of Richmond III for the period are</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65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recorded in the financial statements of Radio One because Radio One has a</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57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Local Marketing Agreement with Richmond III during the period.</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(/2/)</w:t>
            </w:r>
          </w:p>
        </w:tc>
        <w:tc>
          <w:tcPr>
            <w:tcW w:w="65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The column represents the historical results of operations for the three</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65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months ended March 31, 2001 for Blue Chip Broadcasting. See the Unaudited</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65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Consolidated Financial Statements included elsewhere in this prospectus.</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(/3/)</w:t>
            </w:r>
          </w:p>
        </w:tc>
        <w:tc>
          <w:tcPr>
            <w:tcW w:w="65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The column represents the historical results of operations for the period</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65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from January 1, 2001 to March 16, 2001 for WFIA-AM owned by Blue Chip</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3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(station not acquired by Radio One).</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(/4/)</w:t>
            </w:r>
          </w:p>
        </w:tc>
        <w:tc>
          <w:tcPr>
            <w:tcW w:w="65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The column represents the historical results of operations for the three</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65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months ended March 31, 2001 for the Lexington Region stations owned by</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46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Blue Chip (stations not acquired by Radio One).</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(/5/)</w:t>
            </w:r>
          </w:p>
        </w:tc>
        <w:tc>
          <w:tcPr>
            <w:tcW w:w="65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To eliminate expenses which Radio One does not expect to incur going</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65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forward, which consist primarily of one time costs incurred by Blue Chip,</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57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corporate officers' salaries and other corporate office expenses.</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(/6/)</w:t>
            </w:r>
          </w:p>
        </w:tc>
        <w:tc>
          <w:tcPr>
            <w:tcW w:w="65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To record additional depreciation and amortization expense that would</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65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have been recorded if the acquisition had occurred on January 1, 2001,</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65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calculated as the excess purchase price over tangible assets acquired</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46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amortized over 15 years calculated as follows:</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68"/>
        </w:trPr>
        <w:tc>
          <w:tcPr>
            <w:tcW w:w="618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Excess purchase price over tangible assets acquired of Blue Chip</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23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amortized over 15 years</w:t>
            </w:r>
          </w:p>
        </w:tc>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w w:val="71"/>
              </w:rPr>
              <w:t>............................................</w:t>
            </w:r>
          </w:p>
        </w:tc>
        <w:tc>
          <w:tcPr>
            <w:tcW w:w="11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$2,942</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18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Excess purchase price over tangible assets acquired of Richmond III</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23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amortized over 15 years</w:t>
            </w:r>
          </w:p>
        </w:tc>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w w:val="71"/>
              </w:rPr>
              <w:t>............................................</w:t>
            </w:r>
          </w:p>
        </w:tc>
        <w:tc>
          <w:tcPr>
            <w:tcW w:w="1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547</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18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Less: Previously recorded amortization expenses.....................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1,567</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Courier New" w:cs="Courier New" w:eastAsia="Courier New" w:hAnsi="Courier New"/>
                <w:sz w:val="11"/>
                <w:szCs w:val="11"/>
                <w:color w:val="auto"/>
                <w:w w:val="73"/>
              </w:rPr>
              <w:t>Total.............................................................</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$1,922</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338" w:lineRule="exact"/>
        <w:rPr>
          <w:sz w:val="20"/>
          <w:szCs w:val="20"/>
          <w:color w:val="auto"/>
        </w:rPr>
      </w:pPr>
    </w:p>
    <w:p>
      <w:pPr>
        <w:ind w:left="520" w:right="389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(/7/)</w:t>
        <w:tab/>
        <w:t>To reflect the interest expense on the bank credit facility, and to eliminate LMA fees paid by Radio One:</w:t>
      </w:r>
    </w:p>
    <w:p>
      <w:pPr>
        <w:spacing w:after="0" w:line="200" w:lineRule="exact"/>
        <w:rPr>
          <w:sz w:val="20"/>
          <w:szCs w:val="20"/>
          <w:color w:val="auto"/>
        </w:rPr>
      </w:pPr>
    </w:p>
    <w:p>
      <w:pPr>
        <w:spacing w:after="0" w:line="29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Assumed $85.2 million used of the line of credit at 7.75% to fund</w:t>
            </w:r>
          </w:p>
        </w:tc>
        <w:tc>
          <w:tcPr>
            <w:tcW w:w="660" w:type="dxa"/>
            <w:vAlign w:val="bottom"/>
          </w:tcPr>
          <w:p>
            <w:pPr>
              <w:spacing w:after="0"/>
              <w:rPr>
                <w:sz w:val="14"/>
                <w:szCs w:val="14"/>
                <w:color w:val="auto"/>
              </w:rPr>
            </w:pPr>
          </w:p>
        </w:tc>
      </w:tr>
      <w:tr>
        <w:trPr>
          <w:trHeight w:val="167"/>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the acquisitions.................................................</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$1,651</w:t>
            </w:r>
          </w:p>
        </w:tc>
      </w:tr>
      <w:tr>
        <w:trPr>
          <w:trHeight w:val="167"/>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Less: LMA Fees paid to Richmond III...............................</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699</w:t>
            </w:r>
          </w:p>
        </w:tc>
      </w:tr>
      <w:tr>
        <w:trPr>
          <w:trHeight w:val="167"/>
        </w:trPr>
        <w:tc>
          <w:tcPr>
            <w:tcW w:w="5780" w:type="dxa"/>
            <w:vAlign w:val="bottom"/>
          </w:tcPr>
          <w:p>
            <w:pPr>
              <w:spacing w:after="0"/>
              <w:rPr>
                <w:sz w:val="20"/>
                <w:szCs w:val="20"/>
                <w:color w:val="auto"/>
              </w:rPr>
            </w:pPr>
            <w:r>
              <w:rPr>
                <w:rFonts w:ascii="Courier New" w:cs="Courier New" w:eastAsia="Courier New" w:hAnsi="Courier New"/>
                <w:sz w:val="14"/>
                <w:szCs w:val="14"/>
                <w:color w:val="auto"/>
              </w:rPr>
              <w:t>Less: Interest expense that would not have been incurred on</w:t>
            </w:r>
          </w:p>
        </w:tc>
        <w:tc>
          <w:tcPr>
            <w:tcW w:w="660" w:type="dxa"/>
            <w:vAlign w:val="bottom"/>
          </w:tcPr>
          <w:p>
            <w:pPr>
              <w:spacing w:after="0"/>
              <w:rPr>
                <w:sz w:val="14"/>
                <w:szCs w:val="14"/>
                <w:color w:val="auto"/>
              </w:rPr>
            </w:pPr>
          </w:p>
        </w:tc>
      </w:tr>
      <w:tr>
        <w:trPr>
          <w:trHeight w:val="167"/>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outstanding debt.................................................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1,427</w:t>
            </w:r>
          </w:p>
        </w:tc>
      </w:tr>
      <w:tr>
        <w:trPr>
          <w:trHeight w:val="167"/>
        </w:trPr>
        <w:tc>
          <w:tcPr>
            <w:tcW w:w="57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7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(475)</w:t>
            </w:r>
          </w:p>
        </w:tc>
      </w:tr>
      <w:tr>
        <w:trPr>
          <w:trHeight w:val="167"/>
        </w:trPr>
        <w:tc>
          <w:tcPr>
            <w:tcW w:w="578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520" w:right="3459" w:hanging="511"/>
        <w:spacing w:after="0" w:line="254" w:lineRule="auto"/>
        <w:tabs>
          <w:tab w:leader="none" w:pos="5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the interest expense on the Notes, including the amortization of deferred financing costs related to the Notes, and the reduction in interest expense related to repayment of a portion of the bank credit facility and the 12% Senior subordinated Notes, calculated as follows:</w:t>
      </w:r>
    </w:p>
    <w:p>
      <w:pPr>
        <w:spacing w:after="0" w:line="200" w:lineRule="exact"/>
        <w:rPr>
          <w:sz w:val="20"/>
          <w:szCs w:val="20"/>
          <w:color w:val="auto"/>
        </w:rPr>
      </w:pPr>
    </w:p>
    <w:p>
      <w:pPr>
        <w:spacing w:after="0" w:line="29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Interest expense on the Notes at 8 7/8..............................</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$6,657</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Amortization of deferred financing costs related to the Notes of</w:t>
            </w:r>
          </w:p>
        </w:tc>
        <w:tc>
          <w:tcPr>
            <w:tcW w:w="640" w:type="dxa"/>
            <w:vAlign w:val="bottom"/>
          </w:tcPr>
          <w:p>
            <w:pPr>
              <w:spacing w:after="0"/>
              <w:rPr>
                <w:sz w:val="14"/>
                <w:szCs w:val="14"/>
                <w:color w:val="auto"/>
              </w:rPr>
            </w:pPr>
          </w:p>
        </w:tc>
      </w:tr>
      <w:tr>
        <w:trPr>
          <w:trHeight w:val="167"/>
        </w:trPr>
        <w:tc>
          <w:tcPr>
            <w:tcW w:w="5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approximately $8.8 million to be amortized using the effective</w:t>
            </w:r>
          </w:p>
        </w:tc>
        <w:tc>
          <w:tcPr>
            <w:tcW w:w="640" w:type="dxa"/>
            <w:vAlign w:val="bottom"/>
          </w:tcPr>
          <w:p>
            <w:pPr>
              <w:spacing w:after="0"/>
              <w:rPr>
                <w:sz w:val="14"/>
                <w:szCs w:val="14"/>
                <w:color w:val="auto"/>
              </w:rPr>
            </w:pPr>
          </w:p>
        </w:tc>
      </w:tr>
      <w:tr>
        <w:trPr>
          <w:trHeight w:val="167"/>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interest method....................................................</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Less: Interest expense on the bank credit facility and the 12%</w:t>
            </w:r>
          </w:p>
        </w:tc>
        <w:tc>
          <w:tcPr>
            <w:tcW w:w="640" w:type="dxa"/>
            <w:vAlign w:val="bottom"/>
          </w:tcPr>
          <w:p>
            <w:pPr>
              <w:spacing w:after="0"/>
              <w:rPr>
                <w:sz w:val="14"/>
                <w:szCs w:val="14"/>
                <w:color w:val="auto"/>
              </w:rPr>
            </w:pPr>
          </w:p>
        </w:tc>
      </w:tr>
      <w:tr>
        <w:trPr>
          <w:trHeight w:val="167"/>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Senior Subordinated Notes..........................................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(6,658)</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Less: Amortization of deferred financing costs on the 12% Senior</w:t>
            </w:r>
          </w:p>
        </w:tc>
        <w:tc>
          <w:tcPr>
            <w:tcW w:w="640" w:type="dxa"/>
            <w:vAlign w:val="bottom"/>
          </w:tcPr>
          <w:p>
            <w:pPr>
              <w:spacing w:after="0"/>
              <w:rPr>
                <w:sz w:val="14"/>
                <w:szCs w:val="14"/>
                <w:color w:val="auto"/>
              </w:rPr>
            </w:pPr>
          </w:p>
        </w:tc>
      </w:tr>
      <w:tr>
        <w:trPr>
          <w:trHeight w:val="167"/>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Subordinated Notes.................................................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7"/>
        </w:trPr>
        <w:tc>
          <w:tcPr>
            <w:tcW w:w="59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257</w:t>
            </w:r>
          </w:p>
        </w:tc>
      </w:tr>
      <w:tr>
        <w:trPr>
          <w:trHeight w:val="167"/>
        </w:trPr>
        <w:tc>
          <w:tcPr>
            <w:tcW w:w="59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5960" w:type="dxa"/>
            <w:vAlign w:val="bottom"/>
          </w:tcPr>
          <w:p>
            <w:pPr>
              <w:jc w:val="right"/>
              <w:ind w:right="2588"/>
              <w:spacing w:after="0"/>
              <w:rPr>
                <w:sz w:val="20"/>
                <w:szCs w:val="20"/>
                <w:color w:val="auto"/>
              </w:rPr>
            </w:pPr>
            <w:r>
              <w:rPr>
                <w:rFonts w:ascii="Courier New" w:cs="Courier New" w:eastAsia="Courier New" w:hAnsi="Courier New"/>
                <w:sz w:val="14"/>
                <w:szCs w:val="14"/>
                <w:color w:val="auto"/>
              </w:rPr>
              <w:t>36</w:t>
            </w:r>
          </w:p>
        </w:tc>
        <w:tc>
          <w:tcPr>
            <w:tcW w:w="640" w:type="dxa"/>
            <w:vAlign w:val="bottom"/>
          </w:tcPr>
          <w:p>
            <w:pPr>
              <w:spacing w:after="0"/>
              <w:rPr>
                <w:sz w:val="24"/>
                <w:szCs w:val="24"/>
                <w:color w:val="auto"/>
              </w:rPr>
            </w:pPr>
          </w:p>
        </w:tc>
      </w:tr>
    </w:tbl>
    <w:p>
      <w:pPr>
        <w:sectPr>
          <w:pgSz w:w="11900" w:h="16838" w:orient="portrait"/>
          <w:cols w:equalWidth="0" w:num="1">
            <w:col w:w="10239"/>
          </w:cols>
          <w:pgMar w:left="220" w:top="954" w:right="1440" w:bottom="636" w:gutter="0" w:footer="0" w:header="0"/>
        </w:sectPr>
      </w:pPr>
    </w:p>
    <w:bookmarkStart w:id="43" w:name="page44"/>
    <w:bookmarkEnd w:id="43"/>
    <w:p>
      <w:pPr>
        <w:ind w:left="351" w:right="3379" w:hanging="351"/>
        <w:spacing w:after="0" w:line="252" w:lineRule="auto"/>
        <w:tabs>
          <w:tab w:leader="none" w:pos="35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Radio One's historical tax benefit as Radio One would have reversed all of its deferred tax liabilities, thereby not recognizing a tax benefit.</w:t>
      </w:r>
    </w:p>
    <w:p>
      <w:pPr>
        <w:spacing w:after="0" w:line="1" w:lineRule="exact"/>
        <w:rPr>
          <w:rFonts w:ascii="Courier New" w:cs="Courier New" w:eastAsia="Courier New" w:hAnsi="Courier New"/>
          <w:sz w:val="14"/>
          <w:szCs w:val="14"/>
          <w:color w:val="auto"/>
        </w:rPr>
      </w:pPr>
    </w:p>
    <w:p>
      <w:pPr>
        <w:ind w:left="351" w:right="3379" w:hanging="351"/>
        <w:spacing w:after="0" w:line="252" w:lineRule="auto"/>
        <w:tabs>
          <w:tab w:leader="none" w:pos="35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Broadcast cash flow consists of operating income before depreciation, amortization, local marketing agreement fees and corporate expenses. EBITDA consists of operating income before depreciation, amortization, non-cash compensation expense and local marketing agreement fees. After tax cash flow consists of income before income tax benefit (expense) and extraordinary items, minus net gain on sale of assets (net of tax) and the current income tax provision, plus depreciation and amortization expense and non-cash compensation expense. Although broadcast cash flow, EBITDA and after tax cash flow are not measures of performance or liquidity calculated in accordance with GAAP, we believe that these measures are useful to an investor in evaluating Radio One because these measures are widely used in the broadcast industry as a measure of a radio broadcasting company's performance. Nevertheless, broadcast cash flow, EBITDA and after tax cash flow should not be considered in isolation from or as a substitute for net income, cash flows from operating activities and other income or cash flow statement data prepared in accordance with GAAP, or as a measure of profitability or liquidity. Moreover, because broadcast cash flow, EBITDA and after tax cash flow are not measures calculated in accordance with GAAP, these performance measures are not necessarily comparable to similarly titled measures employed by other companies.</w:t>
      </w:r>
    </w:p>
    <w:p>
      <w:pPr>
        <w:spacing w:after="0" w:line="7" w:lineRule="exact"/>
        <w:rPr>
          <w:rFonts w:ascii="Courier New" w:cs="Courier New" w:eastAsia="Courier New" w:hAnsi="Courier New"/>
          <w:sz w:val="14"/>
          <w:szCs w:val="14"/>
          <w:color w:val="auto"/>
        </w:rPr>
      </w:pPr>
    </w:p>
    <w:p>
      <w:pPr>
        <w:ind w:left="351" w:right="3379" w:hanging="351"/>
        <w:spacing w:after="0" w:line="252" w:lineRule="auto"/>
        <w:tabs>
          <w:tab w:leader="none" w:pos="35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Broadcast cash flow margin is defined as broadcast cash flow divided by net broadcast revenue. EBITDA margin is defined as EBITDA divided by net broadcast revenue.</w:t>
      </w:r>
    </w:p>
    <w:p>
      <w:pPr>
        <w:spacing w:after="0" w:line="1" w:lineRule="exact"/>
        <w:rPr>
          <w:rFonts w:ascii="Courier New" w:cs="Courier New" w:eastAsia="Courier New" w:hAnsi="Courier New"/>
          <w:sz w:val="14"/>
          <w:szCs w:val="14"/>
          <w:color w:val="auto"/>
        </w:rPr>
      </w:pPr>
    </w:p>
    <w:p>
      <w:pPr>
        <w:ind w:left="351" w:right="3379" w:hanging="351"/>
        <w:spacing w:after="0" w:line="254" w:lineRule="auto"/>
        <w:tabs>
          <w:tab w:leader="none" w:pos="35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interest expense is calculated as interest expense less non-cash interest, including the accretion of principal, the amortization of discounts on debt and the amortization of deferred financing costs, for the indicated period. Cash interest expense for the pro forma ratio of EBITDA to cash interest expense excludes only the amortization of deferred financing costs.</w:t>
      </w:r>
    </w:p>
    <w:p>
      <w:pPr>
        <w:spacing w:after="0" w:line="162" w:lineRule="exact"/>
        <w:rPr>
          <w:rFonts w:ascii="Courier New" w:cs="Courier New" w:eastAsia="Courier New" w:hAnsi="Courier New"/>
          <w:sz w:val="14"/>
          <w:szCs w:val="14"/>
          <w:color w:val="auto"/>
        </w:rPr>
      </w:pPr>
    </w:p>
    <w:p>
      <w:pPr>
        <w:ind w:left="351" w:right="3459" w:hanging="351"/>
        <w:spacing w:after="0" w:line="253" w:lineRule="auto"/>
        <w:tabs>
          <w:tab w:leader="none" w:pos="35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calculation, earnings consist of income (loss) before income taxes, extraordinary items and fixed charges. Fixed charges consist of interest expense, including the amortization of discounts on debt and the amortization of deferred financing costs and rent expense. Earnings were insufficient to cover fixed charges on a pro forma as adjusted basis for the three months ended March 31, 2001, by approximately $26.0 million.</w:t>
      </w:r>
    </w:p>
    <w:p>
      <w:pPr>
        <w:spacing w:after="0" w:line="165"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0"/>
          </w:cols>
          <w:pgMar w:left="229" w:top="620"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2"/>
        </w:trPr>
        <w:tc>
          <w:tcPr>
            <w:tcW w:w="6040" w:type="dxa"/>
            <w:vAlign w:val="bottom"/>
            <w:gridSpan w:val="6"/>
          </w:tcPr>
          <w:p>
            <w:pPr>
              <w:jc w:val="right"/>
              <w:ind w:right="488"/>
              <w:spacing w:after="0"/>
              <w:rPr>
                <w:sz w:val="20"/>
                <w:szCs w:val="20"/>
                <w:color w:val="auto"/>
              </w:rPr>
            </w:pPr>
            <w:r>
              <w:rPr>
                <w:rFonts w:ascii="Courier New" w:cs="Courier New" w:eastAsia="Courier New" w:hAnsi="Courier New"/>
                <w:sz w:val="14"/>
                <w:szCs w:val="14"/>
                <w:color w:val="auto"/>
              </w:rPr>
              <w:t>UNAUDITED PRO FORMA CONSOLIDATED BALANCE SHEET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8"/>
        </w:trPr>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40" w:type="dxa"/>
            <w:vAlign w:val="bottom"/>
            <w:gridSpan w:val="3"/>
          </w:tcPr>
          <w:p>
            <w:pPr>
              <w:jc w:val="right"/>
              <w:ind w:right="668"/>
              <w:spacing w:after="0"/>
              <w:rPr>
                <w:sz w:val="20"/>
                <w:szCs w:val="20"/>
                <w:color w:val="auto"/>
              </w:rPr>
            </w:pPr>
            <w:r>
              <w:rPr>
                <w:rFonts w:ascii="Courier New" w:cs="Courier New" w:eastAsia="Courier New" w:hAnsi="Courier New"/>
                <w:sz w:val="14"/>
                <w:szCs w:val="14"/>
                <w:color w:val="auto"/>
              </w:rPr>
              <w:t>As of March 31, 2001</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180" w:type="dxa"/>
            <w:vAlign w:val="bottom"/>
          </w:tcPr>
          <w:p>
            <w:pPr>
              <w:spacing w:after="0"/>
              <w:rPr>
                <w:sz w:val="14"/>
                <w:szCs w:val="14"/>
                <w:color w:val="auto"/>
              </w:rPr>
            </w:pPr>
          </w:p>
        </w:tc>
        <w:tc>
          <w:tcPr>
            <w:tcW w:w="48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Radio One</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Pending</w:t>
            </w:r>
          </w:p>
        </w:tc>
        <w:tc>
          <w:tcPr>
            <w:tcW w:w="1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Notes</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w:t>
            </w:r>
          </w:p>
        </w:tc>
      </w:tr>
      <w:tr>
        <w:trPr>
          <w:trHeight w:val="167"/>
        </w:trPr>
        <w:tc>
          <w:tcPr>
            <w:tcW w:w="2180" w:type="dxa"/>
            <w:vAlign w:val="bottom"/>
          </w:tcPr>
          <w:p>
            <w:pPr>
              <w:spacing w:after="0"/>
              <w:rPr>
                <w:sz w:val="14"/>
                <w:szCs w:val="14"/>
                <w:color w:val="auto"/>
              </w:rPr>
            </w:pPr>
          </w:p>
        </w:tc>
        <w:tc>
          <w:tcPr>
            <w:tcW w:w="3860" w:type="dxa"/>
            <w:vAlign w:val="bottom"/>
            <w:gridSpan w:val="5"/>
          </w:tcPr>
          <w:p>
            <w:pPr>
              <w:jc w:val="right"/>
              <w:ind w:right="408"/>
              <w:spacing w:after="0"/>
              <w:rPr>
                <w:sz w:val="20"/>
                <w:szCs w:val="20"/>
                <w:color w:val="auto"/>
              </w:rPr>
            </w:pPr>
            <w:r>
              <w:rPr>
                <w:rFonts w:ascii="Courier New" w:cs="Courier New" w:eastAsia="Courier New" w:hAnsi="Courier New"/>
                <w:sz w:val="14"/>
                <w:szCs w:val="14"/>
                <w:color w:val="auto"/>
              </w:rPr>
              <w:t>Historical(a) Transactions(b) Offering</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Adjusted</w:t>
            </w:r>
          </w:p>
        </w:tc>
      </w:tr>
      <w:tr>
        <w:trPr>
          <w:trHeight w:val="167"/>
        </w:trPr>
        <w:tc>
          <w:tcPr>
            <w:tcW w:w="21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(in thousands)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Cash and cash</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24,245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$(18,917)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(3,278)(c) $</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2,050</w:t>
            </w: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Trade accounts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receivable, net......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36,565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5,873</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42,438</w:t>
            </w: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5,127</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613</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5,740</w:t>
            </w: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Income tax</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receivable...........</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1,750</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1,750</w:t>
            </w: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2,476</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2,476</w:t>
            </w:r>
          </w:p>
        </w:tc>
      </w:tr>
      <w:tr>
        <w:trPr>
          <w:trHeight w:val="167"/>
        </w:trPr>
        <w:tc>
          <w:tcPr>
            <w:tcW w:w="218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ind w:left="360"/>
              <w:spacing w:after="0"/>
              <w:rPr>
                <w:sz w:val="20"/>
                <w:szCs w:val="20"/>
                <w:color w:val="auto"/>
              </w:rPr>
            </w:pPr>
            <w:r>
              <w:rPr>
                <w:rFonts w:ascii="Courier New" w:cs="Courier New" w:eastAsia="Courier New" w:hAnsi="Courier New"/>
                <w:sz w:val="14"/>
                <w:szCs w:val="14"/>
                <w:color w:val="auto"/>
              </w:rPr>
              <w:t>Total current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70,163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(12,431)</w:t>
            </w:r>
          </w:p>
        </w:tc>
        <w:tc>
          <w:tcPr>
            <w:tcW w:w="1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(3,278)</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54,454</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Property and equipment,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32,543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7,802</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40,345</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Intangible assets, net..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1,610,175</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265,530</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7,612 (d)</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1,883,317</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assets............</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16,799</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(5,133)</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11,666</w:t>
            </w:r>
          </w:p>
        </w:tc>
      </w:tr>
      <w:tr>
        <w:trPr>
          <w:trHeight w:val="167"/>
        </w:trPr>
        <w:tc>
          <w:tcPr>
            <w:tcW w:w="218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$1,729,680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$255,768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4,334</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$1,989,782</w:t>
            </w:r>
          </w:p>
        </w:tc>
      </w:tr>
      <w:tr>
        <w:trPr>
          <w:trHeight w:val="167"/>
        </w:trPr>
        <w:tc>
          <w:tcPr>
            <w:tcW w:w="218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ind w:left="360"/>
              <w:spacing w:after="0"/>
              <w:rPr>
                <w:sz w:val="20"/>
                <w:szCs w:val="20"/>
                <w:color w:val="auto"/>
              </w:rPr>
            </w:pPr>
            <w:r>
              <w:rPr>
                <w:rFonts w:ascii="Courier New" w:cs="Courier New" w:eastAsia="Courier New" w:hAnsi="Courier New"/>
                <w:sz w:val="14"/>
                <w:szCs w:val="14"/>
                <w:color w:val="auto"/>
              </w:rPr>
              <w:t>LIABILITIES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accrued expenses.....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33,370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3,084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(3,896)(e) $</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32,558</w:t>
            </w: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Other current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liabilities..........</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4,083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4,083</w:t>
            </w:r>
          </w:p>
        </w:tc>
      </w:tr>
      <w:tr>
        <w:trPr>
          <w:trHeight w:val="167"/>
        </w:trPr>
        <w:tc>
          <w:tcPr>
            <w:tcW w:w="218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ind w:left="360"/>
              <w:spacing w:after="0"/>
              <w:rPr>
                <w:sz w:val="20"/>
                <w:szCs w:val="20"/>
                <w:color w:val="auto"/>
              </w:rPr>
            </w:pPr>
            <w:r>
              <w:rPr>
                <w:rFonts w:ascii="Courier New" w:cs="Courier New" w:eastAsia="Courier New" w:hAnsi="Courier New"/>
                <w:sz w:val="14"/>
                <w:szCs w:val="14"/>
                <w:color w:val="auto"/>
              </w:rPr>
              <w:t>Total current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liabilities........</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37,453</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3,084</w:t>
            </w:r>
          </w:p>
        </w:tc>
        <w:tc>
          <w:tcPr>
            <w:tcW w:w="1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(3,896)</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36,641</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Bank Credit Facility..</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550,000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140,200</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(200,000)(e)</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490,200</w:t>
            </w: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12% Senior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ind w:left="260"/>
              <w:spacing w:after="0"/>
              <w:rPr>
                <w:sz w:val="20"/>
                <w:szCs w:val="20"/>
                <w:color w:val="auto"/>
              </w:rPr>
            </w:pPr>
            <w:r>
              <w:rPr>
                <w:rFonts w:ascii="Courier New" w:cs="Courier New" w:eastAsia="Courier New" w:hAnsi="Courier New"/>
                <w:sz w:val="14"/>
                <w:szCs w:val="14"/>
                <w:color w:val="auto"/>
              </w:rPr>
              <w:t>Subordinated Notes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due 2004.............</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84,451</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(84,451)(e)</w:t>
            </w:r>
          </w:p>
        </w:tc>
        <w:tc>
          <w:tcPr>
            <w:tcW w:w="1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8 7/8% Senior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Subordinated Notes...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300,000 (e)</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300,000</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debt............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w:t>
            </w: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SWAP agreements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liability............</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9,733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9,733</w:t>
            </w: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Deferred tax</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liability............</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17,632</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17,632</w:t>
            </w:r>
          </w:p>
        </w:tc>
      </w:tr>
      <w:tr>
        <w:trPr>
          <w:trHeight w:val="167"/>
        </w:trPr>
        <w:tc>
          <w:tcPr>
            <w:tcW w:w="218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liabilities...</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699,359</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143,348</w:t>
            </w:r>
          </w:p>
        </w:tc>
        <w:tc>
          <w:tcPr>
            <w:tcW w:w="1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11,653</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854,360</w:t>
            </w:r>
          </w:p>
        </w:tc>
      </w:tr>
      <w:tr>
        <w:trPr>
          <w:trHeight w:val="167"/>
        </w:trPr>
        <w:tc>
          <w:tcPr>
            <w:tcW w:w="218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(Deficit):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Preferred stock.......</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Class A common stock..</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Class B common stock..</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Class C common stock..</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Class D common stock..</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Accumulated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ind w:left="260"/>
              <w:spacing w:after="0"/>
              <w:rPr>
                <w:sz w:val="20"/>
                <w:szCs w:val="20"/>
                <w:color w:val="auto"/>
              </w:rPr>
            </w:pPr>
            <w:r>
              <w:rPr>
                <w:rFonts w:ascii="Courier New" w:cs="Courier New" w:eastAsia="Courier New" w:hAnsi="Courier New"/>
                <w:sz w:val="14"/>
                <w:szCs w:val="14"/>
                <w:color w:val="auto"/>
              </w:rPr>
              <w:t>comprehensive income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adjustments..........</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(6,570)</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(6,570)</w:t>
            </w: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Stock subscriptions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receivable...........</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(9,005)</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(9,005)</w:t>
            </w: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Additional paid in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1,105,714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112,420</w:t>
            </w:r>
          </w:p>
        </w:tc>
        <w:tc>
          <w:tcPr>
            <w:tcW w:w="1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1,218,134</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Accumulated deficit...</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(59,905)</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(7,319)(f)</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(67,224)</w:t>
            </w:r>
          </w:p>
        </w:tc>
      </w:tr>
      <w:tr>
        <w:trPr>
          <w:trHeight w:val="167"/>
        </w:trPr>
        <w:tc>
          <w:tcPr>
            <w:tcW w:w="218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ind w:left="360"/>
              <w:spacing w:after="0"/>
              <w:rPr>
                <w:sz w:val="20"/>
                <w:szCs w:val="20"/>
                <w:color w:val="auto"/>
              </w:rPr>
            </w:pPr>
            <w:r>
              <w:rPr>
                <w:rFonts w:ascii="Courier New" w:cs="Courier New" w:eastAsia="Courier New" w:hAnsi="Courier New"/>
                <w:sz w:val="14"/>
                <w:szCs w:val="14"/>
                <w:color w:val="auto"/>
              </w:rPr>
              <w:t>Total stockholders'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1,030,321</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112,420</w:t>
            </w:r>
          </w:p>
        </w:tc>
        <w:tc>
          <w:tcPr>
            <w:tcW w:w="1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(7,319)</w:t>
            </w:r>
          </w:p>
        </w:tc>
        <w:tc>
          <w:tcPr>
            <w:tcW w:w="1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1,135,422</w:t>
            </w:r>
          </w:p>
        </w:tc>
      </w:tr>
      <w:tr>
        <w:trPr>
          <w:trHeight w:val="167"/>
        </w:trPr>
        <w:tc>
          <w:tcPr>
            <w:tcW w:w="218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and stockholders'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equity.............</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$1,729,680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$255,768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4,334</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$1,989,782</w:t>
            </w:r>
          </w:p>
        </w:tc>
      </w:tr>
      <w:tr>
        <w:trPr>
          <w:trHeight w:val="167"/>
        </w:trPr>
        <w:tc>
          <w:tcPr>
            <w:tcW w:w="218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right="3639" w:hanging="351"/>
        <w:spacing w:after="0" w:line="258" w:lineRule="auto"/>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the Consolidated Financial Statements incorporated by reference into this prospectus.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20" w:right="1440" w:bottom="1440" w:gutter="0" w:footer="0" w:header="0"/>
        </w:sectPr>
      </w:pPr>
    </w:p>
    <w:bookmarkStart w:id="45" w:name="page46"/>
    <w:bookmarkEnd w:id="45"/>
    <w:p>
      <w:pPr>
        <w:spacing w:after="0" w:line="1" w:lineRule="exact"/>
        <w:rPr>
          <w:sz w:val="20"/>
          <w:szCs w:val="20"/>
          <w:color w:val="auto"/>
        </w:rPr>
      </w:pPr>
    </w:p>
    <w:p>
      <w:pPr>
        <w:ind w:left="511" w:right="4680" w:hanging="511"/>
        <w:spacing w:after="0" w:line="258" w:lineRule="auto"/>
        <w:tabs>
          <w:tab w:leader="none" w:pos="51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table below gives effect to the pending transactions as of July 17, 2001 as if they had occurred on March 31, 2001.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351"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8120" w:type="dxa"/>
            <w:vAlign w:val="bottom"/>
            <w:gridSpan w:val="9"/>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Blue Chip</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WFIA-AM</w:t>
            </w: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Lexington</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Adjusted</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Richmond III</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Atlanta</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Acquisition</w:t>
            </w:r>
          </w:p>
        </w:tc>
      </w:tr>
      <w:tr>
        <w:trPr>
          <w:trHeight w:val="167"/>
        </w:trPr>
        <w:tc>
          <w:tcPr>
            <w:tcW w:w="2900" w:type="dxa"/>
            <w:vAlign w:val="bottom"/>
          </w:tcPr>
          <w:p>
            <w:pPr>
              <w:spacing w:after="0"/>
              <w:rPr>
                <w:sz w:val="14"/>
                <w:szCs w:val="14"/>
                <w:color w:val="auto"/>
              </w:rPr>
            </w:pPr>
          </w:p>
        </w:tc>
        <w:tc>
          <w:tcPr>
            <w:tcW w:w="8120" w:type="dxa"/>
            <w:vAlign w:val="bottom"/>
            <w:gridSpan w:val="9"/>
          </w:tcPr>
          <w:p>
            <w:pPr>
              <w:jc w:val="right"/>
              <w:ind w:right="108"/>
              <w:spacing w:after="0"/>
              <w:rPr>
                <w:sz w:val="20"/>
                <w:szCs w:val="20"/>
                <w:color w:val="auto"/>
              </w:rPr>
            </w:pPr>
            <w:r>
              <w:rPr>
                <w:rFonts w:ascii="Courier New" w:cs="Courier New" w:eastAsia="Courier New" w:hAnsi="Courier New"/>
                <w:sz w:val="14"/>
                <w:szCs w:val="14"/>
                <w:color w:val="auto"/>
              </w:rPr>
              <w:t>Historical(1) Historical(2) Historical(2) Blue Chip Historical(3) Historical(4) Adjustments</w:t>
            </w:r>
          </w:p>
        </w:tc>
      </w:tr>
      <w:tr>
        <w:trPr>
          <w:trHeight w:val="167"/>
        </w:trPr>
        <w:tc>
          <w:tcPr>
            <w:tcW w:w="2900" w:type="dxa"/>
            <w:vAlign w:val="bottom"/>
          </w:tcPr>
          <w:p>
            <w:pPr>
              <w:spacing w:after="0"/>
              <w:rPr>
                <w:sz w:val="14"/>
                <w:szCs w:val="14"/>
                <w:color w:val="auto"/>
              </w:rPr>
            </w:pPr>
          </w:p>
        </w:tc>
        <w:tc>
          <w:tcPr>
            <w:tcW w:w="8120" w:type="dxa"/>
            <w:vAlign w:val="bottom"/>
            <w:gridSpan w:val="9"/>
          </w:tcPr>
          <w:p>
            <w:pPr>
              <w:ind w:left="40"/>
              <w:spacing w:after="0"/>
              <w:rPr>
                <w:sz w:val="20"/>
                <w:szCs w:val="20"/>
                <w:color w:val="auto"/>
              </w:rPr>
            </w:pPr>
            <w:r>
              <w:rPr>
                <w:rFonts w:ascii="Courier New" w:cs="Courier New" w:eastAsia="Courier New" w:hAnsi="Courier New"/>
                <w:sz w:val="14"/>
                <w:szCs w:val="14"/>
                <w:color w:val="auto"/>
              </w:rPr>
              <w:t>------------- ------------- ------------- --------- ------------- ------------- -----------</w:t>
            </w:r>
          </w:p>
        </w:tc>
      </w:tr>
      <w:tr>
        <w:trPr>
          <w:trHeight w:val="334"/>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Cash and cash equivalents..</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$ 1,065</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$ 1,070</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$(19,987)(5)</w:t>
            </w: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Trade accounts receivable, net..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6,011</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5,873</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Prepaid expenses and other..</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613</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613</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Total current assets..</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7,689</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7,556</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(19,987)</w:t>
            </w: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Property and equipment, net..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8,414</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7,802</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Intangible assets, net..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77,432</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1,250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76,182</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189,348 (6)</w:t>
            </w: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Other assets....</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1,276</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1,260</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(6,393)(5)</w:t>
            </w:r>
          </w:p>
        </w:tc>
      </w:tr>
      <w:tr>
        <w:trPr>
          <w:trHeight w:val="167"/>
        </w:trPr>
        <w:tc>
          <w:tcPr>
            <w:tcW w:w="29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Total assets ..</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$94,811</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 --</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$2,011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$92,800</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$162,968</w:t>
            </w:r>
          </w:p>
        </w:tc>
      </w:tr>
      <w:tr>
        <w:trPr>
          <w:trHeight w:val="167"/>
        </w:trPr>
        <w:tc>
          <w:tcPr>
            <w:tcW w:w="29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LIABILITIES AND</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TOCKHOLDERS'SEQUITY</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Accounts payable and accrued</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expenses.......</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$ 3,163</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$ 3,084</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Current portion of debt..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2,953</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2,953</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(2,953)(7)</w:t>
            </w:r>
          </w:p>
        </w:tc>
      </w:tr>
      <w:tr>
        <w:trPr>
          <w:trHeight w:val="167"/>
        </w:trPr>
        <w:tc>
          <w:tcPr>
            <w:tcW w:w="29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Total current liabilities..</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6,116</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6,037</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(2,953)</w:t>
            </w: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Long-term debt and accrued</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interest.......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49,631</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49,631</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90,569 (7)</w:t>
            </w: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Other debt......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Total liabilities..</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55,815</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55,732</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87,616</w:t>
            </w:r>
          </w:p>
        </w:tc>
      </w:tr>
      <w:tr>
        <w:trPr>
          <w:trHeight w:val="167"/>
        </w:trPr>
        <w:tc>
          <w:tcPr>
            <w:tcW w:w="29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Redeemable common stock..</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71,824</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71,824</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(71,824)(8)</w:t>
            </w:r>
          </w:p>
        </w:tc>
      </w:tr>
      <w:tr>
        <w:trPr>
          <w:trHeight w:val="167"/>
        </w:trPr>
        <w:tc>
          <w:tcPr>
            <w:tcW w:w="29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Common Stock....</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Additional Paid-in Capital..</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112,420 (9)</w:t>
            </w: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Accumulated (Deficit) Equity..</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(32,838)</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1,928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(34,766)</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34,766 (8)</w:t>
            </w:r>
          </w:p>
        </w:tc>
      </w:tr>
      <w:tr>
        <w:trPr>
          <w:trHeight w:val="167"/>
        </w:trPr>
        <w:tc>
          <w:tcPr>
            <w:tcW w:w="29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Total stockholders' (deficit)</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equity..... ..</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(32,828)</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1,928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(34,756)</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147,176</w:t>
            </w:r>
          </w:p>
        </w:tc>
      </w:tr>
      <w:tr>
        <w:trPr>
          <w:trHeight w:val="167"/>
        </w:trPr>
        <w:tc>
          <w:tcPr>
            <w:tcW w:w="29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Total liabilities, redeemable</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common stock and</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stockholders' equity..</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$94,811</w:t>
            </w:r>
          </w:p>
        </w:tc>
        <w:tc>
          <w:tcPr>
            <w:tcW w:w="11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 --</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$2,011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$92,800</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$162,968</w:t>
            </w:r>
          </w:p>
        </w:tc>
      </w:tr>
      <w:tr>
        <w:trPr>
          <w:trHeight w:val="167"/>
        </w:trPr>
        <w:tc>
          <w:tcPr>
            <w:tcW w:w="29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2900" w:type="dxa"/>
            <w:vAlign w:val="bottom"/>
          </w:tcPr>
          <w:p>
            <w:pPr>
              <w:spacing w:after="0"/>
              <w:rPr>
                <w:sz w:val="24"/>
                <w:szCs w:val="2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Total</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9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Cash and cash equivalents..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$(18,917)</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Trade accounts receivable, net..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5,873</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Prepaid expenses and other..</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613</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Total current assets..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(12,431)</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Property and equipment, net..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7,802</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Intangible assets, net..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265,530</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Other assets....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(5,133)</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Total assets ..</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$255,768</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LIABILITIES AND</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TOCKHOLDERS'SEQUITY</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Accounts payable and accrued</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expenses.......</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3,084</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Current portion of debt..</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Total current liabilities..</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3,084</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Long-term debt and accrued</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interest.......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140,200</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Other debt......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Total liabilities..</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143,348</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Redeemable common stock..</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Common Stock....</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Additional Paid-in Capital..</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112,420</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80"/>
              <w:spacing w:after="0"/>
              <w:rPr>
                <w:sz w:val="20"/>
                <w:szCs w:val="20"/>
                <w:color w:val="auto"/>
              </w:rPr>
            </w:pPr>
            <w:r>
              <w:rPr>
                <w:rFonts w:ascii="Courier New" w:cs="Courier New" w:eastAsia="Courier New" w:hAnsi="Courier New"/>
                <w:sz w:val="14"/>
                <w:szCs w:val="14"/>
                <w:color w:val="auto"/>
              </w:rPr>
              <w:t>Accumulated (Deficit) Equity..</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Total stockholders' (deficit)</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equity..... ..</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112,420</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Total liabilities, redeemable</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common stock and</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stockholders' equity..</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$255,768</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ectPr>
          <w:pgSz w:w="11900" w:h="16839" w:orient="portrait"/>
          <w:cols w:equalWidth="0" w:num="1">
            <w:col w:w="11371"/>
          </w:cols>
          <w:pgMar w:left="229" w:top="620" w:right="299" w:bottom="0" w:gutter="0" w:footer="0" w:header="0"/>
        </w:sectPr>
      </w:pPr>
    </w:p>
    <w:bookmarkStart w:id="46" w:name="page47"/>
    <w:bookmarkEnd w:id="46"/>
    <w:p>
      <w:pPr>
        <w:ind w:left="3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20" w:right="3379" w:hanging="519"/>
        <w:spacing w:after="0" w:line="260" w:lineRule="auto"/>
        <w:tabs>
          <w:tab w:leader="none" w:pos="500" w:val="left"/>
        </w:tabs>
        <w:rPr>
          <w:sz w:val="20"/>
          <w:szCs w:val="20"/>
          <w:color w:val="auto"/>
        </w:rPr>
      </w:pPr>
      <w:r>
        <w:rPr>
          <w:rFonts w:ascii="Courier New" w:cs="Courier New" w:eastAsia="Courier New" w:hAnsi="Courier New"/>
          <w:sz w:val="14"/>
          <w:szCs w:val="14"/>
          <w:color w:val="auto"/>
        </w:rPr>
        <w:t>(/1/)</w:t>
        <w:tab/>
        <w:t>This column represents the historical balance sheet as of March 31, 2001. See the unaudited financial statements included elsewhere in the document.</w:t>
      </w:r>
    </w:p>
    <w:p>
      <w:pPr>
        <w:spacing w:after="0" w:line="157" w:lineRule="exact"/>
        <w:rPr>
          <w:sz w:val="20"/>
          <w:szCs w:val="20"/>
          <w:color w:val="auto"/>
        </w:rPr>
      </w:pPr>
    </w:p>
    <w:p>
      <w:pPr>
        <w:ind w:left="520" w:right="3379" w:hanging="519"/>
        <w:spacing w:after="0" w:line="253" w:lineRule="auto"/>
        <w:tabs>
          <w:tab w:leader="none" w:pos="500" w:val="left"/>
        </w:tabs>
        <w:rPr>
          <w:sz w:val="20"/>
          <w:szCs w:val="20"/>
          <w:color w:val="auto"/>
        </w:rPr>
      </w:pPr>
      <w:r>
        <w:rPr>
          <w:rFonts w:ascii="Courier New" w:cs="Courier New" w:eastAsia="Courier New" w:hAnsi="Courier New"/>
          <w:sz w:val="14"/>
          <w:szCs w:val="14"/>
          <w:color w:val="auto"/>
        </w:rPr>
        <w:t>(/2/)</w:t>
        <w:tab/>
        <w:t>These columns represent the historical balance sheet information related to WFIA-AM and Lexington stations. These stations are included in Blue Chip historical numbers but are not being acquired by Radio One. The balance sheet information is deducted. The assets of WFIA-AM were sold by Blue Chip in March 2001, thus only the income statement balances are deducted in the pro formas.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141" w:right="1440" w:bottom="1440" w:gutter="0" w:footer="0" w:header="0"/>
        </w:sectPr>
      </w:pPr>
    </w:p>
    <w:bookmarkStart w:id="47" w:name="page48"/>
    <w:bookmarkEnd w:id="47"/>
    <w:p>
      <w:pPr>
        <w:ind w:left="520" w:right="3379" w:hanging="519"/>
        <w:spacing w:after="0" w:line="252" w:lineRule="auto"/>
        <w:tabs>
          <w:tab w:leader="none" w:pos="500" w:val="left"/>
        </w:tabs>
        <w:rPr>
          <w:sz w:val="20"/>
          <w:szCs w:val="20"/>
          <w:color w:val="auto"/>
        </w:rPr>
      </w:pPr>
      <w:r>
        <w:rPr>
          <w:rFonts w:ascii="Courier New" w:cs="Courier New" w:eastAsia="Courier New" w:hAnsi="Courier New"/>
          <w:sz w:val="14"/>
          <w:szCs w:val="14"/>
          <w:color w:val="auto"/>
        </w:rPr>
        <w:t>(/3/)</w:t>
        <w:tab/>
        <w:t>All broadcast assets and liabilities as of March 31, 2001, except for the stations' FCC licenses of Richmond III and certain tangible assets, are recorded in the financial statements of Radio One as Radio One has an LMA agreement with respect to Richmond III. The FCC license and tangible assets are pro forma adjusted in Note 6.</w:t>
      </w:r>
    </w:p>
    <w:p>
      <w:pPr>
        <w:spacing w:after="0" w:line="2" w:lineRule="exact"/>
        <w:rPr>
          <w:sz w:val="20"/>
          <w:szCs w:val="20"/>
          <w:color w:val="auto"/>
        </w:rPr>
      </w:pPr>
    </w:p>
    <w:p>
      <w:pPr>
        <w:ind w:left="520" w:right="3379" w:hanging="519"/>
        <w:spacing w:after="0" w:line="252" w:lineRule="auto"/>
        <w:tabs>
          <w:tab w:leader="none" w:pos="500" w:val="left"/>
        </w:tabs>
        <w:rPr>
          <w:sz w:val="20"/>
          <w:szCs w:val="20"/>
          <w:color w:val="auto"/>
        </w:rPr>
      </w:pPr>
      <w:r>
        <w:rPr>
          <w:rFonts w:ascii="Courier New" w:cs="Courier New" w:eastAsia="Courier New" w:hAnsi="Courier New"/>
          <w:sz w:val="14"/>
          <w:szCs w:val="14"/>
          <w:color w:val="auto"/>
        </w:rPr>
        <w:t>(/4/)</w:t>
        <w:tab/>
        <w:t>Historical financials related to the Atlanta acquisition have not been included in this pro forma balance sheet because Radio One has determined that this acquisition is a purchase of the license only.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To reflect the use of cash as follows:</w:t>
      </w:r>
    </w:p>
    <w:p>
      <w:pPr>
        <w:spacing w:after="0" w:line="200" w:lineRule="exact"/>
        <w:rPr>
          <w:sz w:val="20"/>
          <w:szCs w:val="20"/>
          <w:color w:val="auto"/>
        </w:rPr>
      </w:pPr>
    </w:p>
    <w:p>
      <w:pPr>
        <w:spacing w:after="0" w:line="30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rPr>
              <w:t>Additional debt assumed to finance the Blue Chip and Richmond</w:t>
            </w:r>
          </w:p>
        </w:tc>
        <w:tc>
          <w:tcPr>
            <w:tcW w:w="840" w:type="dxa"/>
            <w:vAlign w:val="bottom"/>
          </w:tcPr>
          <w:p>
            <w:pPr>
              <w:spacing w:after="0"/>
              <w:rPr>
                <w:sz w:val="14"/>
                <w:szCs w:val="14"/>
                <w:color w:val="auto"/>
              </w:rPr>
            </w:pPr>
          </w:p>
        </w:tc>
      </w:tr>
      <w:tr>
        <w:trPr>
          <w:trHeight w:val="167"/>
        </w:trPr>
        <w:tc>
          <w:tcPr>
            <w:tcW w:w="5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III acquisitions...............................................</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$140,200</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Escrow deposit for</w:t>
            </w:r>
          </w:p>
        </w:tc>
        <w:tc>
          <w:tcPr>
            <w:tcW w:w="3940" w:type="dxa"/>
            <w:vAlign w:val="bottom"/>
          </w:tcPr>
          <w:p>
            <w:pPr>
              <w:jc w:val="right"/>
              <w:spacing w:after="0"/>
              <w:rPr>
                <w:sz w:val="20"/>
                <w:szCs w:val="20"/>
                <w:color w:val="auto"/>
              </w:rPr>
            </w:pPr>
            <w:r>
              <w:rPr>
                <w:rFonts w:ascii="Courier New" w:cs="Courier New" w:eastAsia="Courier New" w:hAnsi="Courier New"/>
                <w:sz w:val="14"/>
                <w:szCs w:val="14"/>
                <w:color w:val="auto"/>
              </w:rPr>
              <w:t>the Blue Chip and Richmond III acquisition...</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6,393</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Less:</w:t>
            </w:r>
          </w:p>
        </w:tc>
        <w:tc>
          <w:tcPr>
            <w:tcW w:w="3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Assumed cash to be</w:t>
            </w:r>
          </w:p>
        </w:tc>
        <w:tc>
          <w:tcPr>
            <w:tcW w:w="3940" w:type="dxa"/>
            <w:vAlign w:val="bottom"/>
          </w:tcPr>
          <w:p>
            <w:pPr>
              <w:jc w:val="right"/>
              <w:spacing w:after="0"/>
              <w:rPr>
                <w:sz w:val="20"/>
                <w:szCs w:val="20"/>
                <w:color w:val="auto"/>
              </w:rPr>
            </w:pPr>
            <w:r>
              <w:rPr>
                <w:rFonts w:ascii="Courier New" w:cs="Courier New" w:eastAsia="Courier New" w:hAnsi="Courier New"/>
                <w:sz w:val="14"/>
                <w:szCs w:val="14"/>
                <w:color w:val="auto"/>
              </w:rPr>
              <w:t>paid for Blue Chip acquisition...............</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77,580</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Purchase price for</w:t>
            </w:r>
          </w:p>
        </w:tc>
        <w:tc>
          <w:tcPr>
            <w:tcW w:w="3940" w:type="dxa"/>
            <w:vAlign w:val="bottom"/>
          </w:tcPr>
          <w:p>
            <w:pPr>
              <w:jc w:val="right"/>
              <w:spacing w:after="0"/>
              <w:rPr>
                <w:sz w:val="20"/>
                <w:szCs w:val="20"/>
                <w:color w:val="auto"/>
              </w:rPr>
            </w:pPr>
            <w:r>
              <w:rPr>
                <w:rFonts w:ascii="Courier New" w:cs="Courier New" w:eastAsia="Courier New" w:hAnsi="Courier New"/>
                <w:sz w:val="14"/>
                <w:szCs w:val="14"/>
                <w:color w:val="auto"/>
              </w:rPr>
              <w:t>Atlanta acquisition..........................</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55,000</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Purchase price for</w:t>
            </w:r>
          </w:p>
        </w:tc>
        <w:tc>
          <w:tcPr>
            <w:tcW w:w="3940" w:type="dxa"/>
            <w:vAlign w:val="bottom"/>
          </w:tcPr>
          <w:p>
            <w:pPr>
              <w:jc w:val="right"/>
              <w:spacing w:after="0"/>
              <w:rPr>
                <w:sz w:val="20"/>
                <w:szCs w:val="20"/>
                <w:color w:val="auto"/>
              </w:rPr>
            </w:pPr>
            <w:r>
              <w:rPr>
                <w:rFonts w:ascii="Courier New" w:cs="Courier New" w:eastAsia="Courier New" w:hAnsi="Courier New"/>
                <w:sz w:val="14"/>
                <w:szCs w:val="14"/>
                <w:color w:val="auto"/>
              </w:rPr>
              <w:t>Richmond III acquisition.....................</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34,000</w:t>
            </w:r>
          </w:p>
        </w:tc>
      </w:tr>
      <w:tr>
        <w:trPr>
          <w:trHeight w:val="167"/>
        </w:trPr>
        <w:tc>
          <w:tcPr>
            <w:tcW w:w="16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Total.........................................................</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$(19,987)</w:t>
            </w:r>
          </w:p>
        </w:tc>
      </w:tr>
      <w:tr>
        <w:trPr>
          <w:trHeight w:val="167"/>
        </w:trPr>
        <w:tc>
          <w:tcPr>
            <w:tcW w:w="16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As part of the Blue Chip acquisition, Radio One has the option to pay a minimum of $25 million and a maximum of $50 million in cash of the $190 million purchase price, with the remainder to be paid with the issuance of stock of Radio One and by the assumption of Blue Chip liabilities. The pro forma financial statements assume Radio One will pay the minimum cash amount of $25 million. Radio One has the option of selling stock of the Company to generate additional cash to pay Blue Chip the full $50 million in cash.</w:t>
      </w:r>
    </w:p>
    <w:p>
      <w:pPr>
        <w:spacing w:after="0" w:line="165" w:lineRule="exact"/>
        <w:rPr>
          <w:sz w:val="20"/>
          <w:szCs w:val="20"/>
          <w:color w:val="auto"/>
        </w:rPr>
      </w:pPr>
    </w:p>
    <w:p>
      <w:pPr>
        <w:ind w:left="520" w:right="423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(/6/)</w:t>
        <w:tab/>
        <w:t>To record estimated intangible assets booked as a result of the acquisitions, calculated as follows:</w:t>
      </w:r>
    </w:p>
    <w:p>
      <w:pPr>
        <w:spacing w:after="0" w:line="200" w:lineRule="exact"/>
        <w:rPr>
          <w:sz w:val="20"/>
          <w:szCs w:val="20"/>
          <w:color w:val="auto"/>
        </w:rPr>
      </w:pPr>
    </w:p>
    <w:p>
      <w:pPr>
        <w:spacing w:after="0" w:line="29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Purchase price.....................................................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$279,000</w:t>
            </w: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Less: Net tangible assets..........................................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13,470</w:t>
            </w:r>
          </w:p>
        </w:tc>
      </w:tr>
      <w:tr>
        <w:trPr>
          <w:trHeight w:val="167"/>
        </w:trPr>
        <w:tc>
          <w:tcPr>
            <w:tcW w:w="5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Intangibles acquired...............................................</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265,530</w:t>
            </w: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Less: Intangibles previously recorded..............................</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76,182</w:t>
            </w:r>
          </w:p>
        </w:tc>
      </w:tr>
      <w:tr>
        <w:trPr>
          <w:trHeight w:val="167"/>
        </w:trPr>
        <w:tc>
          <w:tcPr>
            <w:tcW w:w="5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$189,348</w:t>
            </w:r>
          </w:p>
        </w:tc>
      </w:tr>
      <w:tr>
        <w:trPr>
          <w:trHeight w:val="167"/>
        </w:trPr>
        <w:tc>
          <w:tcPr>
            <w:tcW w:w="5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520" w:right="3639" w:hanging="519"/>
        <w:spacing w:after="0" w:line="252" w:lineRule="auto"/>
        <w:tabs>
          <w:tab w:leader="none" w:pos="500" w:val="left"/>
        </w:tabs>
        <w:rPr>
          <w:sz w:val="20"/>
          <w:szCs w:val="20"/>
          <w:color w:val="auto"/>
        </w:rPr>
      </w:pPr>
      <w:r>
        <w:rPr>
          <w:rFonts w:ascii="Courier New" w:cs="Courier New" w:eastAsia="Courier New" w:hAnsi="Courier New"/>
          <w:sz w:val="14"/>
          <w:szCs w:val="14"/>
          <w:color w:val="auto"/>
        </w:rPr>
        <w:t>(/7/)</w:t>
        <w:tab/>
        <w:t>To eliminate debt related to the Blue Chip acquisition as Radio One is not acquiring the debt and to reflect additional borrowings of $140.2 million on the bank facility to finance the acquisitions.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To eliminate the Blue Chip equity balances.</w:t>
      </w:r>
    </w:p>
    <w:p>
      <w:pPr>
        <w:spacing w:after="0" w:line="8" w:lineRule="exact"/>
        <w:rPr>
          <w:sz w:val="20"/>
          <w:szCs w:val="20"/>
          <w:color w:val="auto"/>
        </w:rPr>
      </w:pPr>
    </w:p>
    <w:p>
      <w:pPr>
        <w:ind w:left="520" w:right="3799" w:hanging="519"/>
        <w:spacing w:after="0" w:line="258" w:lineRule="auto"/>
        <w:tabs>
          <w:tab w:leader="none" w:pos="500" w:val="left"/>
        </w:tabs>
        <w:rPr>
          <w:sz w:val="20"/>
          <w:szCs w:val="20"/>
          <w:color w:val="auto"/>
        </w:rPr>
      </w:pPr>
      <w:r>
        <w:rPr>
          <w:rFonts w:ascii="Courier New" w:cs="Courier New" w:eastAsia="Courier New" w:hAnsi="Courier New"/>
          <w:sz w:val="14"/>
          <w:szCs w:val="14"/>
          <w:color w:val="auto"/>
        </w:rPr>
        <w:t>(/9/)</w:t>
        <w:tab/>
        <w:t>To reflect the 8,030 shares of class D common stock at $14 per share issued to Blue Chip in the acquisition.</w:t>
      </w:r>
    </w:p>
    <w:p>
      <w:pPr>
        <w:spacing w:after="0" w:line="160" w:lineRule="exact"/>
        <w:rPr>
          <w:sz w:val="20"/>
          <w:szCs w:val="20"/>
          <w:color w:val="auto"/>
        </w:rPr>
      </w:pPr>
    </w:p>
    <w:p>
      <w:pPr>
        <w:ind w:left="520" w:hanging="511"/>
        <w:spacing w:after="0"/>
        <w:tabs>
          <w:tab w:leader="none" w:pos="5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the use of cash as follows:</w:t>
      </w:r>
    </w:p>
    <w:p>
      <w:pPr>
        <w:spacing w:after="0" w:line="200" w:lineRule="exact"/>
        <w:rPr>
          <w:sz w:val="20"/>
          <w:szCs w:val="20"/>
          <w:color w:val="auto"/>
        </w:rPr>
      </w:pPr>
    </w:p>
    <w:p>
      <w:pPr>
        <w:spacing w:after="0" w:line="30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Gross proceeds of</w:t>
            </w:r>
          </w:p>
        </w:tc>
        <w:tc>
          <w:tcPr>
            <w:tcW w:w="4080" w:type="dxa"/>
            <w:vAlign w:val="bottom"/>
          </w:tcPr>
          <w:p>
            <w:pPr>
              <w:ind w:left="60"/>
              <w:spacing w:after="0"/>
              <w:rPr>
                <w:sz w:val="20"/>
                <w:szCs w:val="20"/>
                <w:color w:val="auto"/>
              </w:rPr>
            </w:pPr>
            <w:r>
              <w:rPr>
                <w:rFonts w:ascii="Courier New" w:cs="Courier New" w:eastAsia="Courier New" w:hAnsi="Courier New"/>
                <w:sz w:val="14"/>
                <w:szCs w:val="14"/>
                <w:color w:val="auto"/>
              </w:rPr>
              <w:t>the Notes.....................................</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$ 300,000</w:t>
            </w:r>
          </w:p>
        </w:tc>
      </w:tr>
      <w:tr>
        <w:trPr>
          <w:trHeight w:val="167"/>
        </w:trPr>
        <w:tc>
          <w:tcPr>
            <w:tcW w:w="880" w:type="dxa"/>
            <w:vAlign w:val="bottom"/>
          </w:tcPr>
          <w:p>
            <w:pPr>
              <w:jc w:val="right"/>
              <w:ind w:right="15"/>
              <w:spacing w:after="0"/>
              <w:rPr>
                <w:sz w:val="20"/>
                <w:szCs w:val="20"/>
                <w:color w:val="auto"/>
              </w:rPr>
            </w:pPr>
            <w:r>
              <w:rPr>
                <w:rFonts w:ascii="Courier New" w:cs="Courier New" w:eastAsia="Courier New" w:hAnsi="Courier New"/>
                <w:sz w:val="14"/>
                <w:szCs w:val="14"/>
                <w:color w:val="auto"/>
              </w:rPr>
              <w:t>Repayment</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of bank</w:t>
            </w:r>
          </w:p>
        </w:tc>
        <w:tc>
          <w:tcPr>
            <w:tcW w:w="4080" w:type="dxa"/>
            <w:vAlign w:val="bottom"/>
          </w:tcPr>
          <w:p>
            <w:pPr>
              <w:ind w:left="60"/>
              <w:spacing w:after="0"/>
              <w:rPr>
                <w:sz w:val="20"/>
                <w:szCs w:val="20"/>
                <w:color w:val="auto"/>
              </w:rPr>
            </w:pPr>
            <w:r>
              <w:rPr>
                <w:rFonts w:ascii="Courier New" w:cs="Courier New" w:eastAsia="Courier New" w:hAnsi="Courier New"/>
                <w:sz w:val="14"/>
                <w:szCs w:val="14"/>
                <w:color w:val="auto"/>
              </w:rPr>
              <w:t>credit facility...............................</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(200,000)</w:t>
            </w:r>
          </w:p>
        </w:tc>
      </w:tr>
      <w:tr>
        <w:trPr>
          <w:trHeight w:val="167"/>
        </w:trPr>
        <w:tc>
          <w:tcPr>
            <w:tcW w:w="880" w:type="dxa"/>
            <w:vAlign w:val="bottom"/>
          </w:tcPr>
          <w:p>
            <w:pPr>
              <w:jc w:val="right"/>
              <w:ind w:right="15"/>
              <w:spacing w:after="0"/>
              <w:rPr>
                <w:sz w:val="20"/>
                <w:szCs w:val="20"/>
                <w:color w:val="auto"/>
              </w:rPr>
            </w:pPr>
            <w:r>
              <w:rPr>
                <w:rFonts w:ascii="Courier New" w:cs="Courier New" w:eastAsia="Courier New" w:hAnsi="Courier New"/>
                <w:sz w:val="14"/>
                <w:szCs w:val="14"/>
                <w:color w:val="auto"/>
              </w:rPr>
              <w:t>Repayment</w:t>
            </w:r>
          </w:p>
        </w:tc>
        <w:tc>
          <w:tcPr>
            <w:tcW w:w="4720" w:type="dxa"/>
            <w:vAlign w:val="bottom"/>
            <w:gridSpan w:val="2"/>
          </w:tcPr>
          <w:p>
            <w:pPr>
              <w:spacing w:after="0"/>
              <w:rPr>
                <w:sz w:val="20"/>
                <w:szCs w:val="20"/>
                <w:color w:val="auto"/>
              </w:rPr>
            </w:pPr>
            <w:r>
              <w:rPr>
                <w:rFonts w:ascii="Courier New" w:cs="Courier New" w:eastAsia="Courier New" w:hAnsi="Courier New"/>
                <w:sz w:val="14"/>
                <w:szCs w:val="14"/>
                <w:color w:val="auto"/>
              </w:rPr>
              <w:t>of 12% Senior Subordinated Notes, including premium</w:t>
            </w:r>
          </w:p>
        </w:tc>
        <w:tc>
          <w:tcPr>
            <w:tcW w:w="920" w:type="dxa"/>
            <w:vAlign w:val="bottom"/>
          </w:tcPr>
          <w:p>
            <w:pPr>
              <w:spacing w:after="0"/>
              <w:rPr>
                <w:sz w:val="14"/>
                <w:szCs w:val="14"/>
                <w:color w:val="auto"/>
              </w:rPr>
            </w:pPr>
          </w:p>
        </w:tc>
      </w:tr>
      <w:tr>
        <w:trPr>
          <w:trHeight w:val="167"/>
        </w:trPr>
        <w:tc>
          <w:tcPr>
            <w:tcW w:w="880" w:type="dxa"/>
            <w:vAlign w:val="bottom"/>
          </w:tcPr>
          <w:p>
            <w:pPr>
              <w:jc w:val="right"/>
              <w:ind w:right="15"/>
              <w:spacing w:after="0"/>
              <w:rPr>
                <w:sz w:val="20"/>
                <w:szCs w:val="20"/>
                <w:color w:val="auto"/>
              </w:rPr>
            </w:pPr>
            <w:r>
              <w:rPr>
                <w:rFonts w:ascii="Courier New" w:cs="Courier New" w:eastAsia="Courier New" w:hAnsi="Courier New"/>
                <w:sz w:val="14"/>
                <w:szCs w:val="14"/>
                <w:color w:val="auto"/>
              </w:rPr>
              <w:t>paid and</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accrued</w:t>
            </w:r>
          </w:p>
        </w:tc>
        <w:tc>
          <w:tcPr>
            <w:tcW w:w="4080" w:type="dxa"/>
            <w:vAlign w:val="bottom"/>
          </w:tcPr>
          <w:p>
            <w:pPr>
              <w:ind w:left="60"/>
              <w:spacing w:after="0"/>
              <w:rPr>
                <w:sz w:val="20"/>
                <w:szCs w:val="20"/>
                <w:color w:val="auto"/>
              </w:rPr>
            </w:pPr>
            <w:r>
              <w:rPr>
                <w:rFonts w:ascii="Courier New" w:cs="Courier New" w:eastAsia="Courier New" w:hAnsi="Courier New"/>
                <w:sz w:val="14"/>
                <w:szCs w:val="14"/>
                <w:color w:val="auto"/>
              </w:rPr>
              <w:t>interest......................................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(94,503)</w:t>
            </w:r>
          </w:p>
        </w:tc>
      </w:tr>
      <w:tr>
        <w:trPr>
          <w:trHeight w:val="167"/>
        </w:trPr>
        <w:tc>
          <w:tcPr>
            <w:tcW w:w="880" w:type="dxa"/>
            <w:vAlign w:val="bottom"/>
          </w:tcPr>
          <w:p>
            <w:pPr>
              <w:jc w:val="right"/>
              <w:ind w:right="15"/>
              <w:spacing w:after="0"/>
              <w:rPr>
                <w:sz w:val="20"/>
                <w:szCs w:val="20"/>
                <w:color w:val="auto"/>
              </w:rPr>
            </w:pPr>
            <w:r>
              <w:rPr>
                <w:rFonts w:ascii="Courier New" w:cs="Courier New" w:eastAsia="Courier New" w:hAnsi="Courier New"/>
                <w:sz w:val="14"/>
                <w:szCs w:val="14"/>
                <w:color w:val="auto"/>
              </w:rPr>
              <w:t>Estimated</w:t>
            </w:r>
          </w:p>
        </w:tc>
        <w:tc>
          <w:tcPr>
            <w:tcW w:w="4720" w:type="dxa"/>
            <w:vAlign w:val="bottom"/>
            <w:gridSpan w:val="2"/>
          </w:tcPr>
          <w:p>
            <w:pPr>
              <w:spacing w:after="0"/>
              <w:rPr>
                <w:sz w:val="20"/>
                <w:szCs w:val="20"/>
                <w:color w:val="auto"/>
              </w:rPr>
            </w:pPr>
            <w:r>
              <w:rPr>
                <w:rFonts w:ascii="Courier New" w:cs="Courier New" w:eastAsia="Courier New" w:hAnsi="Courier New"/>
                <w:sz w:val="14"/>
                <w:szCs w:val="14"/>
                <w:color w:val="auto"/>
              </w:rPr>
              <w:t>fees and expenses.....................................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(8,775)</w:t>
            </w:r>
          </w:p>
        </w:tc>
      </w:tr>
      <w:tr>
        <w:trPr>
          <w:trHeight w:val="167"/>
        </w:trPr>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520" w:type="dxa"/>
            <w:vAlign w:val="bottom"/>
            <w:gridSpan w:val="2"/>
          </w:tcPr>
          <w:p>
            <w:pPr>
              <w:ind w:left="180"/>
              <w:spacing w:after="0"/>
              <w:rPr>
                <w:sz w:val="20"/>
                <w:szCs w:val="20"/>
                <w:color w:val="auto"/>
              </w:rPr>
            </w:pPr>
            <w:r>
              <w:rPr>
                <w:rFonts w:ascii="Courier New" w:cs="Courier New" w:eastAsia="Courier New" w:hAnsi="Courier New"/>
                <w:sz w:val="5"/>
                <w:szCs w:val="5"/>
                <w:color w:val="auto"/>
                <w:w w:val="70"/>
              </w:rPr>
              <w:t>Total.........................................................</w:t>
            </w:r>
          </w:p>
        </w:tc>
        <w:tc>
          <w:tcPr>
            <w:tcW w:w="40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(3,278)</w:t>
            </w:r>
          </w:p>
        </w:tc>
      </w:tr>
      <w:tr>
        <w:trPr>
          <w:trHeight w:val="167"/>
        </w:trPr>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520" w:right="3799" w:hanging="511"/>
        <w:spacing w:after="0" w:line="258" w:lineRule="auto"/>
        <w:tabs>
          <w:tab w:leader="none" w:pos="52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the change in deferred financing costs as a result of the issuance of the Notes, calculated as follows:</w:t>
      </w:r>
    </w:p>
    <w:p>
      <w:pPr>
        <w:spacing w:after="0" w:line="200" w:lineRule="exact"/>
        <w:rPr>
          <w:sz w:val="20"/>
          <w:szCs w:val="20"/>
          <w:color w:val="auto"/>
        </w:rPr>
      </w:pPr>
    </w:p>
    <w:p>
      <w:pPr>
        <w:spacing w:after="0" w:line="29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financing</w:t>
            </w:r>
          </w:p>
        </w:tc>
        <w:tc>
          <w:tcPr>
            <w:tcW w:w="4120" w:type="dxa"/>
            <w:vAlign w:val="bottom"/>
          </w:tcPr>
          <w:p>
            <w:pPr>
              <w:jc w:val="right"/>
              <w:spacing w:after="0"/>
              <w:rPr>
                <w:sz w:val="20"/>
                <w:szCs w:val="20"/>
                <w:color w:val="auto"/>
              </w:rPr>
            </w:pPr>
            <w:r>
              <w:rPr>
                <w:rFonts w:ascii="Courier New" w:cs="Courier New" w:eastAsia="Courier New" w:hAnsi="Courier New"/>
                <w:sz w:val="14"/>
                <w:szCs w:val="14"/>
                <w:color w:val="auto"/>
              </w:rPr>
              <w:t>costs associated with the Notes................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$ 8,775</w:t>
            </w:r>
          </w:p>
        </w:tc>
      </w:tr>
      <w:tr>
        <w:trPr>
          <w:trHeight w:val="167"/>
        </w:trPr>
        <w:tc>
          <w:tcPr>
            <w:tcW w:w="1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Less: Write-off of</w:t>
            </w:r>
          </w:p>
        </w:tc>
        <w:tc>
          <w:tcPr>
            <w:tcW w:w="4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 financing costs associated with the</w:t>
            </w:r>
          </w:p>
        </w:tc>
        <w:tc>
          <w:tcPr>
            <w:tcW w:w="740" w:type="dxa"/>
            <w:vAlign w:val="bottom"/>
          </w:tcPr>
          <w:p>
            <w:pPr>
              <w:spacing w:after="0"/>
              <w:rPr>
                <w:sz w:val="14"/>
                <w:szCs w:val="14"/>
                <w:color w:val="auto"/>
              </w:rPr>
            </w:pPr>
          </w:p>
        </w:tc>
      </w:tr>
      <w:tr>
        <w:trPr>
          <w:trHeight w:val="167"/>
        </w:trPr>
        <w:tc>
          <w:tcPr>
            <w:tcW w:w="1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retirement of the</w:t>
            </w:r>
          </w:p>
        </w:tc>
        <w:tc>
          <w:tcPr>
            <w:tcW w:w="4120" w:type="dxa"/>
            <w:vAlign w:val="bottom"/>
          </w:tcPr>
          <w:p>
            <w:pPr>
              <w:jc w:val="right"/>
              <w:spacing w:after="0"/>
              <w:rPr>
                <w:sz w:val="20"/>
                <w:szCs w:val="20"/>
                <w:color w:val="auto"/>
              </w:rPr>
            </w:pPr>
            <w:r>
              <w:rPr>
                <w:rFonts w:ascii="Courier New" w:cs="Courier New" w:eastAsia="Courier New" w:hAnsi="Courier New"/>
                <w:sz w:val="14"/>
                <w:szCs w:val="14"/>
                <w:color w:val="auto"/>
              </w:rPr>
              <w:t>12% Senior Subordinated Notes..................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(1,163)</w:t>
            </w:r>
          </w:p>
        </w:tc>
      </w:tr>
      <w:tr>
        <w:trPr>
          <w:trHeight w:val="167"/>
        </w:trPr>
        <w:tc>
          <w:tcPr>
            <w:tcW w:w="16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Total...........................................................</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$ 7,612</w:t>
            </w:r>
          </w:p>
        </w:tc>
      </w:tr>
      <w:tr>
        <w:trPr>
          <w:trHeight w:val="167"/>
        </w:trPr>
        <w:tc>
          <w:tcPr>
            <w:tcW w:w="16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1660" w:type="dxa"/>
            <w:vAlign w:val="bottom"/>
          </w:tcPr>
          <w:p>
            <w:pPr>
              <w:spacing w:after="0"/>
              <w:rPr>
                <w:sz w:val="24"/>
                <w:szCs w:val="24"/>
                <w:color w:val="auto"/>
              </w:rPr>
            </w:pPr>
          </w:p>
        </w:tc>
        <w:tc>
          <w:tcPr>
            <w:tcW w:w="412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40</w:t>
            </w:r>
          </w:p>
        </w:tc>
        <w:tc>
          <w:tcPr>
            <w:tcW w:w="7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48" w:name="page49"/>
    <w:bookmarkEnd w:id="48"/>
    <w:p>
      <w:pPr>
        <w:ind w:left="351" w:right="3639" w:hanging="351"/>
        <w:spacing w:after="0" w:line="252" w:lineRule="auto"/>
        <w:tabs>
          <w:tab w:leader="none" w:pos="35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the issuance of the Notes, the repayment of a portion of the indebtedness under the bank credit facility and the repayment of the 12% Senior Subordinated Notes, including accrued interest.</w:t>
      </w:r>
    </w:p>
    <w:p>
      <w:pPr>
        <w:spacing w:after="0" w:line="1" w:lineRule="exact"/>
        <w:rPr>
          <w:rFonts w:ascii="Courier New" w:cs="Courier New" w:eastAsia="Courier New" w:hAnsi="Courier New"/>
          <w:sz w:val="14"/>
          <w:szCs w:val="14"/>
          <w:color w:val="auto"/>
        </w:rPr>
      </w:pPr>
    </w:p>
    <w:p>
      <w:pPr>
        <w:ind w:left="351" w:hanging="351"/>
        <w:spacing w:after="0"/>
        <w:tabs>
          <w:tab w:leader="none" w:pos="35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the increase in accumulate deficit, calculated as follows:</w:t>
      </w:r>
    </w:p>
    <w:p>
      <w:pPr>
        <w:spacing w:after="0" w:line="200" w:lineRule="exact"/>
        <w:rPr>
          <w:sz w:val="20"/>
          <w:szCs w:val="20"/>
          <w:color w:val="auto"/>
        </w:rPr>
      </w:pPr>
    </w:p>
    <w:p>
      <w:pPr>
        <w:spacing w:after="0" w:line="309" w:lineRule="exact"/>
        <w:rPr>
          <w:sz w:val="20"/>
          <w:szCs w:val="20"/>
          <w:color w:val="auto"/>
        </w:rPr>
      </w:pPr>
    </w:p>
    <w:tbl>
      <w:tblPr>
        <w:tblLayout w:type="fixed"/>
        <w:tblInd w:w="251" w:type="dxa"/>
        <w:tblCellMar>
          <w:top w:w="0" w:type="dxa"/>
          <w:left w:w="0" w:type="dxa"/>
          <w:bottom w:w="0" w:type="dxa"/>
          <w:right w:w="0" w:type="dxa"/>
        </w:tblCellMar>
      </w:tblPr>
      <w:tr>
        <w:trPr>
          <w:trHeight w:val="162"/>
        </w:trPr>
        <w:tc>
          <w:tcPr>
            <w:tcW w:w="5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Write-off of deferred financing costs related to the 12% Senior</w:t>
            </w:r>
          </w:p>
        </w:tc>
        <w:tc>
          <w:tcPr>
            <w:tcW w:w="580" w:type="dxa"/>
            <w:vAlign w:val="bottom"/>
          </w:tcPr>
          <w:p>
            <w:pPr>
              <w:spacing w:after="0"/>
              <w:rPr>
                <w:sz w:val="14"/>
                <w:szCs w:val="14"/>
                <w:color w:val="auto"/>
              </w:rPr>
            </w:pP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Subordinated Notes................................................</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$1,163</w:t>
            </w: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Premium paid on retiring the 12% Senior Subordinated Notes.........</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6,156</w:t>
            </w:r>
          </w:p>
        </w:tc>
      </w:tr>
      <w:tr>
        <w:trPr>
          <w:trHeight w:val="167"/>
        </w:trPr>
        <w:tc>
          <w:tcPr>
            <w:tcW w:w="5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$7,319</w:t>
            </w:r>
          </w:p>
        </w:tc>
      </w:tr>
      <w:tr>
        <w:trPr>
          <w:trHeight w:val="167"/>
        </w:trPr>
        <w:tc>
          <w:tcPr>
            <w:tcW w:w="5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5860" w:type="dxa"/>
            <w:vAlign w:val="bottom"/>
          </w:tcPr>
          <w:p>
            <w:pPr>
              <w:jc w:val="right"/>
              <w:ind w:right="2488"/>
              <w:spacing w:after="0"/>
              <w:rPr>
                <w:sz w:val="20"/>
                <w:szCs w:val="20"/>
                <w:color w:val="auto"/>
              </w:rPr>
            </w:pPr>
            <w:r>
              <w:rPr>
                <w:rFonts w:ascii="Courier New" w:cs="Courier New" w:eastAsia="Courier New" w:hAnsi="Courier New"/>
                <w:sz w:val="14"/>
                <w:szCs w:val="14"/>
                <w:color w:val="auto"/>
              </w:rPr>
              <w:t>41</w:t>
            </w:r>
          </w:p>
        </w:tc>
        <w:tc>
          <w:tcPr>
            <w:tcW w:w="580" w:type="dxa"/>
            <w:vAlign w:val="bottom"/>
          </w:tcPr>
          <w:p>
            <w:pPr>
              <w:spacing w:after="0"/>
              <w:rPr>
                <w:sz w:val="24"/>
                <w:szCs w:val="24"/>
                <w:color w:val="auto"/>
              </w:rPr>
            </w:pPr>
          </w:p>
        </w:tc>
      </w:tr>
    </w:tbl>
    <w:p>
      <w:pPr>
        <w:sectPr>
          <w:pgSz w:w="11900" w:h="16838" w:orient="portrait"/>
          <w:cols w:equalWidth="0" w:num="1">
            <w:col w:w="10230"/>
          </w:cols>
          <w:pgMar w:left="229" w:top="620" w:right="1440" w:bottom="1440" w:gutter="0" w:footer="0" w:header="0"/>
        </w:sectPr>
      </w:pPr>
    </w:p>
    <w:bookmarkStart w:id="49" w:name="page50"/>
    <w:bookmarkEnd w:id="49"/>
    <w:p>
      <w:pPr>
        <w:ind w:left="2260"/>
        <w:spacing w:after="0"/>
        <w:rPr>
          <w:sz w:val="20"/>
          <w:szCs w:val="20"/>
          <w:color w:val="auto"/>
        </w:rPr>
      </w:pPr>
      <w:r>
        <w:rPr>
          <w:rFonts w:ascii="Courier New" w:cs="Courier New" w:eastAsia="Courier New" w:hAnsi="Courier New"/>
          <w:sz w:val="14"/>
          <w:szCs w:val="14"/>
          <w:color w:val="auto"/>
        </w:rPr>
        <w:t>DESCRIPTION OF INDEBTEDNESS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Credit Facility</w:t>
      </w:r>
    </w:p>
    <w:p>
      <w:pPr>
        <w:spacing w:after="0" w:line="175"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Our credit agreement provides for a bank credit facility under which we may borrow up to $600.0 million from a group of banking institutions. The credit facility consists of term loans in an amount of up to $350.0 million and revolving credit loans in an amount of up to $250.0 million that may be borrowed on a revolving basis. As of March 31, 2001, we had borrowed approximately $570.0 million under the bank credit facility. Subsequent draw downs of revolving loans under the bank credit facility will be subject to compliance with provisions of the credit agreement, including but not limited to the financial covenants. Borrowings under the bank credit facility may be entirely of Eurodollar Loans, Alternate Base Rate ("ABR") Loans or a combination thereof.</w:t>
      </w:r>
    </w:p>
    <w:p>
      <w:pPr>
        <w:spacing w:after="0" w:line="331"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term loans have scheduled quarterly amortization payments payable on the last day of each fiscal quarter beginning March 31, 2003, with 15% of the term loans payable in each of 2003 and 2004, 20% payable in 2005, and 25% payable in each of 2006 and 2007, with the final payment due on June 30, 2007. In addition, we are required to prepay the term loans with 100% of the net cash proceeds of certain asset sales and insurance awards (subject to a $10 million exclusion and the right to reinvest such proceeds within specified time periods), 50% of the net cash proceeds of certain equity issuances (but only if the ratio of total debt to EBITDA as of the end of the immediately preceding fiscal quarter exceeds 6.0 to 1.0, and then only to the extent necessary to reduce the ratio of total debt to EBITDA to 6.0 to 1.0), and, if the ratio of total debt to EBITDA exceeds 6.0 to 1.0 as of the end of any fiscal year after December 31, 2002, 50% of excess cash flow for such fiscal year.</w:t>
      </w:r>
    </w:p>
    <w:p>
      <w:pPr>
        <w:spacing w:after="0" w:line="163" w:lineRule="exact"/>
        <w:rPr>
          <w:sz w:val="20"/>
          <w:szCs w:val="20"/>
          <w:color w:val="auto"/>
        </w:rPr>
      </w:pPr>
    </w:p>
    <w:p>
      <w:pPr>
        <w:jc w:val="both"/>
        <w:ind w:right="3639" w:firstLine="260"/>
        <w:spacing w:after="0" w:line="255" w:lineRule="auto"/>
        <w:rPr>
          <w:sz w:val="20"/>
          <w:szCs w:val="20"/>
          <w:color w:val="auto"/>
        </w:rPr>
      </w:pPr>
      <w:r>
        <w:rPr>
          <w:rFonts w:ascii="Courier New" w:cs="Courier New" w:eastAsia="Courier New" w:hAnsi="Courier New"/>
          <w:sz w:val="14"/>
          <w:szCs w:val="14"/>
          <w:color w:val="auto"/>
        </w:rPr>
        <w:t>Our ability to borrow revolving loans under the bank credit facility will terminate on June 30, 2007, at which time any outstanding principal together with all accrued and unpaid interest thereon would become due and payable.</w:t>
      </w:r>
    </w:p>
    <w:p>
      <w:pPr>
        <w:spacing w:after="0" w:line="16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All amounts under the bank credit facility are guaranteed by each of Radio One's direct and indirect restricted subsidiaries. The bank credit facility is secured by a perfected first priority secured interest in: (1) substantially all of the tangible and intangible assets of Radio One and our direct and indirect restricted subsidiaries including, without limitation, any and all FCC licenses to the maximum extent permitted by law, but excluding real estate assets, and (2) all of the common stock of our direct and indirect restricted subsidiaries, including all warrants or options and other similar securities to purchase such securities. Radio One will also grant a security interest in all money (including interest), instruments and securities at any time held or acquired in connection with a cash collateral account established pursuant to the credit agreement, together with all proceeds thereof.</w:t>
      </w:r>
    </w:p>
    <w:p>
      <w:pPr>
        <w:spacing w:after="0" w:line="164"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The interest rates on the borrowings under the bank credit facility are based on the ratio of total debt to EBITDA with a maximum margin above ABR of 1.250% with respect to ABR Loans, and a maximum margin above Eurodollar rate of</w:t>
      </w:r>
    </w:p>
    <w:p>
      <w:pPr>
        <w:spacing w:after="0" w:line="1"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2.250% with respect to Eurodollar Loans. Eurodollar Loans is based on a 360-day period for actual days elapsed, and interest on ABR Loans is based on a 365-day period for actual days elapsed. In addition, Radio One will pay a commitment fee based on the average daily amount of the available revolving credit loans commitment computed at a rate per year tied to a leverage ratio in effect for the fiscal quarter preceding the date of payment of such fee. The commitment fee is fully earned and non-refundable and is payable quarterly in arrears on the last business day of each March, June, September and December and on the maturity date of the revolving credit loans.</w:t>
      </w:r>
    </w:p>
    <w:p>
      <w:pPr>
        <w:spacing w:after="0" w:line="164"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credit agreement contains customary and appropriate affirmative and negative covenants including, but not limited to, financial covenants and other covenants including limitations on other indebtedness, liens, investments, guarantees, restricted payments (dividends, redemptions and payments on subordinated debt), prepayment or repurchase of other indebtedness, mergers and acquisitions, sales of assets, transactions with</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50" w:name="page51"/>
    <w:bookmarkEnd w:id="50"/>
    <w:p>
      <w:pPr>
        <w:ind w:right="3379"/>
        <w:spacing w:after="0" w:line="255" w:lineRule="auto"/>
        <w:rPr>
          <w:sz w:val="20"/>
          <w:szCs w:val="20"/>
          <w:color w:val="auto"/>
        </w:rPr>
      </w:pPr>
      <w:r>
        <w:rPr>
          <w:rFonts w:ascii="Courier New" w:cs="Courier New" w:eastAsia="Courier New" w:hAnsi="Courier New"/>
          <w:sz w:val="14"/>
          <w:szCs w:val="14"/>
          <w:color w:val="auto"/>
        </w:rPr>
        <w:t>affiliates and other provisions customary and appropriate for financing of this type, including mutually agreed upon exceptions and baskets. The financial covenants include:</w:t>
      </w:r>
    </w:p>
    <w:p>
      <w:pPr>
        <w:spacing w:after="0" w:line="162" w:lineRule="exact"/>
        <w:rPr>
          <w:sz w:val="20"/>
          <w:szCs w:val="20"/>
          <w:color w:val="auto"/>
        </w:rPr>
      </w:pPr>
    </w:p>
    <w:p>
      <w:pPr>
        <w:ind w:left="440" w:hanging="257"/>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maximum ratio of total debt to EBITDA of 7.0x;</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maximum ratio of senior debt to EBITDA of 5.0x;</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minimum interest coverage ratio; and</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minimum fixed charge coverage ratio.</w:t>
      </w:r>
    </w:p>
    <w:p>
      <w:pPr>
        <w:spacing w:after="0" w:line="175"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agreement contains the following customary events of default:</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to make payments when due;</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defaults under any other agreements or instruments of indebtedness;</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noncompliance with covenants;</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breaches of representations and warranties;</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or involuntary bankruptcy or liquidation proceedings;</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entrance of judgments;</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impairment of security interests in collateral; and</w:t>
      </w:r>
    </w:p>
    <w:p>
      <w:pPr>
        <w:spacing w:after="0" w:line="175"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of control.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Notes Due 2004</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On May 15, 1997, we entered into an approximate $85.0 million aggregate principal amount offering of our 12% Senior Subordinated Notes. The 12% Notes due 2004 were issued pursuant to an indenture, dated as of May 15, 1997 among Radio One, Radio One Licenses, Inc. and United States Trust Company of New York.</w:t>
      </w:r>
    </w:p>
    <w:p>
      <w:pPr>
        <w:spacing w:after="0" w:line="16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12% Notes due 2004 were redeemable at any time and from time to time at the option of Radio One, in whole or in part, on or after May 15, 2001 at the redemption prices set forth in the 12% Notes due 2004, plus accrued and unpaid interest to the date of redemption. We redeemed the 12% Notes due 2004 in whole with proceeds from the offering of the outstanding notes to the initial purchasers.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51" w:name="page52"/>
    <w:bookmarkEnd w:id="51"/>
    <w:p>
      <w:pPr>
        <w:jc w:val="center"/>
        <w:ind w:right="3279"/>
        <w:spacing w:after="0"/>
        <w:rPr>
          <w:sz w:val="20"/>
          <w:szCs w:val="20"/>
          <w:color w:val="auto"/>
        </w:rPr>
      </w:pPr>
      <w:r>
        <w:rPr>
          <w:rFonts w:ascii="Courier New" w:cs="Courier New" w:eastAsia="Courier New" w:hAnsi="Courier New"/>
          <w:sz w:val="14"/>
          <w:szCs w:val="14"/>
          <w:color w:val="auto"/>
        </w:rPr>
        <w:t>DESCRIPTION OF NOTES</w:t>
      </w:r>
    </w:p>
    <w:p>
      <w:pPr>
        <w:spacing w:after="0" w:line="175" w:lineRule="exact"/>
        <w:rPr>
          <w:sz w:val="20"/>
          <w:szCs w:val="20"/>
          <w:color w:val="auto"/>
        </w:rPr>
      </w:pPr>
    </w:p>
    <w:p>
      <w:pPr>
        <w:ind w:right="3379" w:firstLine="260"/>
        <w:spacing w:after="0" w:line="255" w:lineRule="auto"/>
        <w:rPr>
          <w:sz w:val="20"/>
          <w:szCs w:val="20"/>
          <w:color w:val="auto"/>
        </w:rPr>
      </w:pPr>
      <w:r>
        <w:rPr>
          <w:rFonts w:ascii="Courier New" w:cs="Courier New" w:eastAsia="Courier New" w:hAnsi="Courier New"/>
          <w:sz w:val="14"/>
          <w:szCs w:val="14"/>
          <w:color w:val="auto"/>
        </w:rPr>
        <w:t>You can find the definitions of certain terms used in this description under the subheading "--Certain Definitions." In this description, the word "Radio One" refers only to Radio One, Inc. and not to any of its subsidiaries.</w:t>
      </w:r>
    </w:p>
    <w:p>
      <w:pPr>
        <w:spacing w:after="0" w:line="162"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Radio One issued the Notes under an Indenture among itself, the Guarantors and United States Trust Company of New York, as trustee, in a private transaction that was not subject to the registration requirements of the Securities Act. The terms of the Notes include those stated in the Indenture and those made part of the Indenture by reference to the Trust Indenture Act of 1939.</w:t>
      </w:r>
    </w:p>
    <w:p>
      <w:pPr>
        <w:spacing w:after="0" w:line="329" w:lineRule="exact"/>
        <w:rPr>
          <w:sz w:val="20"/>
          <w:szCs w:val="20"/>
          <w:color w:val="auto"/>
        </w:rPr>
      </w:pPr>
    </w:p>
    <w:p>
      <w:pPr>
        <w:ind w:right="3639" w:firstLine="260"/>
        <w:spacing w:after="0" w:line="255" w:lineRule="auto"/>
        <w:rPr>
          <w:sz w:val="20"/>
          <w:szCs w:val="20"/>
          <w:color w:val="auto"/>
        </w:rPr>
      </w:pPr>
      <w:r>
        <w:rPr>
          <w:rFonts w:ascii="Courier New" w:cs="Courier New" w:eastAsia="Courier New" w:hAnsi="Courier New"/>
          <w:sz w:val="14"/>
          <w:szCs w:val="14"/>
          <w:color w:val="auto"/>
        </w:rPr>
        <w:t>Any Notes that remain outstanding after completion of the exchange offer, together with the exchange notes, will be treated as a single class of securities under the Indenture.</w:t>
      </w:r>
    </w:p>
    <w:p>
      <w:pPr>
        <w:spacing w:after="0" w:line="16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following description is a summary of the material provisions of the Indenture and the registration rights agreement. It does not restate those agreements in their entirety. We urge you to read the Indenture and the registration rights agreement because they, and not this description, define your rights as holders of the Notes. Copies of the Indenture and the registration rights agreement are available as set forth below under "-- Additional Information." Unless the context otherwise requires, references in this description to the Notes include the notes originally issued to the initial purchasers in a transaction not subject to the registration requirements of the Securities Act and the exchange notes to be registered under the Securities Act by the registration statement of which this prospectus is a part. Certain defined terms used in this description but not defined below under "--Certain Definitions" have the meanings assigned to them in the Indenture.</w:t>
      </w:r>
    </w:p>
    <w:p>
      <w:pPr>
        <w:spacing w:after="0" w:line="330" w:lineRule="exact"/>
        <w:rPr>
          <w:sz w:val="20"/>
          <w:szCs w:val="20"/>
          <w:color w:val="auto"/>
        </w:rPr>
      </w:pPr>
    </w:p>
    <w:p>
      <w:pPr>
        <w:ind w:right="3539" w:firstLine="260"/>
        <w:spacing w:after="0" w:line="258" w:lineRule="auto"/>
        <w:rPr>
          <w:sz w:val="20"/>
          <w:szCs w:val="20"/>
          <w:color w:val="auto"/>
        </w:rPr>
      </w:pPr>
      <w:r>
        <w:rPr>
          <w:rFonts w:ascii="Courier New" w:cs="Courier New" w:eastAsia="Courier New" w:hAnsi="Courier New"/>
          <w:sz w:val="14"/>
          <w:szCs w:val="14"/>
          <w:color w:val="auto"/>
        </w:rPr>
        <w:t>The registered Holder of a Note will be treated as the owner of it for all purposes. Only registered Holders will have rights under the Indenture.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Brief Description of the Notes and the Guarantees</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The Notes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Notes:</w:t>
      </w:r>
    </w:p>
    <w:p>
      <w:pPr>
        <w:spacing w:after="0" w:line="175" w:lineRule="exact"/>
        <w:rPr>
          <w:sz w:val="20"/>
          <w:szCs w:val="20"/>
          <w:color w:val="auto"/>
        </w:rPr>
      </w:pPr>
    </w:p>
    <w:p>
      <w:pPr>
        <w:ind w:left="440" w:hanging="257"/>
        <w:spacing w:after="0"/>
        <w:tabs>
          <w:tab w:leader="none" w:pos="4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general unsecured obligations of Radio One;</w:t>
      </w:r>
    </w:p>
    <w:p>
      <w:pPr>
        <w:spacing w:after="0" w:line="175" w:lineRule="exact"/>
        <w:rPr>
          <w:sz w:val="20"/>
          <w:szCs w:val="20"/>
          <w:color w:val="auto"/>
        </w:rPr>
      </w:pPr>
    </w:p>
    <w:p>
      <w:pPr>
        <w:ind w:left="440" w:right="3719" w:hanging="257"/>
        <w:spacing w:after="0" w:line="258" w:lineRule="auto"/>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subordinated in right of payment to all existing and future Senior Debt of Radio One;</w:t>
      </w:r>
    </w:p>
    <w:p>
      <w:pPr>
        <w:spacing w:after="0" w:line="160" w:lineRule="exact"/>
        <w:rPr>
          <w:sz w:val="20"/>
          <w:szCs w:val="20"/>
          <w:color w:val="auto"/>
        </w:rPr>
      </w:pPr>
    </w:p>
    <w:p>
      <w:pPr>
        <w:ind w:left="440" w:right="3719" w:hanging="257"/>
        <w:spacing w:after="0" w:line="258" w:lineRule="auto"/>
        <w:tabs>
          <w:tab w:leader="none" w:pos="4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pari passu in right of payment with any future senior subordinated Indebtedness of Radio One; and</w:t>
      </w:r>
    </w:p>
    <w:p>
      <w:pPr>
        <w:spacing w:after="0" w:line="160" w:lineRule="exact"/>
        <w:rPr>
          <w:sz w:val="20"/>
          <w:szCs w:val="20"/>
          <w:color w:val="auto"/>
        </w:rPr>
      </w:pPr>
    </w:p>
    <w:p>
      <w:pPr>
        <w:ind w:left="100" w:right="5539" w:firstLine="83"/>
        <w:spacing w:after="0" w:line="505" w:lineRule="auto"/>
        <w:tabs>
          <w:tab w:leader="none" w:pos="447"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unconditionally guaranteed by the Guarantors. The Guarantees</w:t>
      </w:r>
    </w:p>
    <w:p>
      <w:pPr>
        <w:ind w:left="260" w:right="3979"/>
        <w:spacing w:after="0" w:line="50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are guaranteed by all of Radio One's Domestic Subsidiaries. Each guarantee of the Notes:</w:t>
      </w:r>
    </w:p>
    <w:p>
      <w:pPr>
        <w:ind w:left="440" w:hanging="257"/>
        <w:spacing w:after="0"/>
        <w:tabs>
          <w:tab w:leader="none" w:pos="4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 general unsecured obligation of the Guarantor;</w:t>
      </w:r>
    </w:p>
    <w:p>
      <w:pPr>
        <w:spacing w:after="0" w:line="175" w:lineRule="exact"/>
        <w:rPr>
          <w:sz w:val="20"/>
          <w:szCs w:val="20"/>
          <w:color w:val="auto"/>
        </w:rPr>
      </w:pPr>
    </w:p>
    <w:p>
      <w:pPr>
        <w:ind w:left="440" w:right="3799" w:hanging="257"/>
        <w:spacing w:after="0" w:line="258" w:lineRule="auto"/>
        <w:tabs>
          <w:tab w:leader="none" w:pos="4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subordinated in right of payment to all existing and future Senior Debt of that Guarantor; and</w:t>
      </w:r>
    </w:p>
    <w:p>
      <w:pPr>
        <w:spacing w:after="0" w:line="160" w:lineRule="exact"/>
        <w:rPr>
          <w:sz w:val="20"/>
          <w:szCs w:val="20"/>
          <w:color w:val="auto"/>
        </w:rPr>
      </w:pPr>
    </w:p>
    <w:p>
      <w:pPr>
        <w:ind w:left="440" w:right="3799" w:hanging="257"/>
        <w:spacing w:after="0" w:line="258" w:lineRule="auto"/>
        <w:tabs>
          <w:tab w:leader="none" w:pos="4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pari passu in right of payment with any future senior subordinated Indebtedness of that Guarantor.</w:t>
      </w:r>
    </w:p>
    <w:p>
      <w:pPr>
        <w:spacing w:after="0" w:line="160"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Assuming we had completed the offering of the outstanding notes and applied the net proceeds as described in this prospectus, as of March 31, 2001, Radio One and the Guarantors would have had total Senior Debt of approximately $490.2 million. As indicated above and as discussed in detail below under the caption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20" w:right="1440" w:bottom="1440" w:gutter="0" w:footer="0" w:header="0"/>
        </w:sectPr>
      </w:pPr>
    </w:p>
    <w:bookmarkStart w:id="52" w:name="page53"/>
    <w:bookmarkEnd w:id="52"/>
    <w:p>
      <w:pPr>
        <w:ind w:right="3639"/>
        <w:spacing w:after="0" w:line="255" w:lineRule="auto"/>
        <w:rPr>
          <w:sz w:val="20"/>
          <w:szCs w:val="20"/>
          <w:color w:val="auto"/>
        </w:rPr>
      </w:pPr>
      <w:r>
        <w:rPr>
          <w:rFonts w:ascii="Courier New" w:cs="Courier New" w:eastAsia="Courier New" w:hAnsi="Courier New"/>
          <w:sz w:val="14"/>
          <w:szCs w:val="14"/>
          <w:color w:val="auto"/>
        </w:rPr>
        <w:t>"--Subordination," payments on the Notes and under these guarantees will be subordinated to the payment of Senior Debt. The Indenture permits us and the Guarantors to incur additional Senior Debt.</w:t>
      </w:r>
    </w:p>
    <w:p>
      <w:pPr>
        <w:spacing w:after="0" w:line="162"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As of the date of the Indenture, all of our subsidiaries except Satellite One, L.L.C. were "Restricted Subsidiaries." However, under the circumstances described below under the subheading "--Certain Covenants--Designation of Restricted and Unrestricted Subsidiaries," we will be permitted to designate certain of our subsidiaries as "Unrestricted Subsidiaries." Our Unrestricted Subsidiaries will not be subject to many of the restrictive covenants in the Indenture. Our Unrestricted Subsidiaries will not guarantee the Notes.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Maturity and Interest</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Indenture permits Radio One to issue Notes with a maximum aggregate principal amount of $500.0 million, of which $300.0 million were issued to the initial purchasers. Radio One may issue additional Notes from time to time. Any offering of additional Notes is subject to the covenant described below under the caption "--Certain Covenants--Incurrence of Indebtedness and Issuance of Preferred Stock." The Notes and any additional Notes subsequently issued under the Indenture will be treated as a single class for all purposes under the Indenture, including, without limitation, waivers, amendments, redemptions and offers to purchase. Radio One will issue Notes in denominations of $1,000 and integral multiples of $1,000. The Notes will mature on July 1, 2011.</w:t>
      </w:r>
    </w:p>
    <w:p>
      <w:pPr>
        <w:spacing w:after="0" w:line="164"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Interest on the Notes will accrue at the rate of 8 7/8% per annum and will be payable semi-annually in arrears on January 1 and July 1, commencing on January 1, 2002. Radio One will make each interest payment to the Holders of record on the immediately preceding December 15 and June 15.</w:t>
      </w:r>
    </w:p>
    <w:p>
      <w:pPr>
        <w:spacing w:after="0" w:line="163"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Methods of Receiving Payments on the Notes</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If a Holder has given wire transfer instructions to Radio One, Radio One will pay all principal, interest and premium and Liquidated Damages, if any, on that Holder's Notes in accordance with those instructions. All other payments on Notes will be made at the office or agency of the paying agent and registrar within the City and State of New York unless Radio One elects to make interest payments by check mailed to the Holders at their address set forth in the register of 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Paying Agent and Registrar for the Notes</w:t>
      </w:r>
    </w:p>
    <w:p>
      <w:pPr>
        <w:spacing w:after="0" w:line="175"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The trustee will initially act as paying agent and registrar. Radio One may change the paying agent or registrar without prior notice to the Holders of the Notes, and Radio One or any of its Subsidiaries may act as paying agent or registrar.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and Exchange</w:t>
      </w:r>
    </w:p>
    <w:p>
      <w:pPr>
        <w:spacing w:after="0" w:line="175"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A Holder may transfer or exchange Notes in accordance with the Indenture. The registrar and the trustee may require a Holder to furnish appropriate endorsements and transfer documents in connection with a transfer of Notes. Holders will be required to pay all taxes due on transfer. Radio One is not required to transfer or exchange any Note selected for redemption. Also, Radio One is not required to transfer or exchange any Note for a period of 15 days before a selection of Notes is to be redeemed.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Guarantees</w:t>
      </w:r>
    </w:p>
    <w:p>
      <w:pPr>
        <w:spacing w:after="0" w:line="175" w:lineRule="exact"/>
        <w:rPr>
          <w:sz w:val="20"/>
          <w:szCs w:val="20"/>
          <w:color w:val="auto"/>
        </w:rPr>
      </w:pPr>
    </w:p>
    <w:p>
      <w:pPr>
        <w:ind w:right="3639" w:firstLine="260"/>
        <w:spacing w:after="0" w:line="255" w:lineRule="auto"/>
        <w:rPr>
          <w:sz w:val="20"/>
          <w:szCs w:val="20"/>
          <w:color w:val="auto"/>
        </w:rPr>
      </w:pPr>
      <w:r>
        <w:rPr>
          <w:rFonts w:ascii="Courier New" w:cs="Courier New" w:eastAsia="Courier New" w:hAnsi="Courier New"/>
          <w:sz w:val="14"/>
          <w:szCs w:val="14"/>
          <w:color w:val="auto"/>
        </w:rPr>
        <w:t>The Notes will be guaranteed by each of Radio One's current and future Domestic Subsidiaries. These Subsidiary Guarantees will be joint and several obligations of the Guarantors. Each Subsidiary Guarantee will</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53" w:name="page54"/>
    <w:bookmarkEnd w:id="53"/>
    <w:p>
      <w:pPr>
        <w:ind w:right="3459"/>
        <w:spacing w:after="0" w:line="254" w:lineRule="auto"/>
        <w:rPr>
          <w:sz w:val="20"/>
          <w:szCs w:val="20"/>
          <w:color w:val="auto"/>
        </w:rPr>
      </w:pPr>
      <w:r>
        <w:rPr>
          <w:rFonts w:ascii="Courier New" w:cs="Courier New" w:eastAsia="Courier New" w:hAnsi="Courier New"/>
          <w:sz w:val="14"/>
          <w:szCs w:val="14"/>
          <w:color w:val="auto"/>
        </w:rPr>
        <w:t>be subordinated to the prior payment in full of all Senior Debt of that Guarantor. The obligations of each Guarantor under its Subsidiary Guarantee will be limited as necessary to prevent that Subsidiary Guarantee from constituting a fraudulent conveyance under applicable law. See "Risk Factors-- Fraudulent Conveyance Matters."</w:t>
      </w:r>
    </w:p>
    <w:p>
      <w:pPr>
        <w:spacing w:after="0" w:line="162"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A Guarantor may not sell or otherwise dispose of all or substantially all of its assets to, or consolidate with or merge with or into (whether or not such Guarantor is the surviving Person), another Person, other than Radio One or another Guarantor, unless:</w:t>
      </w:r>
    </w:p>
    <w:p>
      <w:pPr>
        <w:spacing w:after="0" w:line="163" w:lineRule="exact"/>
        <w:rPr>
          <w:sz w:val="20"/>
          <w:szCs w:val="20"/>
          <w:color w:val="auto"/>
        </w:rPr>
      </w:pPr>
    </w:p>
    <w:p>
      <w:pPr>
        <w:ind w:left="520" w:right="3979" w:hanging="337"/>
        <w:spacing w:after="0" w:line="258" w:lineRule="auto"/>
        <w:tabs>
          <w:tab w:leader="none" w:pos="5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that transaction, no Default or Event of Default exists; and</w:t>
      </w:r>
    </w:p>
    <w:p>
      <w:pPr>
        <w:spacing w:after="0" w:line="159" w:lineRule="exact"/>
        <w:rPr>
          <w:rFonts w:ascii="Courier New" w:cs="Courier New" w:eastAsia="Courier New" w:hAnsi="Courier New"/>
          <w:sz w:val="14"/>
          <w:szCs w:val="14"/>
          <w:color w:val="auto"/>
        </w:rPr>
      </w:pPr>
    </w:p>
    <w:p>
      <w:pPr>
        <w:ind w:left="520" w:hanging="337"/>
        <w:spacing w:after="0"/>
        <w:tabs>
          <w:tab w:leader="none" w:pos="5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w:t>
      </w:r>
    </w:p>
    <w:p>
      <w:pPr>
        <w:spacing w:after="0" w:line="175" w:lineRule="exact"/>
        <w:rPr>
          <w:rFonts w:ascii="Courier New" w:cs="Courier New" w:eastAsia="Courier New" w:hAnsi="Courier New"/>
          <w:sz w:val="14"/>
          <w:szCs w:val="14"/>
          <w:color w:val="auto"/>
        </w:rPr>
      </w:pPr>
    </w:p>
    <w:p>
      <w:pPr>
        <w:ind w:left="360" w:right="3719" w:firstLine="257"/>
        <w:spacing w:after="0" w:line="254" w:lineRule="auto"/>
        <w:tabs>
          <w:tab w:leader="none" w:pos="968"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acquiring the property in any such sale or disposition or the Person formed by or surviving any such consolidation or merger assumes all the obligations of that Guarantor under the Indenture, its Subsidiary Guarantee and the registration rights agreement pursuant to a supplemental Indenture satisfactory to the trustee; or</w:t>
      </w:r>
    </w:p>
    <w:p>
      <w:pPr>
        <w:spacing w:after="0" w:line="329" w:lineRule="exact"/>
        <w:rPr>
          <w:rFonts w:ascii="Courier New" w:cs="Courier New" w:eastAsia="Courier New" w:hAnsi="Courier New"/>
          <w:sz w:val="14"/>
          <w:szCs w:val="14"/>
          <w:color w:val="auto"/>
        </w:rPr>
      </w:pPr>
    </w:p>
    <w:p>
      <w:pPr>
        <w:ind w:left="360" w:right="3899" w:firstLine="257"/>
        <w:spacing w:after="0" w:line="258" w:lineRule="auto"/>
        <w:tabs>
          <w:tab w:leader="none" w:pos="968"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Proceeds of such sale or other disposition are applied in accordance with the applicable provisions of the Indenture.</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Subsidiary Guarantee of a Guarantor will be released:</w:t>
      </w:r>
    </w:p>
    <w:p>
      <w:pPr>
        <w:spacing w:after="0" w:line="175" w:lineRule="exact"/>
        <w:rPr>
          <w:sz w:val="20"/>
          <w:szCs w:val="20"/>
          <w:color w:val="auto"/>
        </w:rPr>
      </w:pPr>
    </w:p>
    <w:p>
      <w:pPr>
        <w:ind w:left="180" w:right="3719" w:firstLine="263"/>
        <w:spacing w:after="0" w:line="253" w:lineRule="auto"/>
        <w:tabs>
          <w:tab w:leader="none" w:pos="78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sale or other disposition of all or substantially all of the assets of that Guarantor (including by way of merger or consolidation) to a Person that is not (either before or after giving effect to such transaction) a Subsidiary of Radio One, if the sale or other disposition complies with the "Asset Sale" provisions of the Indenture;</w:t>
      </w:r>
    </w:p>
    <w:p>
      <w:pPr>
        <w:spacing w:after="0" w:line="165"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sale of all of the Capital Stock of a</w:t>
      </w:r>
    </w:p>
    <w:p>
      <w:pPr>
        <w:spacing w:after="0" w:line="8" w:lineRule="exact"/>
        <w:rPr>
          <w:rFonts w:ascii="Courier New" w:cs="Courier New" w:eastAsia="Courier New" w:hAnsi="Courier New"/>
          <w:sz w:val="14"/>
          <w:szCs w:val="14"/>
          <w:color w:val="auto"/>
        </w:rPr>
      </w:pPr>
    </w:p>
    <w:p>
      <w:pPr>
        <w:jc w:val="both"/>
        <w:ind w:left="180" w:right="36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Guarantor to a Person that is not (either before or after giving effect to such transaction) a Subsidiary of Radio One, if the sale complies with the "Asset Sale" provisions of the Indenture;</w:t>
      </w:r>
    </w:p>
    <w:p>
      <w:pPr>
        <w:spacing w:after="0" w:line="162"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Radio One designates any Restricted Subsidiary that is a</w:t>
      </w:r>
    </w:p>
    <w:p>
      <w:pPr>
        <w:spacing w:after="0" w:line="8" w:lineRule="exact"/>
        <w:rPr>
          <w:rFonts w:ascii="Courier New" w:cs="Courier New" w:eastAsia="Courier New" w:hAnsi="Courier New"/>
          <w:sz w:val="14"/>
          <w:szCs w:val="14"/>
          <w:color w:val="auto"/>
        </w:rPr>
      </w:pPr>
    </w:p>
    <w:p>
      <w:pPr>
        <w:ind w:left="180" w:right="37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Guarantor as an Unrestricted Subsidiary in accordance with the applicable provisions of the Indenture;</w:t>
      </w:r>
    </w:p>
    <w:p>
      <w:pPr>
        <w:spacing w:after="0" w:line="159"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transaction whereby a Guarantor is no longer a Restricted Subsidiary immediately after giving effect to such transaction if the transaction complies with the "Asset Sale Provisions" of the Indenture; or</w:t>
      </w:r>
    </w:p>
    <w:p>
      <w:pPr>
        <w:spacing w:after="0" w:line="163" w:lineRule="exact"/>
        <w:rPr>
          <w:rFonts w:ascii="Courier New" w:cs="Courier New" w:eastAsia="Courier New" w:hAnsi="Courier New"/>
          <w:sz w:val="14"/>
          <w:szCs w:val="14"/>
          <w:color w:val="auto"/>
        </w:rPr>
      </w:pPr>
    </w:p>
    <w:p>
      <w:pPr>
        <w:ind w:left="180" w:right="3639" w:firstLine="263"/>
        <w:spacing w:after="0" w:line="255" w:lineRule="auto"/>
        <w:tabs>
          <w:tab w:leader="none" w:pos="78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discharge or release of all guarantees of such Guarantor, and all pledges of property or assets of such Guarantor securing all other Indebtedness of Radio One and its Restricted Subsidiaries.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"--Repurchase at the Option of Holders--Asset Sales."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w:t>
      </w:r>
    </w:p>
    <w:p>
      <w:pPr>
        <w:spacing w:after="0" w:line="175"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The payment of principal, interest and premium and Liquidated Damages, if any, on the Notes will be subordinated to the prior payment in full of all Senior Debt of Radio One, including Senior Debt incurred after the date of the Indenture.</w:t>
      </w:r>
    </w:p>
    <w:p>
      <w:pPr>
        <w:spacing w:after="0" w:line="163"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holders of Senior Debt will be entitled to receive payment in full of all Obligations due in respect of Senior Debt (including interest after the commencement of any bankruptcy proceeding at the rate specified in the applicable Senior Debt whether or not a claim for such interest would be allowed in such proceeding) before the Holders of Notes will be entitled to receive any payment with respect to the Notes or on account of any purchase or redemption or other acquisition on any Note (except that Holders of Notes may receive and retain Permitted Junior Securities and payments made from the trust described under "--Legal Defeasance and Covenant Defeasance" so long as, on the date or dates the respective amounts were paid into trust, such</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54" w:name="page55"/>
    <w:bookmarkEnd w:id="54"/>
    <w:p>
      <w:pPr>
        <w:ind w:right="3719"/>
        <w:spacing w:after="0" w:line="258" w:lineRule="auto"/>
        <w:rPr>
          <w:sz w:val="20"/>
          <w:szCs w:val="20"/>
          <w:color w:val="auto"/>
        </w:rPr>
      </w:pPr>
      <w:r>
        <w:rPr>
          <w:rFonts w:ascii="Courier New" w:cs="Courier New" w:eastAsia="Courier New" w:hAnsi="Courier New"/>
          <w:sz w:val="14"/>
          <w:szCs w:val="14"/>
          <w:color w:val="auto"/>
        </w:rPr>
        <w:t>payments were made without violating the subordination provisions described herein), in the event of any distribution to creditors of Radio One:</w:t>
      </w:r>
    </w:p>
    <w:p>
      <w:pPr>
        <w:spacing w:after="0" w:line="160" w:lineRule="exact"/>
        <w:rPr>
          <w:sz w:val="20"/>
          <w:szCs w:val="20"/>
          <w:color w:val="auto"/>
        </w:rPr>
      </w:pPr>
    </w:p>
    <w:p>
      <w:pPr>
        <w:ind w:left="800" w:hanging="357"/>
        <w:spacing w:after="0"/>
        <w:tabs>
          <w:tab w:leader="none" w:pos="8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 liquidation or dissolution of Radio One;</w:t>
      </w:r>
    </w:p>
    <w:p>
      <w:pPr>
        <w:spacing w:after="0" w:line="175" w:lineRule="exact"/>
        <w:rPr>
          <w:rFonts w:ascii="Courier New" w:cs="Courier New" w:eastAsia="Courier New" w:hAnsi="Courier New"/>
          <w:sz w:val="14"/>
          <w:szCs w:val="14"/>
          <w:color w:val="auto"/>
        </w:rPr>
      </w:pPr>
    </w:p>
    <w:p>
      <w:pPr>
        <w:ind w:left="180" w:right="3539" w:firstLine="263"/>
        <w:spacing w:after="0" w:line="258" w:lineRule="auto"/>
        <w:tabs>
          <w:tab w:leader="none" w:pos="788"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 bankruptcy, reorganization, insolvency, receivership or similar proceeding relating to Radio One or its property;</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 assignment for the benefit of creditors; or</w:t>
      </w:r>
    </w:p>
    <w:p>
      <w:pPr>
        <w:spacing w:after="0" w:line="175"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marshaling of Radio One's assets and liabilities.</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Neither Radio One nor any Guarantor may make any payment in respect of the Notes or on account of any purchase or redemption or other acquisition of any Note (except in Permitted Junior Securities or from the trust described under "--Legal Defeasance and Covenant Defeasance" so long as, on the date or dates the respective amounts were paid into trust, such payments were made without violating the subordination provisions described herein) if:</w:t>
      </w:r>
    </w:p>
    <w:p>
      <w:pPr>
        <w:spacing w:after="0" w:line="165" w:lineRule="exact"/>
        <w:rPr>
          <w:sz w:val="20"/>
          <w:szCs w:val="20"/>
          <w:color w:val="auto"/>
        </w:rPr>
      </w:pPr>
    </w:p>
    <w:p>
      <w:pPr>
        <w:ind w:left="180" w:right="3539" w:firstLine="263"/>
        <w:spacing w:after="0" w:line="255" w:lineRule="auto"/>
        <w:tabs>
          <w:tab w:leader="none" w:pos="78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in the payment of the principal of, or premium, if any, or interest on, or any fees or other amounts relating to Designated Senior Debt occurs and is continuing beyond any applicable grace period; or</w:t>
      </w:r>
    </w:p>
    <w:p>
      <w:pPr>
        <w:spacing w:after="0" w:line="162"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default occurs and is continuing on any series of Designated Senior Debt that permits holders of that series of Designated Senior Debt to accelerate its maturity and the trustee receives a notice of such default (a "Payment Blockage Notice") from Radio One or the holders of any Designated Senior Debt.</w:t>
      </w:r>
    </w:p>
    <w:p>
      <w:pPr>
        <w:spacing w:after="0" w:line="162" w:lineRule="exact"/>
        <w:rPr>
          <w:sz w:val="20"/>
          <w:szCs w:val="20"/>
          <w:color w:val="auto"/>
        </w:rPr>
      </w:pPr>
    </w:p>
    <w:p>
      <w:pPr>
        <w:ind w:right="3979" w:firstLine="260"/>
        <w:spacing w:after="0" w:line="258" w:lineRule="auto"/>
        <w:rPr>
          <w:sz w:val="20"/>
          <w:szCs w:val="20"/>
          <w:color w:val="auto"/>
        </w:rPr>
      </w:pPr>
      <w:r>
        <w:rPr>
          <w:rFonts w:ascii="Courier New" w:cs="Courier New" w:eastAsia="Courier New" w:hAnsi="Courier New"/>
          <w:sz w:val="14"/>
          <w:szCs w:val="14"/>
          <w:color w:val="auto"/>
        </w:rPr>
        <w:t>Payments on the Notes (including any missed payments) may and will be resumed:</w:t>
      </w:r>
    </w:p>
    <w:p>
      <w:pPr>
        <w:spacing w:after="0" w:line="160" w:lineRule="exact"/>
        <w:rPr>
          <w:sz w:val="20"/>
          <w:szCs w:val="20"/>
          <w:color w:val="auto"/>
        </w:rPr>
      </w:pPr>
    </w:p>
    <w:p>
      <w:pPr>
        <w:ind w:left="180" w:right="4159" w:firstLine="263"/>
        <w:spacing w:after="0" w:line="258" w:lineRule="auto"/>
        <w:tabs>
          <w:tab w:leader="none" w:pos="788"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payment default, upon the date on which such default is cured or waived; and</w:t>
      </w:r>
    </w:p>
    <w:p>
      <w:pPr>
        <w:spacing w:after="0" w:line="159" w:lineRule="exact"/>
        <w:rPr>
          <w:rFonts w:ascii="Courier New" w:cs="Courier New" w:eastAsia="Courier New" w:hAnsi="Courier New"/>
          <w:sz w:val="14"/>
          <w:szCs w:val="14"/>
          <w:color w:val="auto"/>
        </w:rPr>
      </w:pPr>
    </w:p>
    <w:p>
      <w:pPr>
        <w:ind w:left="180" w:right="3539" w:firstLine="263"/>
        <w:spacing w:after="0" w:line="253" w:lineRule="auto"/>
        <w:tabs>
          <w:tab w:leader="none" w:pos="788"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nonpayment default, upon the earlier of the date on which such nonpayment default is cured or waived, 179 days after the date on which the applicable Payment Blockage Notice is received, or the date on which the trustee receives notice from or on behalf of the holders of Designated Senior Debt to terminate the applicable Payment Blockage Notice, unless the maturity of any Designated Senior Debt has been accelerated.</w:t>
      </w:r>
    </w:p>
    <w:p>
      <w:pPr>
        <w:spacing w:after="0" w:line="165" w:lineRule="exact"/>
        <w:rPr>
          <w:sz w:val="20"/>
          <w:szCs w:val="20"/>
          <w:color w:val="auto"/>
        </w:rPr>
      </w:pPr>
    </w:p>
    <w:p>
      <w:pPr>
        <w:ind w:right="3639" w:firstLine="260"/>
        <w:spacing w:after="0" w:line="255" w:lineRule="auto"/>
        <w:rPr>
          <w:sz w:val="20"/>
          <w:szCs w:val="20"/>
          <w:color w:val="auto"/>
        </w:rPr>
      </w:pPr>
      <w:r>
        <w:rPr>
          <w:rFonts w:ascii="Courier New" w:cs="Courier New" w:eastAsia="Courier New" w:hAnsi="Courier New"/>
          <w:sz w:val="14"/>
          <w:szCs w:val="14"/>
          <w:color w:val="auto"/>
        </w:rPr>
        <w:t>No new Payment Blockage Notice may be delivered unless and until 360 days have elapsed since the delivery of the immediately prior Payment Blockage Notice.</w:t>
      </w:r>
    </w:p>
    <w:p>
      <w:pPr>
        <w:spacing w:after="0" w:line="162" w:lineRule="exact"/>
        <w:rPr>
          <w:sz w:val="20"/>
          <w:szCs w:val="20"/>
          <w:color w:val="auto"/>
        </w:rPr>
      </w:pPr>
    </w:p>
    <w:p>
      <w:pPr>
        <w:ind w:right="3719" w:firstLine="260"/>
        <w:spacing w:after="0" w:line="254" w:lineRule="auto"/>
        <w:rPr>
          <w:sz w:val="20"/>
          <w:szCs w:val="20"/>
          <w:color w:val="auto"/>
        </w:rPr>
      </w:pPr>
      <w:r>
        <w:rPr>
          <w:rFonts w:ascii="Courier New" w:cs="Courier New" w:eastAsia="Courier New" w:hAnsi="Courier New"/>
          <w:sz w:val="14"/>
          <w:szCs w:val="14"/>
          <w:color w:val="auto"/>
        </w:rPr>
        <w:t>No nonpayment default that existed or was continuing on the date of delivery of any Payment Blockage Notice to the trustee will be, or be made, the basis for a subsequent Payment Blockage Notice unless such default has been cured or waived for a period of not less than 90 days.</w:t>
      </w:r>
    </w:p>
    <w:p>
      <w:pPr>
        <w:spacing w:after="0" w:line="163"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If the trustee or any Holder of the Notes receives a payment in respect of the Notes (except in Permitted Junior Securities or from the trust described under "--Legal Defeasance and Covenant Defeasance" so long as, on the date or dates the respective amounts were paid into trust, such payments were made without violating the subordination provisions described herein) when the payment is prohibited by these subordination provisions, the trustee or Holder, as the case may be, will hold the payment in trust for the benefit of the holders of Senior Debt. Upon the proper written request of the holders of Senior Debt, the trustee or the Holder, as the case may be, will deliver the amounts in trust to the holders of Senior Debt or their proper representative.</w:t>
      </w:r>
    </w:p>
    <w:p>
      <w:pPr>
        <w:spacing w:after="0" w:line="164" w:lineRule="exact"/>
        <w:rPr>
          <w:sz w:val="20"/>
          <w:szCs w:val="20"/>
          <w:color w:val="auto"/>
        </w:rPr>
      </w:pPr>
    </w:p>
    <w:p>
      <w:pPr>
        <w:ind w:right="3799" w:firstLine="260"/>
        <w:spacing w:after="0" w:line="258" w:lineRule="auto"/>
        <w:rPr>
          <w:sz w:val="20"/>
          <w:szCs w:val="20"/>
          <w:color w:val="auto"/>
        </w:rPr>
      </w:pPr>
      <w:r>
        <w:rPr>
          <w:rFonts w:ascii="Courier New" w:cs="Courier New" w:eastAsia="Courier New" w:hAnsi="Courier New"/>
          <w:sz w:val="14"/>
          <w:szCs w:val="14"/>
          <w:color w:val="auto"/>
        </w:rPr>
        <w:t>Radio One must promptly notify holders of Senior Debt if payment of the Notes is accelerated because of an Event of Default.</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1440" w:gutter="0" w:footer="0" w:header="0"/>
        </w:sectPr>
      </w:pPr>
    </w:p>
    <w:bookmarkStart w:id="55" w:name="page56"/>
    <w:bookmarkEnd w:id="55"/>
    <w:p>
      <w:pPr>
        <w:ind w:right="3379" w:firstLine="260"/>
        <w:spacing w:after="0" w:line="254" w:lineRule="auto"/>
        <w:rPr>
          <w:sz w:val="20"/>
          <w:szCs w:val="20"/>
          <w:color w:val="auto"/>
        </w:rPr>
      </w:pPr>
      <w:r>
        <w:rPr>
          <w:rFonts w:ascii="Courier New" w:cs="Courier New" w:eastAsia="Courier New" w:hAnsi="Courier New"/>
          <w:sz w:val="14"/>
          <w:szCs w:val="14"/>
          <w:color w:val="auto"/>
        </w:rPr>
        <w:t>As a result of the subordination provisions described above, in the event of a bankruptcy, liquidation or reorganization of Radio One, Holders of Notes may recover less ratably than creditors of Radio One who are holders of Senior Debt. See "Risk Factors--Subordination."</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"Designated Senior Debt" means:</w:t>
      </w:r>
    </w:p>
    <w:p>
      <w:pPr>
        <w:spacing w:after="0" w:line="175" w:lineRule="exact"/>
        <w:rPr>
          <w:sz w:val="20"/>
          <w:szCs w:val="20"/>
          <w:color w:val="auto"/>
        </w:rPr>
      </w:pPr>
    </w:p>
    <w:p>
      <w:pPr>
        <w:ind w:left="800" w:hanging="357"/>
        <w:spacing w:after="0"/>
        <w:tabs>
          <w:tab w:leader="none" w:pos="80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Indebtedness outstanding under the Credit Agreement; and</w:t>
      </w:r>
    </w:p>
    <w:p>
      <w:pPr>
        <w:spacing w:after="0" w:line="175" w:lineRule="exact"/>
        <w:rPr>
          <w:rFonts w:ascii="Courier New" w:cs="Courier New" w:eastAsia="Courier New" w:hAnsi="Courier New"/>
          <w:sz w:val="14"/>
          <w:szCs w:val="14"/>
          <w:color w:val="auto"/>
        </w:rPr>
      </w:pPr>
    </w:p>
    <w:p>
      <w:pPr>
        <w:jc w:val="both"/>
        <w:ind w:left="180" w:right="3799" w:firstLine="263"/>
        <w:spacing w:after="0" w:line="254" w:lineRule="auto"/>
        <w:tabs>
          <w:tab w:leader="none" w:pos="78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Senior Debt permitted under the Indenture the principal amount of which is $25.0 million or more (or otherwise available under a committed facility) and that has been designated by Radio One or a Guarantor as "Designated Senior Debt."</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"Permitted Junior Securities" means:</w:t>
      </w:r>
    </w:p>
    <w:p>
      <w:pPr>
        <w:spacing w:after="0" w:line="175" w:lineRule="exact"/>
        <w:rPr>
          <w:sz w:val="20"/>
          <w:szCs w:val="20"/>
          <w:color w:val="auto"/>
        </w:rPr>
      </w:pPr>
    </w:p>
    <w:p>
      <w:pPr>
        <w:ind w:left="180" w:right="3719" w:firstLine="263"/>
        <w:spacing w:after="0" w:line="258" w:lineRule="auto"/>
        <w:tabs>
          <w:tab w:leader="none" w:pos="78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Interests in Radio One or, subject to the provisions of the Credit Agreement, any Guarantor; or</w:t>
      </w:r>
    </w:p>
    <w:p>
      <w:pPr>
        <w:spacing w:after="0" w:line="159" w:lineRule="exact"/>
        <w:rPr>
          <w:rFonts w:ascii="Courier New" w:cs="Courier New" w:eastAsia="Courier New" w:hAnsi="Courier New"/>
          <w:sz w:val="14"/>
          <w:szCs w:val="14"/>
          <w:color w:val="auto"/>
        </w:rPr>
      </w:pPr>
    </w:p>
    <w:p>
      <w:pPr>
        <w:jc w:val="both"/>
        <w:ind w:left="180" w:right="3719" w:firstLine="263"/>
        <w:spacing w:after="0" w:line="254" w:lineRule="auto"/>
        <w:tabs>
          <w:tab w:leader="none" w:pos="78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securities that are subordinated to all Senior Debt and any debt securities issued in exchange for Senior Debt to substantially the same extent as, or to a greater extent than, the Notes and the Subsidiary Guarantees are subordinated to Senior Debt under the Indenture.</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"Senior Debt" means:</w:t>
      </w:r>
    </w:p>
    <w:p>
      <w:pPr>
        <w:spacing w:after="0" w:line="175" w:lineRule="exact"/>
        <w:rPr>
          <w:sz w:val="20"/>
          <w:szCs w:val="20"/>
          <w:color w:val="auto"/>
        </w:rPr>
      </w:pPr>
    </w:p>
    <w:p>
      <w:pPr>
        <w:ind w:left="180" w:right="3539" w:firstLine="263"/>
        <w:spacing w:after="0" w:line="258" w:lineRule="auto"/>
        <w:tabs>
          <w:tab w:leader="none" w:pos="788"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of Radio One or any Guarantor outstanding under the Credit Facility and all Hedging Obligations with respect thereto;</w:t>
      </w:r>
    </w:p>
    <w:p>
      <w:pPr>
        <w:spacing w:after="0" w:line="159"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Indebtedness of Radio One or any Guarantor permitted to be incurred under the terms of the Indenture, unless the instrument under which such Indebtedness is incurred expressly provides that it is on a parity with or subordinated in right of payment to the Notes or any Subsidiary Guarantee; and</w:t>
      </w:r>
    </w:p>
    <w:p>
      <w:pPr>
        <w:spacing w:after="0" w:line="162" w:lineRule="exact"/>
        <w:rPr>
          <w:rFonts w:ascii="Courier New" w:cs="Courier New" w:eastAsia="Courier New" w:hAnsi="Courier New"/>
          <w:sz w:val="14"/>
          <w:szCs w:val="14"/>
          <w:color w:val="auto"/>
        </w:rPr>
      </w:pPr>
    </w:p>
    <w:p>
      <w:pPr>
        <w:ind w:left="180" w:right="3799" w:firstLine="263"/>
        <w:spacing w:after="0" w:line="258" w:lineRule="auto"/>
        <w:tabs>
          <w:tab w:leader="none" w:pos="788"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with respect to the items listed in the preceding clauses (1) and (2).</w:t>
      </w:r>
    </w:p>
    <w:p>
      <w:pPr>
        <w:spacing w:after="0" w:line="160" w:lineRule="exact"/>
        <w:rPr>
          <w:sz w:val="20"/>
          <w:szCs w:val="20"/>
          <w:color w:val="auto"/>
        </w:rPr>
      </w:pPr>
    </w:p>
    <w:p>
      <w:pPr>
        <w:ind w:right="3459" w:firstLine="260"/>
        <w:spacing w:after="0" w:line="258" w:lineRule="auto"/>
        <w:rPr>
          <w:sz w:val="20"/>
          <w:szCs w:val="20"/>
          <w:color w:val="auto"/>
        </w:rPr>
      </w:pPr>
      <w:r>
        <w:rPr>
          <w:rFonts w:ascii="Courier New" w:cs="Courier New" w:eastAsia="Courier New" w:hAnsi="Courier New"/>
          <w:sz w:val="14"/>
          <w:szCs w:val="14"/>
          <w:color w:val="auto"/>
        </w:rPr>
        <w:t>Notwithstanding anything to the contrary in the preceding, Senior Debt will not include:</w:t>
      </w:r>
    </w:p>
    <w:p>
      <w:pPr>
        <w:spacing w:after="0" w:line="160" w:lineRule="exact"/>
        <w:rPr>
          <w:sz w:val="20"/>
          <w:szCs w:val="20"/>
          <w:color w:val="auto"/>
        </w:rPr>
      </w:pPr>
    </w:p>
    <w:p>
      <w:pPr>
        <w:ind w:left="180" w:right="3539" w:firstLine="263"/>
        <w:spacing w:after="0" w:line="258" w:lineRule="auto"/>
        <w:tabs>
          <w:tab w:leader="none" w:pos="78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liability for federal, state, local or other taxes owed or owing by Radio One;</w:t>
      </w:r>
    </w:p>
    <w:p>
      <w:pPr>
        <w:spacing w:after="0" w:line="159" w:lineRule="exact"/>
        <w:rPr>
          <w:rFonts w:ascii="Courier New" w:cs="Courier New" w:eastAsia="Courier New" w:hAnsi="Courier New"/>
          <w:sz w:val="14"/>
          <w:szCs w:val="14"/>
          <w:color w:val="auto"/>
        </w:rPr>
      </w:pPr>
    </w:p>
    <w:p>
      <w:pPr>
        <w:ind w:left="180" w:right="3639" w:firstLine="263"/>
        <w:spacing w:after="0" w:line="258" w:lineRule="auto"/>
        <w:tabs>
          <w:tab w:leader="none" w:pos="78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intercompany Indebtedness of Radio One or any of its Restricted Subsidiaries to Radio One or any of its Affiliates;</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trade payables; or</w:t>
      </w:r>
    </w:p>
    <w:p>
      <w:pPr>
        <w:spacing w:after="0" w:line="175" w:lineRule="exact"/>
        <w:rPr>
          <w:rFonts w:ascii="Courier New" w:cs="Courier New" w:eastAsia="Courier New" w:hAnsi="Courier New"/>
          <w:sz w:val="14"/>
          <w:szCs w:val="14"/>
          <w:color w:val="auto"/>
        </w:rPr>
      </w:pPr>
    </w:p>
    <w:p>
      <w:pPr>
        <w:ind w:left="180" w:right="3539" w:firstLine="263"/>
        <w:spacing w:after="0" w:line="258" w:lineRule="auto"/>
        <w:tabs>
          <w:tab w:leader="none" w:pos="78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 of any Indebtedness that is incurred in violation of the Indenture.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Optional Redemption</w:t>
      </w:r>
    </w:p>
    <w:p>
      <w:pPr>
        <w:spacing w:after="0" w:line="175"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At any time prior to July 1, 2004, Radio One may on any one or more occasions redeem up to 35% of the aggregate principal amount of Notes issued under the Indenture at a redemption price of 108.875% of the principal amount, plus accrued and unpaid interest and Liquidated Damages, if any, to the redemption date, with the net cash proceeds of one or more Equity Offerings; provided that:</w:t>
      </w:r>
    </w:p>
    <w:p>
      <w:pPr>
        <w:spacing w:after="0" w:line="329" w:lineRule="exact"/>
        <w:rPr>
          <w:sz w:val="20"/>
          <w:szCs w:val="20"/>
          <w:color w:val="auto"/>
        </w:rPr>
      </w:pPr>
    </w:p>
    <w:p>
      <w:pPr>
        <w:ind w:left="180" w:right="3539" w:firstLine="263"/>
        <w:spacing w:after="0" w:line="255" w:lineRule="auto"/>
        <w:tabs>
          <w:tab w:leader="none" w:pos="788"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65% of the aggregate principal amount of Notes issued under the Indenture remains outstanding immediately after the occurrence of such redemption (excluding Notes held by Radio One and its Subsidiaries); and</w:t>
      </w:r>
    </w:p>
    <w:p>
      <w:pPr>
        <w:spacing w:after="0" w:line="162" w:lineRule="exact"/>
        <w:rPr>
          <w:rFonts w:ascii="Courier New" w:cs="Courier New" w:eastAsia="Courier New" w:hAnsi="Courier New"/>
          <w:sz w:val="14"/>
          <w:szCs w:val="14"/>
          <w:color w:val="auto"/>
        </w:rPr>
      </w:pPr>
    </w:p>
    <w:p>
      <w:pPr>
        <w:ind w:left="180" w:right="3639" w:firstLine="263"/>
        <w:spacing w:after="0" w:line="258" w:lineRule="auto"/>
        <w:tabs>
          <w:tab w:leader="none" w:pos="788"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occurs within 180 days of the date of the closing of such Equity Offering.</w:t>
      </w:r>
    </w:p>
    <w:p>
      <w:pPr>
        <w:spacing w:after="0" w:line="160" w:lineRule="exact"/>
        <w:rPr>
          <w:sz w:val="20"/>
          <w:szCs w:val="20"/>
          <w:color w:val="auto"/>
        </w:rPr>
      </w:pPr>
    </w:p>
    <w:p>
      <w:pPr>
        <w:ind w:right="3379" w:firstLine="260"/>
        <w:spacing w:after="0" w:line="258" w:lineRule="auto"/>
        <w:rPr>
          <w:sz w:val="20"/>
          <w:szCs w:val="20"/>
          <w:color w:val="auto"/>
        </w:rPr>
      </w:pPr>
      <w:r>
        <w:rPr>
          <w:rFonts w:ascii="Courier New" w:cs="Courier New" w:eastAsia="Courier New" w:hAnsi="Courier New"/>
          <w:sz w:val="14"/>
          <w:szCs w:val="14"/>
          <w:color w:val="auto"/>
        </w:rPr>
        <w:t>Except pursuant to the preceding paragraph, the Notes will not be redeemable at Radio One's option prior to July 1, 2006.</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20" w:right="1440" w:bottom="1440" w:gutter="0" w:footer="0" w:header="0"/>
        </w:sectPr>
      </w:pPr>
    </w:p>
    <w:bookmarkStart w:id="56" w:name="page57"/>
    <w:bookmarkEnd w:id="56"/>
    <w:p>
      <w:pPr>
        <w:ind w:right="3379" w:firstLine="260"/>
        <w:spacing w:after="0" w:line="253" w:lineRule="auto"/>
        <w:rPr>
          <w:sz w:val="20"/>
          <w:szCs w:val="20"/>
          <w:color w:val="auto"/>
        </w:rPr>
      </w:pPr>
      <w:r>
        <w:rPr>
          <w:rFonts w:ascii="Courier New" w:cs="Courier New" w:eastAsia="Courier New" w:hAnsi="Courier New"/>
          <w:sz w:val="14"/>
          <w:szCs w:val="14"/>
          <w:color w:val="auto"/>
        </w:rPr>
        <w:t>On or after July 1, 2006, Radio One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July 1 of the years indicated below:</w:t>
      </w:r>
    </w:p>
    <w:p>
      <w:pPr>
        <w:spacing w:after="0" w:line="200" w:lineRule="exact"/>
        <w:rPr>
          <w:sz w:val="20"/>
          <w:szCs w:val="20"/>
          <w:color w:val="auto"/>
        </w:rPr>
      </w:pPr>
    </w:p>
    <w:p>
      <w:pPr>
        <w:spacing w:after="0" w:line="29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6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542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Percentage</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4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4"/>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104.438%</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102.958%</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101.479%</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5420" w:type="dxa"/>
            <w:vAlign w:val="bottom"/>
          </w:tcPr>
          <w:p>
            <w:pPr>
              <w:jc w:val="right"/>
              <w:spacing w:after="0"/>
              <w:rPr>
                <w:sz w:val="20"/>
                <w:szCs w:val="20"/>
                <w:color w:val="auto"/>
              </w:rPr>
            </w:pPr>
            <w:r>
              <w:rPr>
                <w:rFonts w:ascii="Courier New" w:cs="Courier New" w:eastAsia="Courier New" w:hAnsi="Courier New"/>
                <w:sz w:val="14"/>
                <w:szCs w:val="14"/>
                <w:color w:val="auto"/>
              </w:rPr>
              <w:t>and thereafter...............................................</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100.000%</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Mandatory Redemption</w:t>
      </w:r>
    </w:p>
    <w:p>
      <w:pPr>
        <w:spacing w:after="0" w:line="175" w:lineRule="exact"/>
        <w:rPr>
          <w:sz w:val="20"/>
          <w:szCs w:val="20"/>
          <w:color w:val="auto"/>
        </w:rPr>
      </w:pPr>
    </w:p>
    <w:p>
      <w:pPr>
        <w:ind w:right="3899" w:firstLine="260"/>
        <w:spacing w:after="0" w:line="258" w:lineRule="auto"/>
        <w:rPr>
          <w:sz w:val="20"/>
          <w:szCs w:val="20"/>
          <w:color w:val="auto"/>
        </w:rPr>
      </w:pPr>
      <w:r>
        <w:rPr>
          <w:rFonts w:ascii="Courier New" w:cs="Courier New" w:eastAsia="Courier New" w:hAnsi="Courier New"/>
          <w:sz w:val="14"/>
          <w:szCs w:val="14"/>
          <w:color w:val="auto"/>
        </w:rPr>
        <w:t>Radio One is not required to make mandatory redemption or sinking fund payments with respect to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the Option of Holders</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Change of Control</w:t>
      </w:r>
    </w:p>
    <w:p>
      <w:pPr>
        <w:spacing w:after="0" w:line="17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If a Change of Control occurs, each Holder of Notes will have the right to require Radio One to repurchase all or any part (equal to $1,000 or an integral multiple of $1,000) of that Holder's Notes pursuant to a Change of Control Offer on the terms set forth in the Indenture. In the Change of Control Offer, Radio One will offer a Change of Control Payment in cash equal to 101% of the aggregate principal amount of Notes repurchased plus accrued and unpaid interest and Liquidated Damages, if any, on the Notes repurchased, to the date of purchase. Within 10 days following any Change of Control, Radio One will mail a notice to each Holder describing the transaction or transactions that constitute the Change of Control and offering to repurchase Notes on the Change of Control Payment Date specified in the notice, which date will be no earlier than 30 days and no later than 60 days from the date such notice is mailed, pursuant to the procedures required by the Indenture and described in such notice. Radio One will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the Indenture, Radio One will comply with the applicable securities laws and regulations and will not be deemed to have breached its obligations under the Change of Control provisions of the Indenture by virtue of such conflict.</w:t>
      </w:r>
    </w:p>
    <w:p>
      <w:pPr>
        <w:spacing w:after="0" w:line="34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On the Change of Control Payment Date, Radio One will, to the extent lawful:</w:t>
      </w:r>
    </w:p>
    <w:p>
      <w:pPr>
        <w:spacing w:after="0" w:line="175" w:lineRule="exact"/>
        <w:rPr>
          <w:sz w:val="20"/>
          <w:szCs w:val="20"/>
          <w:color w:val="auto"/>
        </w:rPr>
      </w:pPr>
    </w:p>
    <w:p>
      <w:pPr>
        <w:ind w:left="180" w:right="3639" w:firstLine="263"/>
        <w:spacing w:after="0" w:line="258" w:lineRule="auto"/>
        <w:tabs>
          <w:tab w:leader="none" w:pos="788"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 for payment all Notes or portions of Notes properly tendered pursuant to the Change of Control Offer;</w:t>
      </w:r>
    </w:p>
    <w:p>
      <w:pPr>
        <w:spacing w:after="0" w:line="159" w:lineRule="exact"/>
        <w:rPr>
          <w:rFonts w:ascii="Courier New" w:cs="Courier New" w:eastAsia="Courier New" w:hAnsi="Courier New"/>
          <w:sz w:val="14"/>
          <w:szCs w:val="14"/>
          <w:color w:val="auto"/>
        </w:rPr>
      </w:pPr>
    </w:p>
    <w:p>
      <w:pPr>
        <w:jc w:val="both"/>
        <w:ind w:left="180" w:right="4059" w:firstLine="263"/>
        <w:spacing w:after="0" w:line="255" w:lineRule="auto"/>
        <w:tabs>
          <w:tab w:leader="none" w:pos="788"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deposit with the paying agent an amount equal to the Change of Control Payment in respect of all Notes or portions of Notes properly tendered; and</w:t>
      </w:r>
    </w:p>
    <w:p>
      <w:pPr>
        <w:spacing w:after="0" w:line="162" w:lineRule="exact"/>
        <w:rPr>
          <w:rFonts w:ascii="Courier New" w:cs="Courier New" w:eastAsia="Courier New" w:hAnsi="Courier New"/>
          <w:sz w:val="14"/>
          <w:szCs w:val="14"/>
          <w:color w:val="auto"/>
        </w:rPr>
      </w:pPr>
    </w:p>
    <w:p>
      <w:pPr>
        <w:ind w:left="180" w:right="3719" w:firstLine="263"/>
        <w:spacing w:after="0" w:line="254" w:lineRule="auto"/>
        <w:tabs>
          <w:tab w:leader="none" w:pos="788"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or cause to be delivered to the trustee the Notes properly accepted together with an officers' certificate stating the aggregate principal amount of Notes or portions of Notes being purchased by Radio One.</w:t>
      </w:r>
    </w:p>
    <w:p>
      <w:pPr>
        <w:spacing w:after="0" w:line="163"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provided that each new note will be in a principal amount of $1,000 or an integral multiple of $1,000.</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440" w:gutter="0" w:footer="0" w:header="0"/>
        </w:sectPr>
      </w:pPr>
    </w:p>
    <w:bookmarkStart w:id="57" w:name="page58"/>
    <w:bookmarkEnd w:id="57"/>
    <w:p>
      <w:pPr>
        <w:ind w:right="3459" w:firstLine="260"/>
        <w:spacing w:after="0" w:line="253" w:lineRule="auto"/>
        <w:rPr>
          <w:sz w:val="20"/>
          <w:szCs w:val="20"/>
          <w:color w:val="auto"/>
        </w:rPr>
      </w:pPr>
      <w:r>
        <w:rPr>
          <w:rFonts w:ascii="Courier New" w:cs="Courier New" w:eastAsia="Courier New" w:hAnsi="Courier New"/>
          <w:sz w:val="14"/>
          <w:szCs w:val="14"/>
          <w:color w:val="auto"/>
        </w:rPr>
        <w:t>Prior to complying with any of the provisions of this "Change of Control" covenant, but in any event within 90 days following a Change of Control, Radio One will either repay all outstanding Senior Debt or obtain the requisite consents, if any, under all agreements governing outstanding Senior Debt to permit the repurchase of Notes required by this covenant. Radio One will publicly announce the results of the Change of Control Offer on or as soon as practicable after the Change of Control Payment Date.</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provisions described above that require Radio One to make a Change of Control Offer following a Change of Control will be applicable whether or not any other provisions of the Indenture are applicable. Except as described above with respect to a Change of Control, the Indenture does not contain provisions that permit the Holders of the Notes to require that Radio One repurchase or redeem the Notes in the event of a takeover, recapitalization or similar transaction.</w:t>
      </w:r>
    </w:p>
    <w:p>
      <w:pPr>
        <w:spacing w:after="0" w:line="332"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Radio One will not be required to make a Change of Control Offer upon a Change of Control if a third party makes the Change of Control Offer in the manner, at the times and otherwise in compliance with the requirements set forth in the Indenture applicable to a Change of Control Offer made by Radio One and purchases all Notes properly tendered and not withdrawn under the Change of Control Offer.</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definition of Change of Control includes a phrase relating to the direct or indirect sale, lease, transfer, conveyance or other disposition of "all or substantially all" of the properties or assets of Radio One and its Subsidiaries taken as a whole. Although there is a limited body of case law interpreting the phrase "substantially all," there is no precise established definition of the phrase under applicable law. Accordingly, the ability of a Holder of Notes to require Radio One to repurchase its Notes as a result of a sale, lease, transfer, conveyance or other disposition of less than all of the assets of Radio One and its Subsidiaries taken as a whole to another Person or group may be uncertain.</w:t>
      </w:r>
    </w:p>
    <w:p>
      <w:pPr>
        <w:spacing w:after="0" w:line="33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Asset Sales</w:t>
      </w:r>
    </w:p>
    <w:p>
      <w:pPr>
        <w:spacing w:after="0" w:line="175" w:lineRule="exact"/>
        <w:rPr>
          <w:sz w:val="20"/>
          <w:szCs w:val="20"/>
          <w:color w:val="auto"/>
        </w:rPr>
      </w:pPr>
    </w:p>
    <w:p>
      <w:pPr>
        <w:ind w:right="4319" w:firstLine="269"/>
        <w:spacing w:after="0" w:line="258" w:lineRule="auto"/>
        <w:tabs>
          <w:tab w:leader="none" w:pos="608"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will not, and will not permit any of its Restricted Subsidiaries to, consummate an Asset Sale unless:</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(or the Restricted Subsidiary, as the case may be)</w:t>
      </w:r>
    </w:p>
    <w:p>
      <w:pPr>
        <w:spacing w:after="0" w:line="8" w:lineRule="exact"/>
        <w:rPr>
          <w:rFonts w:ascii="Courier New" w:cs="Courier New" w:eastAsia="Courier New" w:hAnsi="Courier New"/>
          <w:sz w:val="14"/>
          <w:szCs w:val="14"/>
          <w:color w:val="auto"/>
        </w:rPr>
      </w:pPr>
    </w:p>
    <w:p>
      <w:pPr>
        <w:ind w:left="180" w:right="36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receives consideration at the time of the Asset Sale at least equal to the fair market value of the assets or Equity Interests issued or sold or otherwise disposed of;</w:t>
      </w:r>
    </w:p>
    <w:p>
      <w:pPr>
        <w:spacing w:after="0" w:line="162" w:lineRule="exact"/>
        <w:rPr>
          <w:rFonts w:ascii="Courier New" w:cs="Courier New" w:eastAsia="Courier New" w:hAnsi="Courier New"/>
          <w:sz w:val="14"/>
          <w:szCs w:val="14"/>
          <w:color w:val="auto"/>
        </w:rPr>
      </w:pPr>
    </w:p>
    <w:p>
      <w:pPr>
        <w:ind w:left="180" w:right="3539" w:firstLine="263"/>
        <w:spacing w:after="0" w:line="255" w:lineRule="auto"/>
        <w:tabs>
          <w:tab w:leader="none" w:pos="788"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is determined by Radio One's Board of Directors and evidenced by a resolution of the Board of Directors set forth in an officers' certificate delivered to the trustee; and</w:t>
      </w:r>
    </w:p>
    <w:p>
      <w:pPr>
        <w:spacing w:after="0" w:line="162"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75% of the consideration received in the Asset Sale by Radio One or such Restricted Subsidiary is in the form of cash or Cash Equivalents except to the extent Radio One is undertaking a Permitted Asset Swap. For purposes of this provision and the next paragraph, each of the following will be deemed to be cash:</w:t>
      </w:r>
    </w:p>
    <w:p>
      <w:pPr>
        <w:spacing w:after="0" w:line="162" w:lineRule="exact"/>
        <w:rPr>
          <w:rFonts w:ascii="Courier New" w:cs="Courier New" w:eastAsia="Courier New" w:hAnsi="Courier New"/>
          <w:sz w:val="14"/>
          <w:szCs w:val="14"/>
          <w:color w:val="auto"/>
        </w:rPr>
      </w:pPr>
    </w:p>
    <w:p>
      <w:pPr>
        <w:ind w:left="360" w:right="3719" w:firstLine="257"/>
        <w:spacing w:after="0" w:line="253" w:lineRule="auto"/>
        <w:tabs>
          <w:tab w:leader="none" w:pos="968" w:val="left"/>
        </w:tabs>
        <w:numPr>
          <w:ilvl w:val="2"/>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liabilities, as shown on Radio One's or such Restricted Subsidiary's most recent balance sheet, of Radio One or any Restricted Subsidiary (other than contingent liabilities and liabilities that are by their terms subordinated to the Notes or any Subsidiary Guarantee) that are assumed by the transferee of any such assets pursuant to a customary novation agreement that releases Radio One or such Restricted Subsidiary from further liability; and</w:t>
      </w:r>
    </w:p>
    <w:p>
      <w:pPr>
        <w:spacing w:after="0" w:line="164" w:lineRule="exact"/>
        <w:rPr>
          <w:rFonts w:ascii="Courier New" w:cs="Courier New" w:eastAsia="Courier New" w:hAnsi="Courier New"/>
          <w:sz w:val="14"/>
          <w:szCs w:val="14"/>
          <w:color w:val="auto"/>
        </w:rPr>
      </w:pPr>
    </w:p>
    <w:p>
      <w:pPr>
        <w:ind w:left="360" w:right="3719" w:firstLine="257"/>
        <w:spacing w:after="0" w:line="254" w:lineRule="auto"/>
        <w:tabs>
          <w:tab w:leader="none" w:pos="968" w:val="left"/>
        </w:tabs>
        <w:numPr>
          <w:ilvl w:val="2"/>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securities, notes or other obligations received by Radio One or any such Restricted Subsidiary from such transferee that are converted by Radio One or such Restricted Subsidiary within 90 days into cash or Cash Equivalents, to the extent of the cash or Cash Equivalents received in that conversion.</w:t>
      </w:r>
    </w:p>
    <w:p>
      <w:pPr>
        <w:spacing w:after="0" w:line="162" w:lineRule="exact"/>
        <w:rPr>
          <w:sz w:val="20"/>
          <w:szCs w:val="20"/>
          <w:color w:val="auto"/>
        </w:rPr>
      </w:pPr>
    </w:p>
    <w:p>
      <w:pPr>
        <w:ind w:right="3539" w:firstLine="260"/>
        <w:spacing w:after="0" w:line="255" w:lineRule="auto"/>
        <w:rPr>
          <w:sz w:val="20"/>
          <w:szCs w:val="20"/>
          <w:color w:val="auto"/>
        </w:rPr>
      </w:pPr>
      <w:r>
        <w:rPr>
          <w:rFonts w:ascii="Courier New" w:cs="Courier New" w:eastAsia="Courier New" w:hAnsi="Courier New"/>
          <w:sz w:val="14"/>
          <w:szCs w:val="14"/>
          <w:color w:val="auto"/>
        </w:rPr>
        <w:t>The 75% limitation referred to in clause (3) above will not apply to any Asset Sale in which the cash or Cash Equivalents portion of the consideration received therefrom, determined in accordance with the preceding</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20" w:right="1440" w:bottom="1440" w:gutter="0" w:footer="0" w:header="0"/>
        </w:sectPr>
      </w:pPr>
    </w:p>
    <w:bookmarkStart w:id="58" w:name="page59"/>
    <w:bookmarkEnd w:id="58"/>
    <w:p>
      <w:pPr>
        <w:ind w:right="3539"/>
        <w:spacing w:after="0" w:line="258" w:lineRule="auto"/>
        <w:rPr>
          <w:sz w:val="20"/>
          <w:szCs w:val="20"/>
          <w:color w:val="auto"/>
        </w:rPr>
      </w:pPr>
      <w:r>
        <w:rPr>
          <w:rFonts w:ascii="Courier New" w:cs="Courier New" w:eastAsia="Courier New" w:hAnsi="Courier New"/>
          <w:sz w:val="14"/>
          <w:szCs w:val="14"/>
          <w:color w:val="auto"/>
        </w:rPr>
        <w:t>provision, is equal to or greater than what the after-tax proceeds would have been had such Asset Sale complied with the aforementioned 75% limitation.</w:t>
      </w:r>
    </w:p>
    <w:p>
      <w:pPr>
        <w:spacing w:after="0" w:line="160" w:lineRule="exact"/>
        <w:rPr>
          <w:sz w:val="20"/>
          <w:szCs w:val="20"/>
          <w:color w:val="auto"/>
        </w:rPr>
      </w:pPr>
    </w:p>
    <w:p>
      <w:pPr>
        <w:ind w:right="3379" w:firstLine="260"/>
        <w:spacing w:after="0" w:line="255" w:lineRule="auto"/>
        <w:rPr>
          <w:sz w:val="20"/>
          <w:szCs w:val="20"/>
          <w:color w:val="auto"/>
        </w:rPr>
      </w:pPr>
      <w:r>
        <w:rPr>
          <w:rFonts w:ascii="Courier New" w:cs="Courier New" w:eastAsia="Courier New" w:hAnsi="Courier New"/>
          <w:sz w:val="14"/>
          <w:szCs w:val="14"/>
          <w:color w:val="auto"/>
        </w:rPr>
        <w:t>Notwithstanding the foregoing, Radio One, a Guarantor or any Restricted Subsidiary will be permitted to consummate an Asset Sale without complying with the foregoing if:</w:t>
      </w:r>
    </w:p>
    <w:p>
      <w:pPr>
        <w:spacing w:after="0" w:line="162" w:lineRule="exact"/>
        <w:rPr>
          <w:sz w:val="20"/>
          <w:szCs w:val="20"/>
          <w:color w:val="auto"/>
        </w:rPr>
      </w:pPr>
    </w:p>
    <w:p>
      <w:pPr>
        <w:jc w:val="both"/>
        <w:ind w:left="180" w:right="3899" w:firstLine="263"/>
        <w:spacing w:after="0" w:line="254" w:lineRule="auto"/>
        <w:tabs>
          <w:tab w:leader="none" w:pos="78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such Guarantor or such Restricted Subsidiary receives consideration at the time of such Asset Sale at least equal to the fair market value of the assets or other property sold, issued or otherwise disposed of;</w:t>
      </w:r>
    </w:p>
    <w:p>
      <w:pPr>
        <w:spacing w:after="0" w:line="163" w:lineRule="exact"/>
        <w:rPr>
          <w:rFonts w:ascii="Courier New" w:cs="Courier New" w:eastAsia="Courier New" w:hAnsi="Courier New"/>
          <w:sz w:val="14"/>
          <w:szCs w:val="14"/>
          <w:color w:val="auto"/>
        </w:rPr>
      </w:pPr>
    </w:p>
    <w:p>
      <w:pPr>
        <w:ind w:left="180" w:right="3539" w:firstLine="263"/>
        <w:spacing w:after="0" w:line="255" w:lineRule="auto"/>
        <w:tabs>
          <w:tab w:leader="none" w:pos="78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is determined by Radio One's Board of Directors and evidenced by a resolution of the Board of Directors set forth in an officers' certificate delivered to the trustee; and</w:t>
      </w:r>
    </w:p>
    <w:p>
      <w:pPr>
        <w:spacing w:after="0" w:line="162" w:lineRule="exact"/>
        <w:rPr>
          <w:rFonts w:ascii="Courier New" w:cs="Courier New" w:eastAsia="Courier New" w:hAnsi="Courier New"/>
          <w:sz w:val="14"/>
          <w:szCs w:val="14"/>
          <w:color w:val="auto"/>
        </w:rPr>
      </w:pPr>
    </w:p>
    <w:p>
      <w:pPr>
        <w:ind w:left="180" w:right="3639" w:firstLine="263"/>
        <w:spacing w:after="0" w:line="255" w:lineRule="auto"/>
        <w:tabs>
          <w:tab w:leader="none" w:pos="78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75% of the consideration for such Asset Sale constitutes a controlling interest in a Permitted Business, assets used or useful in a Permitted Business and/or cash;</w:t>
      </w:r>
    </w:p>
    <w:p>
      <w:pPr>
        <w:spacing w:after="0" w:line="162"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provided that any cash (other than any amount deemed cash under clause (3)(a) of the preceding paragraph) received by Radio One, such Guarantor or such Restricted Subsidiary in connection with any Asset Sale permitted to be consummated under this paragraph shall constitute Net Proceeds subject to the provisions of the next paragraph.</w:t>
      </w:r>
    </w:p>
    <w:p>
      <w:pPr>
        <w:spacing w:after="0" w:line="162" w:lineRule="exact"/>
        <w:rPr>
          <w:sz w:val="20"/>
          <w:szCs w:val="20"/>
          <w:color w:val="auto"/>
        </w:rPr>
      </w:pPr>
    </w:p>
    <w:p>
      <w:pPr>
        <w:ind w:right="3379" w:firstLine="269"/>
        <w:spacing w:after="0" w:line="253" w:lineRule="auto"/>
        <w:tabs>
          <w:tab w:leader="none" w:pos="608"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360 days after the receipt of any Net Proceeds from an Asset Sale, provided that (i) such Net Proceeds either singularly or when aggregated with all other Net Proceeds from all Asset Sales consummated since the date of the Indenture exceed $10,000,000; and (ii) the Leverage Ratio as of the end of the fiscal quarter immediately prior to the date on which such application of such Net Proceeds would otherwise be required is greater than 6.00 to 1.00, and then only to the extent necessary to reduce the Leverage Ratio to 6.00 to 1.00, Radio One, such Guarantor or such Restricted Subsidiary may apply those Net Proceeds at its option:</w:t>
      </w:r>
    </w:p>
    <w:p>
      <w:pPr>
        <w:spacing w:after="0" w:line="164" w:lineRule="exact"/>
        <w:rPr>
          <w:rFonts w:ascii="Courier New" w:cs="Courier New" w:eastAsia="Courier New" w:hAnsi="Courier New"/>
          <w:sz w:val="14"/>
          <w:szCs w:val="14"/>
          <w:color w:val="auto"/>
        </w:rPr>
      </w:pPr>
    </w:p>
    <w:p>
      <w:pPr>
        <w:jc w:val="both"/>
        <w:ind w:left="180" w:right="3899" w:firstLine="263"/>
        <w:spacing w:after="0" w:line="255" w:lineRule="auto"/>
        <w:tabs>
          <w:tab w:leader="none" w:pos="788"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repay Senior Debt and, if the Senior Debt repaid is revolving credit Indebtedness, to correspondingly reduce commitments with respect thereto;</w:t>
      </w:r>
    </w:p>
    <w:p>
      <w:pPr>
        <w:spacing w:after="0" w:line="162" w:lineRule="exact"/>
        <w:rPr>
          <w:rFonts w:ascii="Courier New" w:cs="Courier New" w:eastAsia="Courier New" w:hAnsi="Courier New"/>
          <w:sz w:val="14"/>
          <w:szCs w:val="14"/>
          <w:color w:val="auto"/>
        </w:rPr>
      </w:pPr>
    </w:p>
    <w:p>
      <w:pPr>
        <w:ind w:left="180" w:right="3639" w:firstLine="263"/>
        <w:spacing w:after="0" w:line="258" w:lineRule="auto"/>
        <w:tabs>
          <w:tab w:leader="none" w:pos="788"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acquire all or substantially all of the assets of, or a majority of the Voting Stock of, another Permitted Business;</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capital expenditures; or</w:t>
      </w:r>
    </w:p>
    <w:p>
      <w:pPr>
        <w:spacing w:after="0" w:line="175" w:lineRule="exact"/>
        <w:rPr>
          <w:rFonts w:ascii="Courier New" w:cs="Courier New" w:eastAsia="Courier New" w:hAnsi="Courier New"/>
          <w:sz w:val="14"/>
          <w:szCs w:val="14"/>
          <w:color w:val="auto"/>
        </w:rPr>
      </w:pPr>
    </w:p>
    <w:p>
      <w:pPr>
        <w:ind w:left="180" w:right="4059" w:firstLine="263"/>
        <w:spacing w:after="0" w:line="258" w:lineRule="auto"/>
        <w:tabs>
          <w:tab w:leader="none" w:pos="788"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acquire other assets that are used or useful in a Permitted Business.</w:t>
      </w:r>
    </w:p>
    <w:p>
      <w:pPr>
        <w:spacing w:after="0" w:line="160" w:lineRule="exact"/>
        <w:rPr>
          <w:sz w:val="20"/>
          <w:szCs w:val="20"/>
          <w:color w:val="auto"/>
        </w:rPr>
      </w:pPr>
    </w:p>
    <w:p>
      <w:pPr>
        <w:ind w:right="3379" w:firstLine="260"/>
        <w:spacing w:after="0" w:line="255" w:lineRule="auto"/>
        <w:rPr>
          <w:sz w:val="20"/>
          <w:szCs w:val="20"/>
          <w:color w:val="auto"/>
        </w:rPr>
      </w:pPr>
      <w:r>
        <w:rPr>
          <w:rFonts w:ascii="Courier New" w:cs="Courier New" w:eastAsia="Courier New" w:hAnsi="Courier New"/>
          <w:sz w:val="14"/>
          <w:szCs w:val="14"/>
          <w:color w:val="auto"/>
        </w:rPr>
        <w:t>Pending the final application of any Net Proceeds, Radio One may temporarily reduce revolving credit borrowings or otherwise invest the Net Proceeds in any manner that is not prohibited by the Indenture.</w:t>
      </w:r>
    </w:p>
    <w:p>
      <w:pPr>
        <w:spacing w:after="0" w:line="162"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Any Net Proceeds from Asset Sales that are not applied or invested as provided in the preceding paragraph will constitute "Excess Proceeds." When the aggregate amount of Excess Proceeds exceeds $10.0 million, Radio One will make an Asset Sale Offer to all Holders of Notes and all holders of other Indebtedness that is pari passu with the Notes containing provisions similar to those set forth in the Indenture with respect to offers to purchase or redeem with the proceeds of sales of assets to purchase the maximum principal amount of Notes and such other pari passu Indebtedness that may be purchased out of the Excess Proceeds. The offer price in any Asset Sale Offer will be equal to 100% of principal amount plus accrued and unpaid interest and Liquidated Damages, if any, to the date of purchase, and will be payable in cash. If any Excess Proceeds remain after consummation of an Asset Sale Offer, Radio One may use those Excess Proceeds for any purpose not otherwise prohibited by the Indenture. If the aggregate principal amount of Notes and other pari passu Indebtedness tendered into such Asset Sale Offer exceeds the amount of Excess Proceeds, the trustee will select the Notes and such other pari passu Indebtedness to be purchased on a pro rata basis. Upon completion of each Asset Sale Offer, the amount of Excess Proceeds will be reset at zero.</w:t>
      </w:r>
    </w:p>
    <w:p>
      <w:pPr>
        <w:spacing w:after="0" w:line="174" w:lineRule="exact"/>
        <w:rPr>
          <w:sz w:val="20"/>
          <w:szCs w:val="20"/>
          <w:color w:val="auto"/>
        </w:rPr>
      </w:pPr>
    </w:p>
    <w:p>
      <w:pPr>
        <w:ind w:right="3639" w:firstLine="269"/>
        <w:spacing w:after="0" w:line="255" w:lineRule="auto"/>
        <w:tabs>
          <w:tab w:leader="none" w:pos="60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will comply with the requirements of Rule 14e-1 under the Exchange Act and any other securities laws and regulations thereunder to the extent those laws and regulations are applicable in connection</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440" w:gutter="0" w:footer="0" w:header="0"/>
        </w:sectPr>
      </w:pPr>
    </w:p>
    <w:bookmarkStart w:id="59" w:name="page60"/>
    <w:bookmarkEnd w:id="59"/>
    <w:p>
      <w:pPr>
        <w:ind w:right="3639"/>
        <w:spacing w:after="0" w:line="253" w:lineRule="auto"/>
        <w:rPr>
          <w:sz w:val="20"/>
          <w:szCs w:val="20"/>
          <w:color w:val="auto"/>
        </w:rPr>
      </w:pPr>
      <w:r>
        <w:rPr>
          <w:rFonts w:ascii="Courier New" w:cs="Courier New" w:eastAsia="Courier New" w:hAnsi="Courier New"/>
          <w:sz w:val="14"/>
          <w:szCs w:val="14"/>
          <w:color w:val="auto"/>
        </w:rPr>
        <w:t>with each repurchase of Notes pursuant to an Asset Sale Offer. To the extent that the provisions of any securities laws or regulations conflict with the Asset Sale provisions of the Indenture, Radio One will comply with the applicable securities laws and regulations and will not be deemed to have breached its obligations under the Asset Sale provisions of the Indenture by virtue of such conflict.</w:t>
      </w:r>
    </w:p>
    <w:p>
      <w:pPr>
        <w:spacing w:after="0" w:line="16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The agreements governing Radio One's outstanding Senior Debt currently prohibit Radio One from purchasing any Notes, and also provides that certain change of control or asset sale events with respect to Radio One would constitute a default under these agreements. Any future credit agreements or other agreements relating to Senior Debt to which Radio One becomes a party may contain similar restrictions and provisions. In the event a Change of Control or Asset Sale occurs at a time when Radio One is prohibited from purchasing Notes, Radio One could seek the consent of its senior lenders to the purchase of Notes or could attempt to refinance the borrowings that contain such prohibition. If Radio One does not obtain such a consent or repay such borrowings, Radio One will remain prohibited from purchasing Notes. In such case, Radio One's failure to purchase tendered Notes would constitute an Event of Default under the Indenture which would, in turn, constitute a default under such Senior Debt. In such circumstances, the subordination provisions in the Indenture would likely restrict payments to the Holders of Notes.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Selection and Notice</w:t>
      </w:r>
    </w:p>
    <w:p>
      <w:pPr>
        <w:spacing w:after="0" w:line="175" w:lineRule="exact"/>
        <w:rPr>
          <w:sz w:val="20"/>
          <w:szCs w:val="20"/>
          <w:color w:val="auto"/>
        </w:rPr>
      </w:pPr>
    </w:p>
    <w:p>
      <w:pPr>
        <w:ind w:right="3639" w:firstLine="260"/>
        <w:spacing w:after="0" w:line="258" w:lineRule="auto"/>
        <w:rPr>
          <w:sz w:val="20"/>
          <w:szCs w:val="20"/>
          <w:color w:val="auto"/>
        </w:rPr>
      </w:pPr>
      <w:r>
        <w:rPr>
          <w:rFonts w:ascii="Courier New" w:cs="Courier New" w:eastAsia="Courier New" w:hAnsi="Courier New"/>
          <w:sz w:val="14"/>
          <w:szCs w:val="14"/>
          <w:color w:val="auto"/>
        </w:rPr>
        <w:t>If less than all of the Notes are to be redeemed at any time, the trustee will select Notes for redemption as follows:</w:t>
      </w:r>
    </w:p>
    <w:p>
      <w:pPr>
        <w:spacing w:after="0" w:line="160" w:lineRule="exact"/>
        <w:rPr>
          <w:sz w:val="20"/>
          <w:szCs w:val="20"/>
          <w:color w:val="auto"/>
        </w:rPr>
      </w:pPr>
    </w:p>
    <w:p>
      <w:pPr>
        <w:ind w:left="180" w:right="3979" w:firstLine="263"/>
        <w:spacing w:after="0" w:line="255" w:lineRule="auto"/>
        <w:tabs>
          <w:tab w:leader="none" w:pos="78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are listed on any national securities exchange, in compliance with the requirements of the principal national securities exchange on which the Notes are listed; or</w:t>
      </w:r>
    </w:p>
    <w:p>
      <w:pPr>
        <w:spacing w:after="0" w:line="162" w:lineRule="exact"/>
        <w:rPr>
          <w:rFonts w:ascii="Courier New" w:cs="Courier New" w:eastAsia="Courier New" w:hAnsi="Courier New"/>
          <w:sz w:val="14"/>
          <w:szCs w:val="14"/>
          <w:color w:val="auto"/>
        </w:rPr>
      </w:pPr>
    </w:p>
    <w:p>
      <w:pPr>
        <w:ind w:left="180" w:right="3639" w:firstLine="263"/>
        <w:spacing w:after="0" w:line="255" w:lineRule="auto"/>
        <w:tabs>
          <w:tab w:leader="none" w:pos="78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are not listed on any national securities exchange, on a pro rata basis, by lot or by such method as the trustee deems fair and appropriate.</w:t>
      </w:r>
    </w:p>
    <w:p>
      <w:pPr>
        <w:spacing w:after="0" w:line="16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No Notes of $1,000 or less can be redeemed in part. Notices of redemption will be mailed by first class mail at least 30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the Indenture. Notices of redemption may not be conditional.</w:t>
      </w:r>
    </w:p>
    <w:p>
      <w:pPr>
        <w:spacing w:after="0" w:line="165"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Covenants</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Restricted Payments</w:t>
      </w:r>
    </w:p>
    <w:p>
      <w:pPr>
        <w:spacing w:after="0" w:line="175" w:lineRule="exact"/>
        <w:rPr>
          <w:sz w:val="20"/>
          <w:szCs w:val="20"/>
          <w:color w:val="auto"/>
        </w:rPr>
      </w:pPr>
    </w:p>
    <w:p>
      <w:pPr>
        <w:ind w:right="3539" w:firstLine="260"/>
        <w:spacing w:after="0" w:line="258" w:lineRule="auto"/>
        <w:rPr>
          <w:sz w:val="20"/>
          <w:szCs w:val="20"/>
          <w:color w:val="auto"/>
        </w:rPr>
      </w:pPr>
      <w:r>
        <w:rPr>
          <w:rFonts w:ascii="Courier New" w:cs="Courier New" w:eastAsia="Courier New" w:hAnsi="Courier New"/>
          <w:sz w:val="14"/>
          <w:szCs w:val="14"/>
          <w:color w:val="auto"/>
        </w:rPr>
        <w:t>Radio One will not, and will not permit any of its Restricted Subsidiaries to, directly or indirectly:</w:t>
      </w:r>
    </w:p>
    <w:p>
      <w:pPr>
        <w:spacing w:after="0" w:line="160" w:lineRule="exact"/>
        <w:rPr>
          <w:sz w:val="20"/>
          <w:szCs w:val="20"/>
          <w:color w:val="auto"/>
        </w:rPr>
      </w:pPr>
    </w:p>
    <w:p>
      <w:pPr>
        <w:ind w:left="180" w:right="3639" w:firstLine="263"/>
        <w:spacing w:after="0" w:line="253" w:lineRule="auto"/>
        <w:tabs>
          <w:tab w:leader="none" w:pos="78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or pay any dividend or make any other payment or distribution on account of Radio One's or any of its Restricted Subsidiaries' Equity Interests (including, without limitation, any payment in connection with any merger or consolidation involving Radio One or any of its Restricted Subsidiaries) or to the direct or indirect holders of Radio One's or any of its Restricted Subsidiaries' Equity Interests in their capacity as such (other than dividends or distributions payable in Equity Interests (other than Disqualified Stock) of Radio One and other than dividends or distributions payable to Radio One or a Restricted Subsidiary of Radio One);</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60" w:name="page61"/>
    <w:bookmarkEnd w:id="60"/>
    <w:p>
      <w:pPr>
        <w:ind w:left="180" w:right="3539" w:firstLine="263"/>
        <w:spacing w:after="0" w:line="254" w:lineRule="auto"/>
        <w:tabs>
          <w:tab w:leader="none" w:pos="788"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redeem or otherwise acquire or retire for value (including, without limitation, in connection with any merger or consolidation involving Radio One) any Equity Interests of Radio One or any direct or indirect parent of Radio One (other than any such Equity Interests owned by Radio One or a Restricted Subsidiary);</w:t>
      </w:r>
    </w:p>
    <w:p>
      <w:pPr>
        <w:spacing w:after="0" w:line="162" w:lineRule="exact"/>
        <w:rPr>
          <w:rFonts w:ascii="Courier New" w:cs="Courier New" w:eastAsia="Courier New" w:hAnsi="Courier New"/>
          <w:sz w:val="14"/>
          <w:szCs w:val="14"/>
          <w:color w:val="auto"/>
        </w:rPr>
      </w:pPr>
    </w:p>
    <w:p>
      <w:pPr>
        <w:ind w:left="180" w:right="3539" w:firstLine="263"/>
        <w:spacing w:after="0" w:line="253" w:lineRule="auto"/>
        <w:tabs>
          <w:tab w:leader="none" w:pos="788"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payment on or with respect to, or purchase, redeem, defease or otherwise acquire or retire for value any Indebtedness that is subordinated to the Notes or the Subsidiary Guarantees, except a payment of interest or principal at the Stated Maturity thereof (except for payments into a trust within one year of the stated maturity of any such Subordinated Indebtedness which payments effect a defeasance or discharge of such Indebtedness); or</w:t>
      </w:r>
    </w:p>
    <w:p>
      <w:pPr>
        <w:spacing w:after="0" w:line="164" w:lineRule="exact"/>
        <w:rPr>
          <w:rFonts w:ascii="Courier New" w:cs="Courier New" w:eastAsia="Courier New" w:hAnsi="Courier New"/>
          <w:sz w:val="14"/>
          <w:szCs w:val="14"/>
          <w:color w:val="auto"/>
        </w:rPr>
      </w:pPr>
    </w:p>
    <w:p>
      <w:pPr>
        <w:ind w:left="180" w:right="3639" w:firstLine="263"/>
        <w:spacing w:after="0" w:line="255" w:lineRule="auto"/>
        <w:tabs>
          <w:tab w:leader="none" w:pos="788"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Restricted Investment (all such payments and other actions set forth in these clauses (1) through (4) above being collectively referred to as "Restricted Payments"),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unless, at the time of and after giving effect to such Restricted Payment:</w:t>
      </w:r>
    </w:p>
    <w:p>
      <w:pPr>
        <w:spacing w:after="0" w:line="175" w:lineRule="exact"/>
        <w:rPr>
          <w:sz w:val="20"/>
          <w:szCs w:val="20"/>
          <w:color w:val="auto"/>
        </w:rPr>
      </w:pPr>
    </w:p>
    <w:p>
      <w:pPr>
        <w:ind w:left="180" w:right="3899" w:firstLine="263"/>
        <w:spacing w:after="0" w:line="258" w:lineRule="auto"/>
        <w:tabs>
          <w:tab w:leader="none" w:pos="78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has occurred and is continuing or would occur as a consequence of such Restricted Payment;</w:t>
      </w:r>
    </w:p>
    <w:p>
      <w:pPr>
        <w:spacing w:after="0" w:line="159" w:lineRule="exact"/>
        <w:rPr>
          <w:rFonts w:ascii="Courier New" w:cs="Courier New" w:eastAsia="Courier New" w:hAnsi="Courier New"/>
          <w:sz w:val="14"/>
          <w:szCs w:val="14"/>
          <w:color w:val="auto"/>
        </w:rPr>
      </w:pPr>
    </w:p>
    <w:p>
      <w:pPr>
        <w:ind w:left="180" w:right="3539" w:firstLine="263"/>
        <w:spacing w:after="0" w:line="253" w:lineRule="auto"/>
        <w:tabs>
          <w:tab w:leader="none" w:pos="78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would, at the time of such Restricted Payment and after giving pro forma effect thereto as if such Restricted Payment had been made at the beginning of the applicable four-quarter period, have been permitted to incur at least $1.00 of additional Indebtedness pursuant to the Leverage Ratio test set forth in the first paragraph of the covenant described below under the caption "--Incurrence of Indebtedness and Issuance of Preferred Stock;" and</w:t>
      </w:r>
    </w:p>
    <w:p>
      <w:pPr>
        <w:spacing w:after="0" w:line="164"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Restricted Payment, together with the aggregate amount of all other Restricted Payments made by Radio One and its Restricted Subsidiaries after the date of the Indenture (excluding Restricted Payments permitted by clauses (1), (2), (3), (4), (5), (7), (9), (11) and (12) of the next succeeding paragraph) is less than the sum, without duplication of:</w:t>
      </w:r>
    </w:p>
    <w:p>
      <w:pPr>
        <w:spacing w:after="0" w:line="162" w:lineRule="exact"/>
        <w:rPr>
          <w:rFonts w:ascii="Courier New" w:cs="Courier New" w:eastAsia="Courier New" w:hAnsi="Courier New"/>
          <w:sz w:val="14"/>
          <w:szCs w:val="14"/>
          <w:color w:val="auto"/>
        </w:rPr>
      </w:pPr>
    </w:p>
    <w:p>
      <w:pPr>
        <w:ind w:left="360" w:right="3719" w:firstLine="257"/>
        <w:spacing w:after="0" w:line="253" w:lineRule="auto"/>
        <w:tabs>
          <w:tab w:leader="none" w:pos="968"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100% of the aggregate Consolidated Cash Flow of Radio One (or, in the event such Consolidated Cash Flow shall be a deficit, minus 100% of such deficit) accrued for the period beginning April 1, 2001 and ending on the last day of Radio One's most recent calendar month for which financial information is available to Radio One ending prior to the date of such proposed Restricted Payment, taken as one accounting period, less (ii) 1.4 times Consolidated Interest Expense for the same period, plus</w:t>
      </w:r>
    </w:p>
    <w:p>
      <w:pPr>
        <w:spacing w:after="0" w:line="164" w:lineRule="exact"/>
        <w:rPr>
          <w:rFonts w:ascii="Courier New" w:cs="Courier New" w:eastAsia="Courier New" w:hAnsi="Courier New"/>
          <w:sz w:val="14"/>
          <w:szCs w:val="14"/>
          <w:color w:val="auto"/>
        </w:rPr>
      </w:pPr>
    </w:p>
    <w:p>
      <w:pPr>
        <w:ind w:left="360" w:right="3719" w:firstLine="257"/>
        <w:spacing w:after="0" w:line="253" w:lineRule="auto"/>
        <w:tabs>
          <w:tab w:leader="none" w:pos="968"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of the aggregate net proceeds (including the fair market value of property other than cash or Cash Equivalents) received by Radio One since the date of the Indenture from the issue or sale of Equity Interests of Radio One (other than Disqualified Stock), or of Disqualified Stock or debt securities of Radio One that have been converted into such Equity Interests (other than Equity Interests (or Disqualified Stock or convertible debt securities) sold to a Restricted Subsidiary and other than Disqualified Stock or convertible debt securities that have been converted into Disqualified Stock), plus</w:t>
      </w:r>
    </w:p>
    <w:p>
      <w:pPr>
        <w:spacing w:after="0" w:line="164" w:lineRule="exact"/>
        <w:rPr>
          <w:rFonts w:ascii="Courier New" w:cs="Courier New" w:eastAsia="Courier New" w:hAnsi="Courier New"/>
          <w:sz w:val="14"/>
          <w:szCs w:val="14"/>
          <w:color w:val="auto"/>
        </w:rPr>
      </w:pPr>
    </w:p>
    <w:p>
      <w:pPr>
        <w:ind w:left="960" w:hanging="343"/>
        <w:spacing w:after="0"/>
        <w:tabs>
          <w:tab w:leader="none" w:pos="960"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any Unrestricted Subsidiary is redesignated</w:t>
      </w:r>
    </w:p>
    <w:p>
      <w:pPr>
        <w:spacing w:after="0" w:line="8" w:lineRule="exact"/>
        <w:rPr>
          <w:sz w:val="20"/>
          <w:szCs w:val="20"/>
          <w:color w:val="auto"/>
        </w:rPr>
      </w:pPr>
    </w:p>
    <w:p>
      <w:pPr>
        <w:ind w:left="360" w:right="3899"/>
        <w:spacing w:after="0" w:line="255" w:lineRule="auto"/>
        <w:rPr>
          <w:sz w:val="20"/>
          <w:szCs w:val="20"/>
          <w:color w:val="auto"/>
        </w:rPr>
      </w:pPr>
      <w:r>
        <w:rPr>
          <w:rFonts w:ascii="Courier New" w:cs="Courier New" w:eastAsia="Courier New" w:hAnsi="Courier New"/>
          <w:sz w:val="14"/>
          <w:szCs w:val="14"/>
          <w:color w:val="auto"/>
        </w:rPr>
        <w:t>as a Restricted Subsidiary after the date of the Indenture, the fair market value of such Subsidiary as of the date of such redesignation, plus</w:t>
      </w:r>
    </w:p>
    <w:p>
      <w:pPr>
        <w:spacing w:after="0" w:line="162" w:lineRule="exact"/>
        <w:rPr>
          <w:sz w:val="20"/>
          <w:szCs w:val="20"/>
          <w:color w:val="auto"/>
        </w:rPr>
      </w:pPr>
    </w:p>
    <w:p>
      <w:pPr>
        <w:ind w:left="960" w:hanging="343"/>
        <w:spacing w:after="0"/>
        <w:tabs>
          <w:tab w:leader="none" w:pos="9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returned in cash with respect to</w:t>
      </w:r>
    </w:p>
    <w:p>
      <w:pPr>
        <w:spacing w:after="0" w:line="8" w:lineRule="exact"/>
        <w:rPr>
          <w:rFonts w:ascii="Courier New" w:cs="Courier New" w:eastAsia="Courier New" w:hAnsi="Courier New"/>
          <w:sz w:val="14"/>
          <w:szCs w:val="14"/>
          <w:color w:val="auto"/>
        </w:rPr>
      </w:pPr>
    </w:p>
    <w:p>
      <w:pPr>
        <w:ind w:left="360" w:right="38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(other than Permitted Investments) made after the issue date whether through interest payments, principal payments, dividends or other distributions, plus</w:t>
      </w:r>
    </w:p>
    <w:p>
      <w:pPr>
        <w:spacing w:after="0" w:line="162" w:lineRule="exact"/>
        <w:rPr>
          <w:rFonts w:ascii="Courier New" w:cs="Courier New" w:eastAsia="Courier New" w:hAnsi="Courier New"/>
          <w:sz w:val="14"/>
          <w:szCs w:val="14"/>
          <w:color w:val="auto"/>
        </w:rPr>
      </w:pPr>
    </w:p>
    <w:p>
      <w:pPr>
        <w:ind w:left="360" w:right="3799" w:firstLine="257"/>
        <w:spacing w:after="0" w:line="254" w:lineRule="auto"/>
        <w:tabs>
          <w:tab w:leader="none" w:pos="968"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cash proceeds received by Radio One or any of its Restricted Subsidiaries from the disposition, retirement or redemption of all or any portion of such Investments referred to in clause (4) above (other than to a Restricted Subsidiary), plus</w:t>
      </w:r>
    </w:p>
    <w:p>
      <w:pPr>
        <w:spacing w:after="0" w:line="163" w:lineRule="exact"/>
        <w:rPr>
          <w:rFonts w:ascii="Courier New" w:cs="Courier New" w:eastAsia="Courier New" w:hAnsi="Courier New"/>
          <w:sz w:val="14"/>
          <w:szCs w:val="14"/>
          <w:color w:val="auto"/>
        </w:rPr>
      </w:pPr>
    </w:p>
    <w:p>
      <w:pPr>
        <w:ind w:left="960" w:hanging="343"/>
        <w:spacing w:after="0"/>
        <w:tabs>
          <w:tab w:leader="none" w:pos="9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$15.0 million.</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20" w:right="1440" w:bottom="1440" w:gutter="0" w:footer="0" w:header="0"/>
        </w:sectPr>
      </w:pPr>
    </w:p>
    <w:bookmarkStart w:id="61" w:name="page62"/>
    <w:bookmarkEnd w:id="61"/>
    <w:p>
      <w:pPr>
        <w:ind w:left="77"/>
        <w:spacing w:after="0"/>
        <w:rPr>
          <w:sz w:val="20"/>
          <w:szCs w:val="20"/>
          <w:color w:val="auto"/>
        </w:rPr>
      </w:pPr>
      <w:r>
        <w:rPr>
          <w:rFonts w:ascii="Courier New" w:cs="Courier New" w:eastAsia="Courier New" w:hAnsi="Courier New"/>
          <w:sz w:val="14"/>
          <w:szCs w:val="14"/>
          <w:color w:val="auto"/>
        </w:rPr>
        <w:t>The preceding provisions will not prohibit:</w:t>
      </w:r>
    </w:p>
    <w:p>
      <w:pPr>
        <w:spacing w:after="0" w:line="175" w:lineRule="exact"/>
        <w:rPr>
          <w:sz w:val="20"/>
          <w:szCs w:val="20"/>
          <w:color w:val="auto"/>
        </w:rPr>
      </w:pPr>
    </w:p>
    <w:p>
      <w:pPr>
        <w:ind w:left="-3" w:right="3899" w:firstLine="263"/>
        <w:spacing w:after="0" w:line="255" w:lineRule="auto"/>
        <w:tabs>
          <w:tab w:leader="none" w:pos="605"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any dividend within 60 days after the date of declaration of the dividend, if at the date of declaration the dividend payment would have complied with the provisions of the Indenture;</w:t>
      </w:r>
    </w:p>
    <w:p>
      <w:pPr>
        <w:spacing w:after="0" w:line="162" w:lineRule="exact"/>
        <w:rPr>
          <w:rFonts w:ascii="Courier New" w:cs="Courier New" w:eastAsia="Courier New" w:hAnsi="Courier New"/>
          <w:sz w:val="14"/>
          <w:szCs w:val="14"/>
          <w:color w:val="auto"/>
        </w:rPr>
      </w:pPr>
    </w:p>
    <w:p>
      <w:pPr>
        <w:ind w:left="-3" w:right="3639" w:firstLine="263"/>
        <w:spacing w:after="0" w:line="252" w:lineRule="auto"/>
        <w:tabs>
          <w:tab w:leader="none" w:pos="605"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repurchase, retirement, defeasance or other acquisition of any subordinated Indebtedness of Radio One or any Guarantor or of any Equity Interests of Radio One in exchange for, or out of the net cash proceeds of the substantially concurrent sale (other than to a Restricted Subsidiary of Radio One) of, Equity Interests of Radio One (other than Disqualified Stock); provided that the amount of any such net cash proceeds that are utilized for any such redemption, repurchase, retirement, defeasance or other acquisition will be excluded from clause</w:t>
      </w:r>
    </w:p>
    <w:p>
      <w:pPr>
        <w:spacing w:after="0" w:line="3" w:lineRule="exact"/>
        <w:rPr>
          <w:rFonts w:ascii="Courier New" w:cs="Courier New" w:eastAsia="Courier New" w:hAnsi="Courier New"/>
          <w:sz w:val="14"/>
          <w:szCs w:val="14"/>
          <w:color w:val="auto"/>
        </w:rPr>
      </w:pPr>
    </w:p>
    <w:p>
      <w:pPr>
        <w:ind w:left="337" w:hanging="337"/>
        <w:spacing w:after="0"/>
        <w:tabs>
          <w:tab w:leader="none" w:pos="337"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 of the preceding paragraph;</w:t>
      </w:r>
    </w:p>
    <w:p>
      <w:pPr>
        <w:spacing w:after="0" w:line="175" w:lineRule="exact"/>
        <w:rPr>
          <w:rFonts w:ascii="Courier New" w:cs="Courier New" w:eastAsia="Courier New" w:hAnsi="Courier New"/>
          <w:sz w:val="14"/>
          <w:szCs w:val="14"/>
          <w:color w:val="auto"/>
        </w:rPr>
      </w:pPr>
    </w:p>
    <w:p>
      <w:pPr>
        <w:ind w:left="-3" w:right="3719" w:firstLine="263"/>
        <w:spacing w:after="0" w:line="255" w:lineRule="auto"/>
        <w:tabs>
          <w:tab w:leader="none" w:pos="605"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defeasance, redemption, repurchase or other acquisition of subordinated Indebtedness of Radio One or any Guarantor with the net cash proceeds from an incurrence of Permitted Refinancing Indebtedness;</w:t>
      </w:r>
    </w:p>
    <w:p>
      <w:pPr>
        <w:spacing w:after="0" w:line="162" w:lineRule="exact"/>
        <w:rPr>
          <w:rFonts w:ascii="Courier New" w:cs="Courier New" w:eastAsia="Courier New" w:hAnsi="Courier New"/>
          <w:sz w:val="14"/>
          <w:szCs w:val="14"/>
          <w:color w:val="auto"/>
        </w:rPr>
      </w:pPr>
    </w:p>
    <w:p>
      <w:pPr>
        <w:ind w:left="-3" w:right="3639" w:firstLine="263"/>
        <w:spacing w:after="0" w:line="258" w:lineRule="auto"/>
        <w:tabs>
          <w:tab w:leader="none" w:pos="605"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any dividend by a Restricted Subsidiary of Radio One to the holders of its common Equity Interests on a pro rata basis;</w:t>
      </w:r>
    </w:p>
    <w:p>
      <w:pPr>
        <w:spacing w:after="0" w:line="159" w:lineRule="exact"/>
        <w:rPr>
          <w:rFonts w:ascii="Courier New" w:cs="Courier New" w:eastAsia="Courier New" w:hAnsi="Courier New"/>
          <w:sz w:val="14"/>
          <w:szCs w:val="14"/>
          <w:color w:val="auto"/>
        </w:rPr>
      </w:pPr>
    </w:p>
    <w:p>
      <w:pPr>
        <w:jc w:val="both"/>
        <w:ind w:left="-3" w:right="3899" w:firstLine="263"/>
        <w:spacing w:after="0" w:line="255" w:lineRule="auto"/>
        <w:tabs>
          <w:tab w:leader="none" w:pos="605"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no Default has occurred and is continuing or would be caused thereby, the payment of dividends on Existing Preferred Stock in accordance with the terms thereof;</w:t>
      </w:r>
    </w:p>
    <w:p>
      <w:pPr>
        <w:spacing w:after="0" w:line="162" w:lineRule="exact"/>
        <w:rPr>
          <w:rFonts w:ascii="Courier New" w:cs="Courier New" w:eastAsia="Courier New" w:hAnsi="Courier New"/>
          <w:sz w:val="14"/>
          <w:szCs w:val="14"/>
          <w:color w:val="auto"/>
        </w:rPr>
      </w:pPr>
    </w:p>
    <w:p>
      <w:pPr>
        <w:ind w:left="-3" w:right="3639" w:firstLine="263"/>
        <w:spacing w:after="0" w:line="253" w:lineRule="auto"/>
        <w:tabs>
          <w:tab w:leader="none" w:pos="605"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to members of management of Radio One or any Restricted Subsidiary, the proceeds of which are used for a concurrent purchase of Equity Interests of Radio One or a capital contribution to Radio One (provided that the proceeds from such purchase of Equity Interests or capital contribution shall be excluded from the calculation of amounts under clause (3) above), provided that such loans shall be included in the calculation of the amount of Restricted Payments from and after such time;</w:t>
      </w:r>
    </w:p>
    <w:p>
      <w:pPr>
        <w:spacing w:after="0" w:line="164" w:lineRule="exact"/>
        <w:rPr>
          <w:rFonts w:ascii="Courier New" w:cs="Courier New" w:eastAsia="Courier New" w:hAnsi="Courier New"/>
          <w:sz w:val="14"/>
          <w:szCs w:val="14"/>
          <w:color w:val="auto"/>
        </w:rPr>
      </w:pPr>
    </w:p>
    <w:p>
      <w:pPr>
        <w:ind w:left="-3" w:right="3539" w:firstLine="263"/>
        <w:spacing w:after="0" w:line="252" w:lineRule="auto"/>
        <w:tabs>
          <w:tab w:leader="none" w:pos="605"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repurchase, redemption or other acquisition or retirement for value of any Equity Interests of Radio One or any Restricted Subsidiary of Radio One or the payment of a dividend to any Restricted Subsidiary of Radio One to effect the repurchase, redemption, acquisition or retirement of Radio One or its Restricted Subsidiary's Equity Interests, that are held by any member or former member of Radio One's (or any of the Restricted Subsidiaries') management, or by any of their respective directors, employees or consultants; provided that the aggregate price paid for all such repurchased, redeemed, acquired or retired Equity Interests may not exceed the sum of (a) $1,000,000 in any calendar year (with unused amounts in any calendar year being available to be so utilized in succeeding calendar years) and (b) the net cash proceeds to Radio One and its Restricted Subsidiaries from any issuance or reissuance of Equity Interests of Radio One or its Restricted Subsidiaries (other than Disqualified Stock) to members of management (which are excluded from the calculation set forth in clause (3)(b) of the proceeding paragraph) and the net cash proceeds to Radio One and its Restricted Subsidiaries of any "key man" life insurance proceeds; provided that the cancellation of Indebtedness owing to Radio One and its Restricted Subsidiaries from members of management shall not be deemed Restricted Payments;</w:t>
      </w:r>
    </w:p>
    <w:p>
      <w:pPr>
        <w:spacing w:after="0" w:line="174" w:lineRule="exact"/>
        <w:rPr>
          <w:rFonts w:ascii="Courier New" w:cs="Courier New" w:eastAsia="Courier New" w:hAnsi="Courier New"/>
          <w:sz w:val="14"/>
          <w:szCs w:val="14"/>
          <w:color w:val="auto"/>
        </w:rPr>
      </w:pPr>
    </w:p>
    <w:p>
      <w:pPr>
        <w:ind w:left="-3" w:right="3899" w:firstLine="263"/>
        <w:spacing w:after="0" w:line="258" w:lineRule="auto"/>
        <w:tabs>
          <w:tab w:leader="none" w:pos="605"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dividends on Disqualified Stock the incurrence of which was permitted by the Indenture;</w:t>
      </w:r>
    </w:p>
    <w:p>
      <w:pPr>
        <w:spacing w:after="0" w:line="159" w:lineRule="exact"/>
        <w:rPr>
          <w:rFonts w:ascii="Courier New" w:cs="Courier New" w:eastAsia="Courier New" w:hAnsi="Courier New"/>
          <w:sz w:val="14"/>
          <w:szCs w:val="14"/>
          <w:color w:val="auto"/>
        </w:rPr>
      </w:pPr>
    </w:p>
    <w:p>
      <w:pPr>
        <w:ind w:left="-3" w:right="3539" w:firstLine="263"/>
        <w:spacing w:after="0" w:line="258" w:lineRule="auto"/>
        <w:tabs>
          <w:tab w:leader="none" w:pos="605"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repurchases of Equity Interests deemed to occur upon the exercise of stock options;</w:t>
      </w:r>
    </w:p>
    <w:p>
      <w:pPr>
        <w:spacing w:after="0" w:line="159" w:lineRule="exact"/>
        <w:rPr>
          <w:rFonts w:ascii="Courier New" w:cs="Courier New" w:eastAsia="Courier New" w:hAnsi="Courier New"/>
          <w:sz w:val="14"/>
          <w:szCs w:val="14"/>
          <w:color w:val="auto"/>
        </w:rPr>
      </w:pPr>
    </w:p>
    <w:p>
      <w:pPr>
        <w:ind w:left="-3" w:right="3639" w:firstLine="263"/>
        <w:spacing w:after="0" w:line="253" w:lineRule="auto"/>
        <w:tabs>
          <w:tab w:leader="none" w:pos="692"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retirement of any shares of Disqualified Stock of Radio One by conversion into, or by exchange for, shares of Disqualified Stock of Radio One, or out of the net cash proceeds of the substantially concurrent sale (other than to a Restricted Subsidiary of Radio One) of other shares of Disqualified Stock of Radio One, provided that the Disqualified Stock of Radio One that replaces the retired shares of Disqualified Stock of Radio One shall not require the direct or indirect payment of the liquidation preference earlier in time than the final stated maturity of the retired shares of Disqualified Stock of Radio One;</w:t>
      </w:r>
    </w:p>
    <w:p>
      <w:pPr>
        <w:spacing w:after="0" w:line="331" w:lineRule="exact"/>
        <w:rPr>
          <w:sz w:val="20"/>
          <w:szCs w:val="20"/>
          <w:color w:val="auto"/>
        </w:rPr>
      </w:pPr>
    </w:p>
    <w:p>
      <w:pPr>
        <w:ind w:left="3217"/>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057"/>
          </w:cols>
          <w:pgMar w:left="403" w:top="620" w:right="1440" w:bottom="1440" w:gutter="0" w:footer="0" w:header="0"/>
        </w:sectPr>
      </w:pPr>
    </w:p>
    <w:bookmarkStart w:id="62" w:name="page63"/>
    <w:bookmarkEnd w:id="62"/>
    <w:p>
      <w:pPr>
        <w:ind w:left="880" w:hanging="437"/>
        <w:spacing w:after="0"/>
        <w:tabs>
          <w:tab w:leader="none" w:pos="8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repurchases of Equity Interests of Radio One in open market</w:t>
      </w:r>
    </w:p>
    <w:p>
      <w:pPr>
        <w:spacing w:after="0" w:line="8" w:lineRule="exact"/>
        <w:rPr>
          <w:rFonts w:ascii="Courier New" w:cs="Courier New" w:eastAsia="Courier New" w:hAnsi="Courier New"/>
          <w:sz w:val="14"/>
          <w:szCs w:val="14"/>
          <w:color w:val="auto"/>
        </w:rPr>
      </w:pPr>
    </w:p>
    <w:p>
      <w:pPr>
        <w:ind w:left="180" w:right="35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provided that the aggregate amount expended for such repurchases shall not exceed $40.0 million; and</w:t>
      </w:r>
    </w:p>
    <w:p>
      <w:pPr>
        <w:spacing w:after="0" w:line="159" w:lineRule="exact"/>
        <w:rPr>
          <w:rFonts w:ascii="Courier New" w:cs="Courier New" w:eastAsia="Courier New" w:hAnsi="Courier New"/>
          <w:sz w:val="14"/>
          <w:szCs w:val="14"/>
          <w:color w:val="auto"/>
        </w:rPr>
      </w:pPr>
    </w:p>
    <w:p>
      <w:pPr>
        <w:ind w:left="180" w:right="3539" w:firstLine="263"/>
        <w:spacing w:after="0" w:line="253" w:lineRule="auto"/>
        <w:tabs>
          <w:tab w:leader="none" w:pos="87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of the Existing Preferred Stock in accordance with the terms thereof, provided that either (i) after giving pro forma effect to such redemption, the Leverage Ratio is 4.00 to 1.00 or lower, or (ii) such redemption is funded with the net cash proceeds of one or more Equity Offerings (so long as such redemption occurs within 180 days of the date of the closing of such Equity Offering).</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amount of all Restricted Payments (other than cash) will be the fair market value on the date of the Restricted Payment of the asset(s) or securities proposed to be transferred or issued by Radio One or such Restricted Subsidiary, as the case may be, pursuant to the Restricted Payment. The fair market value of any assets or securities that are required to be valued by this covenant will be determined by the Board of Directors whose resolution with respect thereto will be delivered to the trustee. The Board of Directors' determination must be based upon an opinion or appraisal issued by an accounting, appraisal or investment banking firm of national standing if the fair market value exceeds $10.0 million.</w:t>
      </w:r>
    </w:p>
    <w:p>
      <w:pPr>
        <w:spacing w:after="0" w:line="33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Incurrence of Indebtedness and Issuance of Preferred Stock</w:t>
      </w:r>
    </w:p>
    <w:p>
      <w:pPr>
        <w:spacing w:after="0" w:line="175" w:lineRule="exact"/>
        <w:rPr>
          <w:sz w:val="20"/>
          <w:szCs w:val="20"/>
          <w:color w:val="auto"/>
        </w:rPr>
      </w:pPr>
    </w:p>
    <w:p>
      <w:pPr>
        <w:ind w:right="3459" w:firstLine="260"/>
        <w:spacing w:after="0" w:line="252" w:lineRule="auto"/>
        <w:rPr>
          <w:sz w:val="20"/>
          <w:szCs w:val="20"/>
          <w:color w:val="auto"/>
        </w:rPr>
      </w:pPr>
      <w:r>
        <w:rPr>
          <w:rFonts w:ascii="Courier New" w:cs="Courier New" w:eastAsia="Courier New" w:hAnsi="Courier New"/>
          <w:sz w:val="14"/>
          <w:szCs w:val="14"/>
          <w:color w:val="auto"/>
        </w:rPr>
        <w:t>Radio One and the Guarantors will not, and will not permit any of their Subsidiaries to, directly, or indirectly, create, incur, issue, assume, guarantee or otherwise become directly or indirectly liable, contingently or otherwise, with respect to (collectively, "incur") any Indebtedness (including Acquired Debt) and the Company will not issue any Disqualified Stock and will not permit any of its Subsidiaries to issue any shares of preferred stock; provided, however, that Radio One or any Guarantor may incur Indebtedness (including Acquired Debt) or issue shares of Disqualified Stock or preferred stock if Radio One's Leverage Ratio at the time of incurrence of such Indebtedness or the issuance of such Disqualified Stock or such preferred stock, as the case may be, after giving pro forma effect to such incurrence or issuance as of such date and to the use of the proceeds therefrom as if the same had occurred at the beginning of the most recently ended four full fiscal quarter period of Radio One for which internal financial statements are available, would have been no greater than 7.0 to 1.</w:t>
      </w:r>
    </w:p>
    <w:p>
      <w:pPr>
        <w:spacing w:after="0" w:line="173" w:lineRule="exact"/>
        <w:rPr>
          <w:sz w:val="20"/>
          <w:szCs w:val="20"/>
          <w:color w:val="auto"/>
        </w:rPr>
      </w:pPr>
    </w:p>
    <w:p>
      <w:pPr>
        <w:ind w:right="3379" w:firstLine="260"/>
        <w:spacing w:after="0" w:line="258" w:lineRule="auto"/>
        <w:rPr>
          <w:sz w:val="20"/>
          <w:szCs w:val="20"/>
          <w:color w:val="auto"/>
        </w:rPr>
      </w:pPr>
      <w:r>
        <w:rPr>
          <w:rFonts w:ascii="Courier New" w:cs="Courier New" w:eastAsia="Courier New" w:hAnsi="Courier New"/>
          <w:sz w:val="14"/>
          <w:szCs w:val="14"/>
          <w:color w:val="auto"/>
        </w:rPr>
        <w:t>The first paragraph of this covenant will not prohibit the incurrence of any of the following items of Indebtedness (collectively, "Permitted Debt"):</w:t>
      </w:r>
    </w:p>
    <w:p>
      <w:pPr>
        <w:spacing w:after="0" w:line="160" w:lineRule="exact"/>
        <w:rPr>
          <w:sz w:val="20"/>
          <w:szCs w:val="20"/>
          <w:color w:val="auto"/>
        </w:rPr>
      </w:pPr>
    </w:p>
    <w:p>
      <w:pPr>
        <w:ind w:left="180" w:right="3539" w:firstLine="263"/>
        <w:spacing w:after="0" w:line="253" w:lineRule="auto"/>
        <w:tabs>
          <w:tab w:leader="none" w:pos="788"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Radio One and any Guarantor of additional Indebtedness and letters of credit under Credit Facilities in an aggregate principal amount at any one time outstanding under this clause (1) (with letters of credit being deemed to have a principal amount equal to the maximum potential liability of Radio One and its Subsidiaries thereunder) not to exceed $600.0 million less the aggregate amount applied by Radio One and the Restricted Subsidiaries to permanently reduce the availability of Indebtedness under the Credit Facility pursuant to the covenant described under the caption "--Repurchase as the Option of Holders--Asset Sales";</w:t>
      </w:r>
    </w:p>
    <w:p>
      <w:pPr>
        <w:spacing w:after="0" w:line="164" w:lineRule="exact"/>
        <w:rPr>
          <w:rFonts w:ascii="Courier New" w:cs="Courier New" w:eastAsia="Courier New" w:hAnsi="Courier New"/>
          <w:sz w:val="14"/>
          <w:szCs w:val="14"/>
          <w:color w:val="auto"/>
        </w:rPr>
      </w:pPr>
    </w:p>
    <w:p>
      <w:pPr>
        <w:ind w:left="180" w:right="3719" w:firstLine="263"/>
        <w:spacing w:after="0" w:line="258" w:lineRule="auto"/>
        <w:tabs>
          <w:tab w:leader="none" w:pos="788"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Radio One and its Restricted Subsidiaries of the Existing Indebtedness;</w:t>
      </w:r>
    </w:p>
    <w:p>
      <w:pPr>
        <w:spacing w:after="0" w:line="159" w:lineRule="exact"/>
        <w:rPr>
          <w:rFonts w:ascii="Courier New" w:cs="Courier New" w:eastAsia="Courier New" w:hAnsi="Courier New"/>
          <w:sz w:val="14"/>
          <w:szCs w:val="14"/>
          <w:color w:val="auto"/>
        </w:rPr>
      </w:pPr>
    </w:p>
    <w:p>
      <w:pPr>
        <w:ind w:left="180" w:right="3539" w:firstLine="263"/>
        <w:spacing w:after="0" w:line="255" w:lineRule="auto"/>
        <w:tabs>
          <w:tab w:leader="none" w:pos="788"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Radio One and the Guarantors of Indebtedness represented by the Notes and the related Subsidiary Guarantees to be issued on the date of the Indenture;</w:t>
      </w:r>
    </w:p>
    <w:p>
      <w:pPr>
        <w:spacing w:after="0" w:line="162" w:lineRule="exact"/>
        <w:rPr>
          <w:rFonts w:ascii="Courier New" w:cs="Courier New" w:eastAsia="Courier New" w:hAnsi="Courier New"/>
          <w:sz w:val="14"/>
          <w:szCs w:val="14"/>
          <w:color w:val="auto"/>
        </w:rPr>
      </w:pPr>
    </w:p>
    <w:p>
      <w:pPr>
        <w:ind w:left="180" w:right="3539" w:firstLine="263"/>
        <w:spacing w:after="0" w:line="253" w:lineRule="auto"/>
        <w:tabs>
          <w:tab w:leader="none" w:pos="788"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Radio One or any of its Restricted Subsidiaries of Indebtedness represented by Capital Lease Obligations, mortgage financings or purchase money obligations, in each case, incurred for the purpose of financing all or any part of the purchase price or cost of construction or improvement of property, plant or equipment whether through the direct purchase of assets or at least a majority of the Voting Stock of any person owning such assets, in an aggregate principal amount, including all Permitted Refinancing Indebtedness incurred to refund, refinance or replace any Indebtedness incurred pursuant to this clause (4), not to exceed $10.0 million at any time outstanding;</w:t>
      </w:r>
    </w:p>
    <w:p>
      <w:pPr>
        <w:spacing w:after="0" w:line="164" w:lineRule="exact"/>
        <w:rPr>
          <w:rFonts w:ascii="Courier New" w:cs="Courier New" w:eastAsia="Courier New" w:hAnsi="Courier New"/>
          <w:sz w:val="14"/>
          <w:szCs w:val="14"/>
          <w:color w:val="auto"/>
        </w:rPr>
      </w:pPr>
    </w:p>
    <w:p>
      <w:pPr>
        <w:ind w:left="180" w:right="3539" w:firstLine="263"/>
        <w:spacing w:after="0" w:line="255" w:lineRule="auto"/>
        <w:tabs>
          <w:tab w:leader="none" w:pos="788"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Radio One or any of its Restricted Subsidiaries of Permitted Refinancing Indebtedness in exchange for, or the net proceeds of which are used to refund, refinance or replace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20" w:right="1440" w:bottom="1440" w:gutter="0" w:footer="0" w:header="0"/>
        </w:sectPr>
      </w:pPr>
    </w:p>
    <w:bookmarkStart w:id="63" w:name="page64"/>
    <w:bookmarkEnd w:id="63"/>
    <w:p>
      <w:pPr>
        <w:ind w:right="3639"/>
        <w:spacing w:after="0" w:line="255" w:lineRule="auto"/>
        <w:rPr>
          <w:sz w:val="20"/>
          <w:szCs w:val="20"/>
          <w:color w:val="auto"/>
        </w:rPr>
      </w:pPr>
      <w:r>
        <w:rPr>
          <w:rFonts w:ascii="Courier New" w:cs="Courier New" w:eastAsia="Courier New" w:hAnsi="Courier New"/>
          <w:sz w:val="14"/>
          <w:szCs w:val="14"/>
          <w:color w:val="auto"/>
        </w:rPr>
        <w:t>Indebtedness (other than intercompany Indebtedness) that was permitted by the Indenture to be incurred under the first paragraph of this covenant or clauses (2), (3), (4), (5), (10) or (12) of this paragraph;</w:t>
      </w:r>
    </w:p>
    <w:p>
      <w:pPr>
        <w:spacing w:after="0" w:line="162" w:lineRule="exact"/>
        <w:rPr>
          <w:sz w:val="20"/>
          <w:szCs w:val="20"/>
          <w:color w:val="auto"/>
        </w:rPr>
      </w:pPr>
    </w:p>
    <w:p>
      <w:pPr>
        <w:ind w:right="3539" w:firstLine="263"/>
        <w:spacing w:after="0" w:line="253" w:lineRule="auto"/>
        <w:tabs>
          <w:tab w:leader="none" w:pos="608"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Radio One or any of its Restricted Subsidiaries of intercompany Indebtedness between or among Radio One and any of its Wholly Owned Subsidiaries; provided, however, that (i) any subsequent issuance or transfer of Equity Interests that results in any such Indebtedness being held by a Person other than Radio One or a Subsidiary of Radio One and (ii) any sale or other transfer of any such Indebtedness to a Person that is not either Radio One or a Restricted Subsidiary of Radio One will be deemed, in each case, to constitute an incurrence of such Indebtedness by Radio One or such Restricted Subsidiary, as the case may be, that was not permitted by this clause (6);</w:t>
      </w:r>
    </w:p>
    <w:p>
      <w:pPr>
        <w:spacing w:after="0" w:line="164" w:lineRule="exact"/>
        <w:rPr>
          <w:rFonts w:ascii="Courier New" w:cs="Courier New" w:eastAsia="Courier New" w:hAnsi="Courier New"/>
          <w:sz w:val="14"/>
          <w:szCs w:val="14"/>
          <w:color w:val="auto"/>
        </w:rPr>
      </w:pPr>
    </w:p>
    <w:p>
      <w:pPr>
        <w:ind w:right="3539" w:firstLine="263"/>
        <w:spacing w:after="0" w:line="252" w:lineRule="auto"/>
        <w:tabs>
          <w:tab w:leader="none" w:pos="608"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Radio One or any of its Restricted Subsidiaries of Hedging Obligations that are incurred for the purpose of fixing or hedging</w:t>
      </w:r>
    </w:p>
    <w:p>
      <w:pPr>
        <w:ind w:right="3639" w:firstLine="3"/>
        <w:spacing w:after="0" w:line="255" w:lineRule="auto"/>
        <w:tabs>
          <w:tab w:leader="none" w:pos="34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risk with respect to any floating rate Indebtedness that is permitted by the terms of the Indenture to be outstanding or (y) currency exchange rate risk in ordinary course of business;</w:t>
      </w:r>
    </w:p>
    <w:p>
      <w:pPr>
        <w:spacing w:after="0" w:line="162" w:lineRule="exact"/>
        <w:rPr>
          <w:rFonts w:ascii="Courier New" w:cs="Courier New" w:eastAsia="Courier New" w:hAnsi="Courier New"/>
          <w:sz w:val="14"/>
          <w:szCs w:val="14"/>
          <w:color w:val="auto"/>
        </w:rPr>
      </w:pPr>
    </w:p>
    <w:p>
      <w:pPr>
        <w:ind w:right="4159" w:firstLine="263"/>
        <w:spacing w:after="0" w:line="255" w:lineRule="auto"/>
        <w:tabs>
          <w:tab w:leader="none" w:pos="608"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by Radio One of Indebtedness of any Restricted Subsidiary of Radio One that was permitted to be incurred by another provision of this covenant;</w:t>
      </w:r>
    </w:p>
    <w:p>
      <w:pPr>
        <w:spacing w:after="0" w:line="162" w:lineRule="exact"/>
        <w:rPr>
          <w:rFonts w:ascii="Courier New" w:cs="Courier New" w:eastAsia="Courier New" w:hAnsi="Courier New"/>
          <w:sz w:val="14"/>
          <w:szCs w:val="14"/>
          <w:color w:val="auto"/>
        </w:rPr>
      </w:pPr>
    </w:p>
    <w:p>
      <w:pPr>
        <w:ind w:right="3539" w:firstLine="263"/>
        <w:spacing w:after="0" w:line="255" w:lineRule="auto"/>
        <w:tabs>
          <w:tab w:leader="none" w:pos="608"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by any Restricted Subsidiary of Indebtedness of Radio One or any Guarantor that was permitted to be incurred by another provision of this covenant;</w:t>
      </w:r>
    </w:p>
    <w:p>
      <w:pPr>
        <w:spacing w:after="0" w:line="162" w:lineRule="exact"/>
        <w:rPr>
          <w:rFonts w:ascii="Courier New" w:cs="Courier New" w:eastAsia="Courier New" w:hAnsi="Courier New"/>
          <w:sz w:val="14"/>
          <w:szCs w:val="14"/>
          <w:color w:val="auto"/>
        </w:rPr>
      </w:pPr>
    </w:p>
    <w:p>
      <w:pPr>
        <w:ind w:left="700" w:hanging="437"/>
        <w:spacing w:after="0"/>
        <w:tabs>
          <w:tab w:leader="none" w:pos="700"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incurred by Radio One or any of its Restricted</w:t>
      </w:r>
    </w:p>
    <w:p>
      <w:pPr>
        <w:spacing w:after="0" w:line="8" w:lineRule="exact"/>
        <w:rPr>
          <w:rFonts w:ascii="Courier New" w:cs="Courier New" w:eastAsia="Courier New" w:hAnsi="Courier New"/>
          <w:sz w:val="14"/>
          <w:szCs w:val="14"/>
          <w:color w:val="auto"/>
        </w:rPr>
      </w:pPr>
    </w:p>
    <w:p>
      <w:pPr>
        <w:ind w:right="353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constituting reimbursement obligations with respect to letters of credit issued in the ordinary course of business, including without limitation letters of credit in respect to workers' compensation claims or self-insurance, or other Indebtedness with respect to reimbursement type obligations regarding workers' compensation claims; provided, however, that upon the drawing of such letters of credit or the incurrence of such Indebtedness, such obligations are reimbursed within 30 days following such drawing or incurrence;</w:t>
      </w:r>
    </w:p>
    <w:p>
      <w:pPr>
        <w:spacing w:after="0" w:line="164" w:lineRule="exact"/>
        <w:rPr>
          <w:rFonts w:ascii="Courier New" w:cs="Courier New" w:eastAsia="Courier New" w:hAnsi="Courier New"/>
          <w:sz w:val="14"/>
          <w:szCs w:val="14"/>
          <w:color w:val="auto"/>
        </w:rPr>
      </w:pPr>
    </w:p>
    <w:p>
      <w:pPr>
        <w:ind w:right="4159" w:firstLine="263"/>
        <w:spacing w:after="0" w:line="255" w:lineRule="auto"/>
        <w:tabs>
          <w:tab w:leader="none" w:pos="694"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in respect of performance and surety bonds and completion guarantees provided by Radio One or any of its Restricted Subsidiaries in the ordinary course of business;</w:t>
      </w:r>
    </w:p>
    <w:p>
      <w:pPr>
        <w:spacing w:after="0" w:line="162" w:lineRule="exact"/>
        <w:rPr>
          <w:rFonts w:ascii="Courier New" w:cs="Courier New" w:eastAsia="Courier New" w:hAnsi="Courier New"/>
          <w:sz w:val="14"/>
          <w:szCs w:val="14"/>
          <w:color w:val="auto"/>
        </w:rPr>
      </w:pPr>
    </w:p>
    <w:p>
      <w:pPr>
        <w:ind w:right="3539" w:firstLine="263"/>
        <w:spacing w:after="0" w:line="252" w:lineRule="auto"/>
        <w:tabs>
          <w:tab w:leader="none" w:pos="694"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Debt of Radio One or any Restricted Subsidiary if (w) such Acquisition Debt is incurred within 270 days after the date on which the related definitive acquisition agreement or LMA, as the case may be, was entered into by Radio One or such Restricted Subsidiary, (x) the aggregate principal amount of such Acquisition Debt is no greater than the aggregate principal amount of Acquisition Debt set forth in a notice from Radio One to the Trustee (an "Incurrence Notice") within ten days after the date on which the related definitive acquisition agreement or LMA, as the case may be, was entered into by Radio One or such Restricted Subsidiary, which notice shall be executed on Radio One's behalf by the chief financial officer of Radio One in such capacity and shall describe in reasonable detail the acquisition or LMA, as the case may be, which such Acquisition Debt will be incurred to finance, (y) after giving pro forma effect to the acquisition or LMA, as the case may be, described in such Incurrence Notice, Radio One or such Restricted Subsidiary could have incurred such Acquisition Debt under the Indenture as of the date upon which Radio One delivers such Incurrence Notice to the Trustee and (z) such Acquisition Debt is utilized solely to finance the acquisition or LMA, as the case may be, described in such Incurrence Notice (including to repay or refinance indebtedness or other obligations incurred in connection with such acquisition or LMA, as the case may be, and to pay related fees and expenses);</w:t>
      </w:r>
    </w:p>
    <w:p>
      <w:pPr>
        <w:spacing w:after="0" w:line="341" w:lineRule="exact"/>
        <w:rPr>
          <w:rFonts w:ascii="Courier New" w:cs="Courier New" w:eastAsia="Courier New" w:hAnsi="Courier New"/>
          <w:sz w:val="14"/>
          <w:szCs w:val="14"/>
          <w:color w:val="auto"/>
        </w:rPr>
      </w:pPr>
    </w:p>
    <w:p>
      <w:pPr>
        <w:ind w:right="3799" w:firstLine="263"/>
        <w:spacing w:after="0" w:line="254" w:lineRule="auto"/>
        <w:tabs>
          <w:tab w:leader="none" w:pos="694"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 by Radio One or any Restricted Subsidiary of Indebtedness of officers of Radio One or any Restricted Subsidiary in an aggregate principal amount not to exceed $5.0 million at any time outstanding;</w:t>
      </w:r>
    </w:p>
    <w:p>
      <w:pPr>
        <w:spacing w:after="0" w:line="163" w:lineRule="exact"/>
        <w:rPr>
          <w:rFonts w:ascii="Courier New" w:cs="Courier New" w:eastAsia="Courier New" w:hAnsi="Courier New"/>
          <w:sz w:val="14"/>
          <w:szCs w:val="14"/>
          <w:color w:val="auto"/>
        </w:rPr>
      </w:pPr>
    </w:p>
    <w:p>
      <w:pPr>
        <w:ind w:right="3719" w:firstLine="263"/>
        <w:spacing w:after="0" w:line="254" w:lineRule="auto"/>
        <w:tabs>
          <w:tab w:leader="none" w:pos="694"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Radio One's Unrestricted Subsidiaries of Non-Recourse Debt, provided, however, that if any such Indebtedness ceases to be Non-Recourse Debt of an Unrestricted Subsidiary, such event will be deemed to constitute an incurrence of Indebtedness by a Restricted Subsidiary of Radio One that was not permitted by this clause (14); and</w:t>
      </w:r>
    </w:p>
    <w:p>
      <w:pPr>
        <w:spacing w:after="0" w:line="32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059"/>
          </w:cols>
          <w:pgMar w:left="400" w:top="620" w:right="1440" w:bottom="1440" w:gutter="0" w:footer="0" w:header="0"/>
        </w:sectPr>
      </w:pPr>
    </w:p>
    <w:bookmarkStart w:id="64" w:name="page65"/>
    <w:bookmarkEnd w:id="64"/>
    <w:p>
      <w:pPr>
        <w:ind w:left="180" w:right="3719" w:firstLine="263"/>
        <w:spacing w:after="0" w:line="253" w:lineRule="auto"/>
        <w:tabs>
          <w:tab w:leader="none" w:pos="87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Radio One or any of its Restricted Subsidiaries of additional Indebtedness in an aggregate principal amount (or accreted value, as applicable) at any time outstanding, including all Permitted Refinancing Indebtedness incurred to refund, refinance or replace any Indebtedness incurred pursuant to this clause (15), not to exceed $20.0 million.</w:t>
      </w:r>
    </w:p>
    <w:p>
      <w:pPr>
        <w:spacing w:after="0" w:line="16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For purposes of determining compliance with this "Incurrence of Indebtedness and Issuance of Preferred Stock" covenant, in the event that an item of proposed Indebtedness meets the criteria of more than one of the categories of Permitted Debt described in clauses (1) through (15) above, or is entitled to be incurred pursuant to the first paragraph of this covenant, Radio One will be permitted to classify such item of Indebtedness on the date of its incurrence, or later reclassify all or a portion of such item of Indebtedness, in any manner that complies with this covenant. Accrual of interest, accretion or amortization of original issue discount and the accretion of accreted value will not be deemed to be an incurrence of Indebtedness for purposes of this covenant. Indebtedness under Credit Facilities outstanding on the date on which Notes are first issued and authenticated under the Indenture will be deemed to have been incurred on such date in reliance on the exception provided by clause</w:t>
      </w:r>
    </w:p>
    <w:p>
      <w:pPr>
        <w:spacing w:after="0" w:line="5" w:lineRule="exact"/>
        <w:rPr>
          <w:sz w:val="20"/>
          <w:szCs w:val="20"/>
          <w:color w:val="auto"/>
        </w:rPr>
      </w:pPr>
    </w:p>
    <w:p>
      <w:pPr>
        <w:ind w:left="100" w:right="6759" w:hanging="91"/>
        <w:spacing w:after="0" w:line="505" w:lineRule="auto"/>
        <w:tabs>
          <w:tab w:leader="none" w:pos="3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definition of Permitted Debt. No Senior Subordinated Debt</w:t>
      </w:r>
    </w:p>
    <w:p>
      <w:pPr>
        <w:ind w:right="3379" w:firstLine="260"/>
        <w:spacing w:after="0" w:line="253" w:lineRule="auto"/>
        <w:rPr>
          <w:sz w:val="20"/>
          <w:szCs w:val="20"/>
          <w:color w:val="auto"/>
        </w:rPr>
      </w:pPr>
      <w:r>
        <w:rPr>
          <w:rFonts w:ascii="Courier New" w:cs="Courier New" w:eastAsia="Courier New" w:hAnsi="Courier New"/>
          <w:sz w:val="14"/>
          <w:szCs w:val="14"/>
          <w:color w:val="auto"/>
        </w:rPr>
        <w:t>Radio One will not incur, create, issue, assume, guarantee or otherwise become liable for any Indebtedness that is subordinate or junior in right of payment to any Senior Debt of Radio One and senior in any respect in right of payment to the Notes. No Guarantor will incur, create, issue, assume, guarantee or otherwise become liable for any Indebtedness that is subordinate or junior in right of payment to the Senior Debt of such Guarantor and senior in any respect in right of payment to such Guarantor's Subsidiary Guarantee.</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Liens</w:t>
      </w:r>
    </w:p>
    <w:p>
      <w:pPr>
        <w:spacing w:after="0" w:line="175"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Radio One will not, and will not permit any of its Subsidiaries to, directly or indirectly, create, incur, assume or suffer to exist any Lien of any kind securing Indebtedness, or trade payables on any asset now owned or hereafter acquired, except Permitted Liens.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Dividend and Other Payment Restrictions Affecting Subsidiaries</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Radio One will not, and will not permit any of its Restricted Subsidiaries to, directly or indirectly, create or permit to exist or become effective any consensual encumbrance or restriction on the ability of any Restricted Subsidiary to:</w:t>
      </w:r>
    </w:p>
    <w:p>
      <w:pPr>
        <w:spacing w:after="0" w:line="163" w:lineRule="exact"/>
        <w:rPr>
          <w:sz w:val="20"/>
          <w:szCs w:val="20"/>
          <w:color w:val="auto"/>
        </w:rPr>
      </w:pPr>
    </w:p>
    <w:p>
      <w:pPr>
        <w:ind w:left="180" w:right="3539" w:firstLine="263"/>
        <w:spacing w:after="0" w:line="254" w:lineRule="auto"/>
        <w:tabs>
          <w:tab w:leader="none" w:pos="788"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dividends or make any other distributions on its Capital Stock to Radio One or any of its Restricted Subsidiaries, or with respect to any other interest or participation in, or measured by, its profits, or pay any indebtedness owed to Radio One or any of its Restricted Subsidiaries;</w:t>
      </w:r>
    </w:p>
    <w:p>
      <w:pPr>
        <w:spacing w:after="0" w:line="163" w:lineRule="exact"/>
        <w:rPr>
          <w:rFonts w:ascii="Courier New" w:cs="Courier New" w:eastAsia="Courier New" w:hAnsi="Courier New"/>
          <w:sz w:val="14"/>
          <w:szCs w:val="14"/>
          <w:color w:val="auto"/>
        </w:rPr>
      </w:pPr>
    </w:p>
    <w:p>
      <w:pPr>
        <w:ind w:left="180" w:right="4239" w:firstLine="263"/>
        <w:spacing w:after="0" w:line="258" w:lineRule="auto"/>
        <w:tabs>
          <w:tab w:leader="none" w:pos="788"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loans or advances to Radio One or any of its Restricted Subsidiaries; or</w:t>
      </w:r>
    </w:p>
    <w:p>
      <w:pPr>
        <w:spacing w:after="0" w:line="159" w:lineRule="exact"/>
        <w:rPr>
          <w:rFonts w:ascii="Courier New" w:cs="Courier New" w:eastAsia="Courier New" w:hAnsi="Courier New"/>
          <w:sz w:val="14"/>
          <w:szCs w:val="14"/>
          <w:color w:val="auto"/>
        </w:rPr>
      </w:pPr>
    </w:p>
    <w:p>
      <w:pPr>
        <w:ind w:left="180" w:right="3639" w:firstLine="263"/>
        <w:spacing w:after="0" w:line="258" w:lineRule="auto"/>
        <w:tabs>
          <w:tab w:leader="none" w:pos="788"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any of its properties or assets to Radio One or any of its Restricted Subsidiaries.</w:t>
      </w:r>
    </w:p>
    <w:p>
      <w:pPr>
        <w:spacing w:after="0" w:line="160" w:lineRule="exact"/>
        <w:rPr>
          <w:sz w:val="20"/>
          <w:szCs w:val="20"/>
          <w:color w:val="auto"/>
        </w:rPr>
      </w:pPr>
    </w:p>
    <w:p>
      <w:pPr>
        <w:ind w:right="3979" w:firstLine="260"/>
        <w:spacing w:after="0" w:line="258" w:lineRule="auto"/>
        <w:rPr>
          <w:sz w:val="20"/>
          <w:szCs w:val="20"/>
          <w:color w:val="auto"/>
        </w:rPr>
      </w:pPr>
      <w:r>
        <w:rPr>
          <w:rFonts w:ascii="Courier New" w:cs="Courier New" w:eastAsia="Courier New" w:hAnsi="Courier New"/>
          <w:sz w:val="14"/>
          <w:szCs w:val="14"/>
          <w:color w:val="auto"/>
        </w:rPr>
        <w:t>However, the preceding restrictions will not apply to encumbrances or restrictions existing under or by reason of:</w:t>
      </w:r>
    </w:p>
    <w:p>
      <w:pPr>
        <w:spacing w:after="0" w:line="160" w:lineRule="exact"/>
        <w:rPr>
          <w:sz w:val="20"/>
          <w:szCs w:val="20"/>
          <w:color w:val="auto"/>
        </w:rPr>
      </w:pPr>
    </w:p>
    <w:p>
      <w:pPr>
        <w:ind w:left="180" w:right="3539" w:firstLine="263"/>
        <w:spacing w:after="0" w:line="253" w:lineRule="auto"/>
        <w:tabs>
          <w:tab w:leader="none" w:pos="788"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governing Existing Indebtedness and Credit Facilities as in effect on the date of the Indenture and any amendments, modifications, restatements, renewals, increases, supplements, refundings, replacements or refinancings of those agreements, provided that the amendments, modifications, restatements, renewals, increases, supplements, refundings, replacement or refinancings are no more restrictive, taken as a whole, with respect to such dividend and other payment restrictions than those contained in those agreements on the date of the Indenture;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20" w:right="1440" w:bottom="1440" w:gutter="0" w:footer="0" w:header="0"/>
        </w:sectPr>
      </w:pPr>
    </w:p>
    <w:bookmarkStart w:id="65" w:name="page66"/>
    <w:bookmarkEnd w:id="65"/>
    <w:p>
      <w:pPr>
        <w:ind w:left="800" w:hanging="357"/>
        <w:spacing w:after="0"/>
        <w:tabs>
          <w:tab w:leader="none" w:pos="8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 the Notes and the Subsidiary Guarantees;</w:t>
      </w:r>
    </w:p>
    <w:p>
      <w:pPr>
        <w:spacing w:after="0" w:line="175"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rule, regulation or order;</w:t>
      </w:r>
    </w:p>
    <w:p>
      <w:pPr>
        <w:spacing w:after="0" w:line="175" w:lineRule="exact"/>
        <w:rPr>
          <w:rFonts w:ascii="Courier New" w:cs="Courier New" w:eastAsia="Courier New" w:hAnsi="Courier New"/>
          <w:sz w:val="14"/>
          <w:szCs w:val="14"/>
          <w:color w:val="auto"/>
        </w:rPr>
      </w:pPr>
    </w:p>
    <w:p>
      <w:pPr>
        <w:ind w:left="180" w:right="3539" w:firstLine="263"/>
        <w:spacing w:after="0" w:line="253" w:lineRule="auto"/>
        <w:tabs>
          <w:tab w:leader="none" w:pos="78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instrument governing Indebtedness or Capital Stock of a Person acquired by Radio One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provided that, in the case of Indebtedness, such Indebtedness was permitted by the terms of the Indenture to be incurred;</w:t>
      </w:r>
    </w:p>
    <w:p>
      <w:pPr>
        <w:spacing w:after="0" w:line="164" w:lineRule="exact"/>
        <w:rPr>
          <w:rFonts w:ascii="Courier New" w:cs="Courier New" w:eastAsia="Courier New" w:hAnsi="Courier New"/>
          <w:sz w:val="14"/>
          <w:szCs w:val="14"/>
          <w:color w:val="auto"/>
        </w:rPr>
      </w:pPr>
    </w:p>
    <w:p>
      <w:pPr>
        <w:ind w:left="180" w:right="3799" w:firstLine="263"/>
        <w:spacing w:after="0" w:line="258" w:lineRule="auto"/>
        <w:tabs>
          <w:tab w:leader="none" w:pos="78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customary non-assignment provisions in leases entered into in the ordinary course of business and consistent with past practices;</w:t>
      </w:r>
    </w:p>
    <w:p>
      <w:pPr>
        <w:spacing w:after="0" w:line="159"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money obligations (including Capital Lease Obligations) for property acquired in the ordinary course of business that impose restrictions only on that property of the nature described in clause (3) of the preceding paragraph;</w:t>
      </w:r>
    </w:p>
    <w:p>
      <w:pPr>
        <w:spacing w:after="0" w:line="163"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contracts for the sale of assets, including without limitation any agreement for the sale or other disposition of a Restricted Subsidiary that restricts distributions by that Restricted Subsidiary pending its sale or other disposition;</w:t>
      </w:r>
    </w:p>
    <w:p>
      <w:pPr>
        <w:spacing w:after="0" w:line="163" w:lineRule="exact"/>
        <w:rPr>
          <w:rFonts w:ascii="Courier New" w:cs="Courier New" w:eastAsia="Courier New" w:hAnsi="Courier New"/>
          <w:sz w:val="14"/>
          <w:szCs w:val="14"/>
          <w:color w:val="auto"/>
        </w:rPr>
      </w:pPr>
    </w:p>
    <w:p>
      <w:pPr>
        <w:ind w:left="180" w:right="3719" w:firstLine="263"/>
        <w:spacing w:after="0" w:line="254" w:lineRule="auto"/>
        <w:tabs>
          <w:tab w:leader="none" w:pos="78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Permitted Refinancing Indebtedness, provided that the restrictions contained in the agreements governing such Permitted Refinancing Indebtedness are no more restrictive, taken as a whole, than those contained in the agreements governing the Indebtedness being refinanced;</w:t>
      </w:r>
    </w:p>
    <w:p>
      <w:pPr>
        <w:spacing w:after="0" w:line="163"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Indebtedness otherwise permitted to be incurred under the provisions of the covenant described above under the caption "--Liens" that limit the right of the debtor to dispose of the assets subject to such Liens;</w:t>
      </w:r>
    </w:p>
    <w:p>
      <w:pPr>
        <w:spacing w:after="0" w:line="163" w:lineRule="exact"/>
        <w:rPr>
          <w:rFonts w:ascii="Courier New" w:cs="Courier New" w:eastAsia="Courier New" w:hAnsi="Courier New"/>
          <w:sz w:val="14"/>
          <w:szCs w:val="14"/>
          <w:color w:val="auto"/>
        </w:rPr>
      </w:pPr>
    </w:p>
    <w:p>
      <w:pPr>
        <w:ind w:left="180" w:right="3899" w:firstLine="263"/>
        <w:spacing w:after="0" w:line="254" w:lineRule="auto"/>
        <w:tabs>
          <w:tab w:leader="none" w:pos="874"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with respect to the disposition or distribution of assets or property in joint venture agreements, assets sale agreements, stock sale agreements and other similar agreements entered into in the ordinary course of business; and</w:t>
      </w:r>
    </w:p>
    <w:p>
      <w:pPr>
        <w:spacing w:after="0" w:line="163" w:lineRule="exact"/>
        <w:rPr>
          <w:rFonts w:ascii="Courier New" w:cs="Courier New" w:eastAsia="Courier New" w:hAnsi="Courier New"/>
          <w:sz w:val="14"/>
          <w:szCs w:val="14"/>
          <w:color w:val="auto"/>
        </w:rPr>
      </w:pPr>
    </w:p>
    <w:p>
      <w:pPr>
        <w:ind w:left="180" w:right="3639" w:firstLine="263"/>
        <w:spacing w:after="0" w:line="258" w:lineRule="auto"/>
        <w:tabs>
          <w:tab w:leader="none" w:pos="874"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cash or other deposits or net worth imposed by customers under contracts entered into in the ordinary course of business.</w:t>
      </w:r>
    </w:p>
    <w:p>
      <w:pPr>
        <w:spacing w:after="0" w:line="16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Merger, Consolidation or Sale of Assets</w:t>
      </w:r>
    </w:p>
    <w:p>
      <w:pPr>
        <w:spacing w:after="0" w:line="17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Radio One may not, directly or indirectly: (1) consolidate or merge with or into another Person (whether or not Radio One is the surviving corporation); or</w:t>
      </w:r>
    </w:p>
    <w:p>
      <w:pPr>
        <w:spacing w:after="0" w:line="1" w:lineRule="exact"/>
        <w:rPr>
          <w:sz w:val="20"/>
          <w:szCs w:val="20"/>
          <w:color w:val="auto"/>
        </w:rPr>
      </w:pPr>
    </w:p>
    <w:p>
      <w:pPr>
        <w:ind w:right="3379" w:firstLine="9"/>
        <w:spacing w:after="0" w:line="256" w:lineRule="auto"/>
        <w:tabs>
          <w:tab w:leader="none" w:pos="347"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assign, transfer, convey or otherwise dispose of all or substantially all of the properties or assets of Radio One and its Restricted Subsidiaries taken as a whole, in one or more related transactions, to another Person; unless:</w:t>
      </w:r>
    </w:p>
    <w:p>
      <w:pPr>
        <w:spacing w:after="0" w:line="327" w:lineRule="exact"/>
        <w:rPr>
          <w:sz w:val="20"/>
          <w:szCs w:val="20"/>
          <w:color w:val="auto"/>
        </w:rPr>
      </w:pPr>
    </w:p>
    <w:p>
      <w:pPr>
        <w:ind w:left="180" w:right="3639" w:firstLine="263"/>
        <w:spacing w:after="0" w:line="253" w:lineRule="auto"/>
        <w:tabs>
          <w:tab w:leader="none" w:pos="788"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(a) Radio One is the surviving corporation; or (b) the Person formed by or surviving any such consolidation or merger (if other than Radio One) or to which such sale, assignment, transfer, conveyance or other disposition has been made is a corporation organized or existing under the laws of the United States, any state of the United States or the District of Columbia;</w:t>
      </w:r>
    </w:p>
    <w:p>
      <w:pPr>
        <w:spacing w:after="0" w:line="165" w:lineRule="exact"/>
        <w:rPr>
          <w:rFonts w:ascii="Courier New" w:cs="Courier New" w:eastAsia="Courier New" w:hAnsi="Courier New"/>
          <w:sz w:val="14"/>
          <w:szCs w:val="14"/>
          <w:color w:val="auto"/>
        </w:rPr>
      </w:pPr>
    </w:p>
    <w:p>
      <w:pPr>
        <w:ind w:left="180" w:right="3719" w:firstLine="263"/>
        <w:spacing w:after="0" w:line="253" w:lineRule="auto"/>
        <w:tabs>
          <w:tab w:leader="none" w:pos="788"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formed by or surviving any such consolidation or merger (if other than Radio One) or the Person to which such sale, assignment, transfer, conveyance or other disposition has been made assumes all the obligations of Radio One under the Notes, the Indenture and the registration rights agreement pursuant to agreements reasonably satisfactory to the trustee;</w:t>
      </w:r>
    </w:p>
    <w:p>
      <w:pPr>
        <w:spacing w:after="0" w:line="165" w:lineRule="exact"/>
        <w:rPr>
          <w:rFonts w:ascii="Courier New" w:cs="Courier New" w:eastAsia="Courier New" w:hAnsi="Courier New"/>
          <w:sz w:val="14"/>
          <w:szCs w:val="14"/>
          <w:color w:val="auto"/>
        </w:rPr>
      </w:pPr>
    </w:p>
    <w:p>
      <w:pPr>
        <w:ind w:left="180" w:right="3799" w:firstLine="263"/>
        <w:spacing w:after="0" w:line="258" w:lineRule="auto"/>
        <w:tabs>
          <w:tab w:leader="none" w:pos="788"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such transaction no Default or Event of Default exists; and</w:t>
      </w:r>
    </w:p>
    <w:p>
      <w:pPr>
        <w:spacing w:after="0" w:line="159"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or the Person formed by or surviving any such consolidation or merger (if other than Radio One), or to which such sale, assignment, transfer, conveyance or other disposition has been made (a) will, on the date of such transaction after giving pro forma effect thereto and any related financing</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20" w:right="1440" w:bottom="1440" w:gutter="0" w:footer="0" w:header="0"/>
        </w:sectPr>
      </w:pPr>
    </w:p>
    <w:bookmarkStart w:id="66" w:name="page67"/>
    <w:bookmarkEnd w:id="66"/>
    <w:p>
      <w:pPr>
        <w:ind w:left="180" w:right="3539"/>
        <w:spacing w:after="0" w:line="253" w:lineRule="auto"/>
        <w:rPr>
          <w:sz w:val="20"/>
          <w:szCs w:val="20"/>
          <w:color w:val="auto"/>
        </w:rPr>
      </w:pPr>
      <w:r>
        <w:rPr>
          <w:rFonts w:ascii="Courier New" w:cs="Courier New" w:eastAsia="Courier New" w:hAnsi="Courier New"/>
          <w:sz w:val="14"/>
          <w:szCs w:val="14"/>
          <w:color w:val="auto"/>
        </w:rPr>
        <w:t>transactions as if the same had occurred at the beginning of the applicable four-quarter period, be permitted to incur at least $1.00 of additional Indebtedness pursuant to the Leverage Ratio test set forth in the first paragraph of the covenant described above under the caption "--Incurrence of Indebtedness and Issuance of Preferred Stock," or (b) would have a lower Leverage Ratio immediately after the transaction, after giving pro forma effect to the transaction as if the transaction had occurred at the beginning of the applicable four quarter period, than Radio One's Leverage Ratio immediately prior to the transaction.</w:t>
      </w:r>
    </w:p>
    <w:p>
      <w:pPr>
        <w:spacing w:after="0" w:line="164"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The preceding clause (4) will not prohibit: (a) a merger between Radio One and one of Radio One's Wholly Owned Restricted Subsidiaries; or (b) a merger between Radio One and one of Radio One's Affiliates incorporated solely for the purpose of reincorporating in another state of the United States.</w:t>
      </w:r>
    </w:p>
    <w:p>
      <w:pPr>
        <w:spacing w:after="0" w:line="163"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In addition, Radio One may not, directly or indirectly, lease all or substantially all of its properties or assets, in one or more related transactions, to any other Person. This "Merger, Consolidation or Sale of Assets" covenant will not apply to a sale, assignment, transfer, conveyance or other disposition of assets between or among Radio One and any of its Wholly Owned Restricted Subsidiaries.</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Transactions with Affiliates</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Radio One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165" w:lineRule="exact"/>
        <w:rPr>
          <w:sz w:val="20"/>
          <w:szCs w:val="20"/>
          <w:color w:val="auto"/>
        </w:rPr>
      </w:pPr>
    </w:p>
    <w:p>
      <w:pPr>
        <w:jc w:val="both"/>
        <w:ind w:left="180" w:right="3639" w:firstLine="263"/>
        <w:spacing w:after="0" w:line="254" w:lineRule="auto"/>
        <w:tabs>
          <w:tab w:leader="none" w:pos="788"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Affiliate Transaction is on terms that are no less favorable to Radio One or the relevant Restricted Subsidiary than those that would have been obtained in a comparable transaction by Radio One or such Restricted Subsidiary with an unrelated Person; and</w:t>
      </w:r>
    </w:p>
    <w:p>
      <w:pPr>
        <w:spacing w:after="0" w:line="163"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delivers to the trustee:</w:t>
      </w:r>
    </w:p>
    <w:p>
      <w:pPr>
        <w:spacing w:after="0" w:line="175" w:lineRule="exact"/>
        <w:rPr>
          <w:rFonts w:ascii="Courier New" w:cs="Courier New" w:eastAsia="Courier New" w:hAnsi="Courier New"/>
          <w:sz w:val="14"/>
          <w:szCs w:val="14"/>
          <w:color w:val="auto"/>
        </w:rPr>
      </w:pPr>
    </w:p>
    <w:p>
      <w:pPr>
        <w:ind w:left="360" w:right="3899" w:firstLine="257"/>
        <w:spacing w:after="0" w:line="253" w:lineRule="auto"/>
        <w:tabs>
          <w:tab w:leader="none" w:pos="968"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Affiliate Transaction or series of related Affiliate Transactions involving aggregate consideration in excess of $1.0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165" w:lineRule="exact"/>
        <w:rPr>
          <w:sz w:val="20"/>
          <w:szCs w:val="20"/>
          <w:color w:val="auto"/>
        </w:rPr>
      </w:pPr>
    </w:p>
    <w:p>
      <w:pPr>
        <w:ind w:left="360" w:right="3799" w:firstLine="257"/>
        <w:spacing w:after="0" w:line="254" w:lineRule="auto"/>
        <w:tabs>
          <w:tab w:leader="none" w:pos="968"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Affiliate Transaction or series of related Affiliate Transactions involving aggregate consideration in excess of $10.0 million, an opinion as to the fairness to the Holders of such Affiliate Transaction from a financial point of view issued by an accounting, appraisal or investment banking firm of national standing.</w:t>
      </w:r>
    </w:p>
    <w:p>
      <w:pPr>
        <w:spacing w:after="0" w:line="162" w:lineRule="exact"/>
        <w:rPr>
          <w:sz w:val="20"/>
          <w:szCs w:val="20"/>
          <w:color w:val="auto"/>
        </w:rPr>
      </w:pPr>
    </w:p>
    <w:p>
      <w:pPr>
        <w:ind w:right="3719" w:firstLine="260"/>
        <w:spacing w:after="0" w:line="258" w:lineRule="auto"/>
        <w:rPr>
          <w:sz w:val="20"/>
          <w:szCs w:val="20"/>
          <w:color w:val="auto"/>
        </w:rPr>
      </w:pPr>
      <w:r>
        <w:rPr>
          <w:rFonts w:ascii="Courier New" w:cs="Courier New" w:eastAsia="Courier New" w:hAnsi="Courier New"/>
          <w:sz w:val="14"/>
          <w:szCs w:val="14"/>
          <w:color w:val="auto"/>
        </w:rPr>
        <w:t>The following items will not be deemed to be Affiliate Transactions and, therefore, will not be subject to the provisions of the prior paragraph:</w:t>
      </w:r>
    </w:p>
    <w:p>
      <w:pPr>
        <w:spacing w:after="0" w:line="160" w:lineRule="exact"/>
        <w:rPr>
          <w:sz w:val="20"/>
          <w:szCs w:val="20"/>
          <w:color w:val="auto"/>
        </w:rPr>
      </w:pPr>
    </w:p>
    <w:p>
      <w:pPr>
        <w:jc w:val="both"/>
        <w:ind w:left="180" w:right="3899" w:firstLine="263"/>
        <w:spacing w:after="0" w:line="255" w:lineRule="auto"/>
        <w:tabs>
          <w:tab w:leader="none" w:pos="78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employment agreement entered into by Radio One or any of its Subsidiaries in the ordinary course of business and consistent with the past practice of Radio One or such Subsidiary;</w:t>
      </w:r>
    </w:p>
    <w:p>
      <w:pPr>
        <w:spacing w:after="0" w:line="162" w:lineRule="exact"/>
        <w:rPr>
          <w:rFonts w:ascii="Courier New" w:cs="Courier New" w:eastAsia="Courier New" w:hAnsi="Courier New"/>
          <w:sz w:val="14"/>
          <w:szCs w:val="14"/>
          <w:color w:val="auto"/>
        </w:rPr>
      </w:pPr>
    </w:p>
    <w:p>
      <w:pPr>
        <w:ind w:left="180" w:right="4159" w:firstLine="263"/>
        <w:spacing w:after="0" w:line="258" w:lineRule="auto"/>
        <w:tabs>
          <w:tab w:leader="none" w:pos="78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between or among Radio One and/or its Restricted Subsidiaries;</w:t>
      </w:r>
    </w:p>
    <w:p>
      <w:pPr>
        <w:spacing w:after="0" w:line="159" w:lineRule="exact"/>
        <w:rPr>
          <w:rFonts w:ascii="Courier New" w:cs="Courier New" w:eastAsia="Courier New" w:hAnsi="Courier New"/>
          <w:sz w:val="14"/>
          <w:szCs w:val="14"/>
          <w:color w:val="auto"/>
        </w:rPr>
      </w:pPr>
    </w:p>
    <w:p>
      <w:pPr>
        <w:ind w:left="180" w:right="3899" w:firstLine="263"/>
        <w:spacing w:after="0" w:line="255" w:lineRule="auto"/>
        <w:tabs>
          <w:tab w:leader="none" w:pos="78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advances, payment of reasonable fees, indemnification of directors, or similar arrangements to officers, directors employees and consultants who are not otherwise Affiliates of Radio One;</w:t>
      </w:r>
    </w:p>
    <w:p>
      <w:pPr>
        <w:spacing w:after="0" w:line="162" w:lineRule="exact"/>
        <w:rPr>
          <w:rFonts w:ascii="Courier New" w:cs="Courier New" w:eastAsia="Courier New" w:hAnsi="Courier New"/>
          <w:sz w:val="14"/>
          <w:szCs w:val="14"/>
          <w:color w:val="auto"/>
        </w:rPr>
      </w:pPr>
    </w:p>
    <w:p>
      <w:pPr>
        <w:ind w:left="180" w:right="4239" w:firstLine="263"/>
        <w:spacing w:after="0" w:line="258" w:lineRule="auto"/>
        <w:tabs>
          <w:tab w:leader="none" w:pos="78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Equity Interests (other than Disqualified Stock) to Affiliates of Radio One;</w:t>
      </w:r>
    </w:p>
    <w:p>
      <w:pPr>
        <w:spacing w:after="0" w:line="159"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under any contract or agreement in effect on the date of the Indenture as the same may be amended, modified or replaced from time to time so long as any amendment, modification, or replacement is no less favorable to Radio One and its Restricted Subsidiaries than the contract or agreement as in effect on the date of the Indenture;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20" w:right="1440" w:bottom="1440" w:gutter="0" w:footer="0" w:header="0"/>
        </w:sectPr>
      </w:pPr>
    </w:p>
    <w:bookmarkStart w:id="67" w:name="page68"/>
    <w:bookmarkEnd w:id="67"/>
    <w:p>
      <w:pPr>
        <w:ind w:left="180" w:right="3539" w:firstLine="263"/>
        <w:spacing w:after="0" w:line="253" w:lineRule="auto"/>
        <w:tabs>
          <w:tab w:leader="none" w:pos="788"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provided to any Unrestricted Subsidiary of Radio One in the ordinary course of business, which the Board of Directors has determined, pursuant to a resolution thereof, that such services are provided on terms at least as favorable to Radio One and its Restricted Subsidiaries as those that would have been obtained in a comparable transaction with an unrelated Person; and</w:t>
      </w:r>
    </w:p>
    <w:p>
      <w:pPr>
        <w:spacing w:after="0" w:line="165" w:lineRule="exact"/>
        <w:rPr>
          <w:rFonts w:ascii="Courier New" w:cs="Courier New" w:eastAsia="Courier New" w:hAnsi="Courier New"/>
          <w:sz w:val="14"/>
          <w:szCs w:val="14"/>
          <w:color w:val="auto"/>
        </w:rPr>
      </w:pPr>
    </w:p>
    <w:p>
      <w:pPr>
        <w:ind w:left="180" w:right="3639" w:firstLine="263"/>
        <w:spacing w:after="0" w:line="255" w:lineRule="auto"/>
        <w:tabs>
          <w:tab w:leader="none" w:pos="788"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Permitted Investments and Restricted Payments that are permitted by the provisions of the Indenture described above under the caption "-- Restricted Payments."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Additional Subsidiary Guarantees</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If Radio One or any of its Subsidiaries acquires or creates another Domestic Subsidiary after the date of the Indenture, excluding all Subsidiaries that have been properly designated as Unrestricted Subsidiaries in accordance with the Indenture for so long as they continue to constitute Unrestricted Subsidiaries, then that newly acquired or created Domestic Subsidiary will become a Guarantor and execute a supplemental Indenture and deliver an opinion of counsel satisfactory to the trustee within 10 Business Days of the date on which it was acquired or created.</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Designation of Restricted and Unrestricted Subsidiaries</w:t>
      </w:r>
    </w:p>
    <w:p>
      <w:pPr>
        <w:spacing w:after="0" w:line="175"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The Board of Directors may designate any Restricted Subsidiary to be an Unrestricted Subsidiary if that designation would not cause a Default. If a Restricted Subsidiary is designated as an Unrestricted Subsidiary, the aggregate fair market value of all outstanding Investments owned by Radio One and the Restricted Subsidiaries in the Subsidiary properly designated will be deemed to be an Investment made as of the time of the designation and will reduce the amount available for Restricted Payments under the first paragraph of the covenant described above under the caption "--Restricted Payments" or Permitted Investments, as determined by Radio One. That designation will only be permitted if the Investment would be permitted at that time and if the Restricted Subsidiary otherwise meets the definition of an Unrestricted Subsidiary. The Board of Directors may redesignate any Unrestricted Subsidiary to be a Restricted Subsidiary if the redesignation would not cause a Default.</w:t>
      </w:r>
    </w:p>
    <w:p>
      <w:pPr>
        <w:spacing w:after="0" w:line="163" w:lineRule="exact"/>
        <w:rPr>
          <w:sz w:val="20"/>
          <w:szCs w:val="20"/>
          <w:color w:val="auto"/>
        </w:rPr>
      </w:pPr>
    </w:p>
    <w:p>
      <w:pPr>
        <w:ind w:left="100" w:right="4159"/>
        <w:spacing w:after="0" w:line="258" w:lineRule="auto"/>
        <w:rPr>
          <w:sz w:val="20"/>
          <w:szCs w:val="20"/>
          <w:color w:val="auto"/>
        </w:rPr>
      </w:pPr>
      <w:r>
        <w:rPr>
          <w:rFonts w:ascii="Courier New" w:cs="Courier New" w:eastAsia="Courier New" w:hAnsi="Courier New"/>
          <w:sz w:val="14"/>
          <w:szCs w:val="14"/>
          <w:color w:val="auto"/>
        </w:rPr>
        <w:t>Limitation on Issuances and Sales of Equity Interests in Wholly Owned Subsidiaries</w:t>
      </w:r>
    </w:p>
    <w:p>
      <w:pPr>
        <w:spacing w:after="0" w:line="160"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Radio One will not, and will not permit any of its Subsidiaries to, transfer, convey, sell, lease or otherwise dispose of any Equity Interests in any Wholly Owned Restricted Subsidiary of Radio One to any Person (other than Radio One or a Wholly Owned Restricted Subsidiary of Radio One), unless:</w:t>
      </w:r>
    </w:p>
    <w:p>
      <w:pPr>
        <w:spacing w:after="0" w:line="163" w:lineRule="exact"/>
        <w:rPr>
          <w:sz w:val="20"/>
          <w:szCs w:val="20"/>
          <w:color w:val="auto"/>
        </w:rPr>
      </w:pPr>
    </w:p>
    <w:p>
      <w:pPr>
        <w:ind w:left="180" w:right="3639" w:firstLine="263"/>
        <w:spacing w:after="0" w:line="255" w:lineRule="auto"/>
        <w:tabs>
          <w:tab w:leader="none" w:pos="788"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such transfer, conveyance, sale, lease or other disposition or issuance such Restricted Subsidiary no longer constitutes a Subsidiary; and</w:t>
      </w:r>
    </w:p>
    <w:p>
      <w:pPr>
        <w:spacing w:after="0" w:line="162" w:lineRule="exact"/>
        <w:rPr>
          <w:rFonts w:ascii="Courier New" w:cs="Courier New" w:eastAsia="Courier New" w:hAnsi="Courier New"/>
          <w:sz w:val="14"/>
          <w:szCs w:val="14"/>
          <w:color w:val="auto"/>
        </w:rPr>
      </w:pPr>
    </w:p>
    <w:p>
      <w:pPr>
        <w:ind w:left="180" w:right="3539" w:firstLine="263"/>
        <w:spacing w:after="0" w:line="256" w:lineRule="auto"/>
        <w:tabs>
          <w:tab w:leader="none" w:pos="788"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Net Proceeds from such transfer, conveyance, sale, lease or other disposition are applied in accordance with the covenant described above under the caption "--Repurchase at the Option of Holders--Asset Sales."</w:t>
      </w:r>
    </w:p>
    <w:p>
      <w:pPr>
        <w:spacing w:after="0" w:line="327"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In addition, Radio One will not permit any Wholly Owned Restricted Subsidiary of Radio One to issue any of its Equity Interests (other than, if necessary, shares of its Capital Stock constituting directors' qualifying shares) to any Person other than to Radio One or a Wholly Owned Restricted Subsidiary of Radio One.</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Payments for Consent</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Radio One will not, and will not permit any of its Subsidiaries to, directly or indirectly, pay or cause to be paid any consideration to or for the benefit of any Holder of Notes for or as an inducement to any consent, waiver or amendment of any of the terms or provisions of the Indenture or the Notes unless such consideration is offered to be paid and is paid to all Holders of the Notes that consent, waive or agree to amend in the time frame set forth in the solicitation documents relating to such consent, waiver or agreement.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20"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Reports</w:t>
      </w:r>
    </w:p>
    <w:p>
      <w:pPr>
        <w:spacing w:after="0" w:line="175" w:lineRule="exact"/>
        <w:rPr>
          <w:sz w:val="20"/>
          <w:szCs w:val="20"/>
          <w:color w:val="auto"/>
        </w:rPr>
      </w:pPr>
    </w:p>
    <w:p>
      <w:pPr>
        <w:ind w:right="3719" w:firstLine="260"/>
        <w:spacing w:after="0" w:line="255" w:lineRule="auto"/>
        <w:rPr>
          <w:sz w:val="20"/>
          <w:szCs w:val="20"/>
          <w:color w:val="auto"/>
        </w:rPr>
      </w:pPr>
      <w:r>
        <w:rPr>
          <w:rFonts w:ascii="Courier New" w:cs="Courier New" w:eastAsia="Courier New" w:hAnsi="Courier New"/>
          <w:sz w:val="14"/>
          <w:szCs w:val="14"/>
          <w:color w:val="auto"/>
        </w:rPr>
        <w:t>Whether or not required by the SEC so long as any Notes are outstanding, Radio One will furnish to the Holders of Notes, within the time periods specified in the SEC's rules and regulations:</w:t>
      </w:r>
    </w:p>
    <w:p>
      <w:pPr>
        <w:spacing w:after="0" w:line="162" w:lineRule="exact"/>
        <w:rPr>
          <w:sz w:val="20"/>
          <w:szCs w:val="20"/>
          <w:color w:val="auto"/>
        </w:rPr>
      </w:pPr>
    </w:p>
    <w:p>
      <w:pPr>
        <w:ind w:left="180" w:right="3539" w:firstLine="263"/>
        <w:spacing w:after="0" w:line="253" w:lineRule="auto"/>
        <w:tabs>
          <w:tab w:leader="none" w:pos="788"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quarterly and annual financial information that would be required to be contained in a filing with the SEC on Forms 10-Q and 10-K if Radio One were required to file such Forms, including a "Management's Discussion and Analysis of Financial Condition and Results of Operations" and, with respect to the annual information only, a report on the annual financial statements by Radio One's certified independent accountants; and</w:t>
      </w:r>
    </w:p>
    <w:p>
      <w:pPr>
        <w:spacing w:after="0" w:line="165" w:lineRule="exact"/>
        <w:rPr>
          <w:rFonts w:ascii="Courier New" w:cs="Courier New" w:eastAsia="Courier New" w:hAnsi="Courier New"/>
          <w:sz w:val="14"/>
          <w:szCs w:val="14"/>
          <w:color w:val="auto"/>
        </w:rPr>
      </w:pPr>
    </w:p>
    <w:p>
      <w:pPr>
        <w:ind w:left="180" w:right="3639" w:firstLine="263"/>
        <w:spacing w:after="0" w:line="258" w:lineRule="auto"/>
        <w:tabs>
          <w:tab w:leader="none" w:pos="788"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current reports that would be required to be filed with the SEC on Form 8-K if Radio One were required to file such reports.</w:t>
      </w:r>
    </w:p>
    <w:p>
      <w:pPr>
        <w:spacing w:after="0" w:line="160"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If Radio One or any Guarantor has designated any of its Subsidiaries as Unrestricted Subsidiaries, then the quarterly and annual financial information required by the preceding paragraph will include, either on the face of the financial statements or in the footnotes thereto, and in Management's Discussion and Analysis of Financial Condition and Results of Operations, a reasonably detailed summary of financial condition and results of operations of the Unrestricted Subsidiaries containing line items substantially consistent with those contained in the summary section of this prospectus.</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In addition, following the consummation of the exchange offer contemplated by the registration rights agreement, whether or not required by the SEC, Radio One will file a copy of all of the information and reports referred to in clauses (1) and (2) above with the SEC for public availability within the time periods specified in the SEC's rules and regulations (unless the SEC will not accept such a filing) and make such information available to securities analysts and prospective investors upon request. In addition, Radio One has agreed that, for so long as any Notes remain outstanding, it they will furnish to the Holders and to securities analysts and prospective investors, upon their request, the information required to be delivered pursuant to Rule 144A(d)(4) under the Securities Act.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of Default and Remedies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Each of the following is an Event of Default:</w:t>
      </w:r>
    </w:p>
    <w:p>
      <w:pPr>
        <w:spacing w:after="0" w:line="175" w:lineRule="exact"/>
        <w:rPr>
          <w:sz w:val="20"/>
          <w:szCs w:val="20"/>
          <w:color w:val="auto"/>
        </w:rPr>
      </w:pPr>
    </w:p>
    <w:p>
      <w:pPr>
        <w:ind w:left="180" w:right="3639" w:firstLine="263"/>
        <w:spacing w:after="0" w:line="255" w:lineRule="auto"/>
        <w:tabs>
          <w:tab w:leader="none" w:pos="788"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for 30 days in the payment when due of interest on, or Liquidated Damages with respect to, the Notes whether or not prohibited by the subordination provisions of the Indenture;</w:t>
      </w:r>
    </w:p>
    <w:p>
      <w:pPr>
        <w:spacing w:after="0" w:line="162" w:lineRule="exact"/>
        <w:rPr>
          <w:rFonts w:ascii="Courier New" w:cs="Courier New" w:eastAsia="Courier New" w:hAnsi="Courier New"/>
          <w:sz w:val="14"/>
          <w:szCs w:val="14"/>
          <w:color w:val="auto"/>
        </w:rPr>
      </w:pPr>
    </w:p>
    <w:p>
      <w:pPr>
        <w:ind w:left="180" w:right="3539" w:firstLine="263"/>
        <w:spacing w:after="0" w:line="255" w:lineRule="auto"/>
        <w:tabs>
          <w:tab w:leader="none" w:pos="788"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payment when due of the principal of, or premium, if any, on the Notes, whether or not prohibited by the subordination provisions of the Indenture;</w:t>
      </w:r>
    </w:p>
    <w:p>
      <w:pPr>
        <w:spacing w:after="0" w:line="162" w:lineRule="exact"/>
        <w:rPr>
          <w:rFonts w:ascii="Courier New" w:cs="Courier New" w:eastAsia="Courier New" w:hAnsi="Courier New"/>
          <w:sz w:val="14"/>
          <w:szCs w:val="14"/>
          <w:color w:val="auto"/>
        </w:rPr>
      </w:pPr>
    </w:p>
    <w:p>
      <w:pPr>
        <w:ind w:left="180" w:right="3539" w:firstLine="263"/>
        <w:spacing w:after="0" w:line="255" w:lineRule="auto"/>
        <w:tabs>
          <w:tab w:leader="none" w:pos="788"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by Radio One or any of its Restricted Subsidiaries to comply with the provisions described under the captions "--Repurchase at the Option of Holders--Change of Control;"</w:t>
      </w:r>
    </w:p>
    <w:p>
      <w:pPr>
        <w:spacing w:after="0" w:line="162" w:lineRule="exact"/>
        <w:rPr>
          <w:rFonts w:ascii="Courier New" w:cs="Courier New" w:eastAsia="Courier New" w:hAnsi="Courier New"/>
          <w:sz w:val="14"/>
          <w:szCs w:val="14"/>
          <w:color w:val="auto"/>
        </w:rPr>
      </w:pPr>
    </w:p>
    <w:p>
      <w:pPr>
        <w:ind w:left="180" w:right="3639" w:firstLine="263"/>
        <w:spacing w:after="0" w:line="253" w:lineRule="auto"/>
        <w:tabs>
          <w:tab w:leader="none" w:pos="788"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by Radio One or any of its Restricted Subsidiaries for 30 days after notice from the trustee or holders of at least 25% in principal amount of the Notes to comply with the provisions described under the captions "--Repurchase at the Option of Holders--Asset Sales," "--Certain Covenants--Restricted Payments," "--Certain Covenants--Incurrence of Indebtedness and Issuance of Preferred Stock" or "--Certain Covenants-- Merger, Consolidation or Sale of Assets;"</w:t>
      </w:r>
    </w:p>
    <w:p>
      <w:pPr>
        <w:spacing w:after="0" w:line="164" w:lineRule="exact"/>
        <w:rPr>
          <w:rFonts w:ascii="Courier New" w:cs="Courier New" w:eastAsia="Courier New" w:hAnsi="Courier New"/>
          <w:sz w:val="14"/>
          <w:szCs w:val="14"/>
          <w:color w:val="auto"/>
        </w:rPr>
      </w:pPr>
    </w:p>
    <w:p>
      <w:pPr>
        <w:ind w:left="180" w:right="3539" w:firstLine="263"/>
        <w:spacing w:after="0" w:line="255" w:lineRule="auto"/>
        <w:tabs>
          <w:tab w:leader="none" w:pos="788"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by Radio One or any of its Restricted Subsidiaries for 60 days after notice from the trustee or holders of 25% in principal amount of the Notes to comply with any of the other agreements in the Indenture;</w:t>
      </w:r>
    </w:p>
    <w:p>
      <w:pPr>
        <w:spacing w:after="0" w:line="162" w:lineRule="exact"/>
        <w:rPr>
          <w:rFonts w:ascii="Courier New" w:cs="Courier New" w:eastAsia="Courier New" w:hAnsi="Courier New"/>
          <w:sz w:val="14"/>
          <w:szCs w:val="14"/>
          <w:color w:val="auto"/>
        </w:rPr>
      </w:pPr>
    </w:p>
    <w:p>
      <w:pPr>
        <w:ind w:left="180" w:right="3639" w:firstLine="263"/>
        <w:spacing w:after="0" w:line="254" w:lineRule="auto"/>
        <w:tabs>
          <w:tab w:leader="none" w:pos="788"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under any mortgage, indenture or instrument under which there may be issued or by which there may be secured or evidenced any Indebtedness for money borrowed by Radio One or any of its Restricted Subsidiaries (or the payment of which is guaranteed by Radio One or any of its Restricted</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20" w:right="1440" w:bottom="1440" w:gutter="0" w:footer="0" w:header="0"/>
        </w:sectPr>
      </w:pPr>
    </w:p>
    <w:bookmarkStart w:id="69" w:name="page70"/>
    <w:bookmarkEnd w:id="69"/>
    <w:p>
      <w:pPr>
        <w:ind w:left="180" w:right="3979"/>
        <w:spacing w:after="0" w:line="258" w:lineRule="auto"/>
        <w:rPr>
          <w:sz w:val="20"/>
          <w:szCs w:val="20"/>
          <w:color w:val="auto"/>
        </w:rPr>
      </w:pPr>
      <w:r>
        <w:rPr>
          <w:rFonts w:ascii="Courier New" w:cs="Courier New" w:eastAsia="Courier New" w:hAnsi="Courier New"/>
          <w:sz w:val="14"/>
          <w:szCs w:val="14"/>
          <w:color w:val="auto"/>
        </w:rPr>
        <w:t>Subsidiaries) whether such Indebtedness or guarantee now exists, or is created after the date of the Indenture, if that default:</w:t>
      </w:r>
    </w:p>
    <w:p>
      <w:pPr>
        <w:spacing w:after="0" w:line="160" w:lineRule="exact"/>
        <w:rPr>
          <w:sz w:val="20"/>
          <w:szCs w:val="20"/>
          <w:color w:val="auto"/>
        </w:rPr>
      </w:pPr>
    </w:p>
    <w:p>
      <w:pPr>
        <w:ind w:left="360" w:right="3799" w:firstLine="257"/>
        <w:spacing w:after="0" w:line="258" w:lineRule="auto"/>
        <w:tabs>
          <w:tab w:leader="none" w:pos="968"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caused by a failure to pay principal of such Indebtedness at the final stated maturity thereof (a "Payment Default"), or</w:t>
      </w:r>
    </w:p>
    <w:p>
      <w:pPr>
        <w:spacing w:after="0" w:line="159" w:lineRule="exact"/>
        <w:rPr>
          <w:rFonts w:ascii="Courier New" w:cs="Courier New" w:eastAsia="Courier New" w:hAnsi="Courier New"/>
          <w:sz w:val="14"/>
          <w:szCs w:val="14"/>
          <w:color w:val="auto"/>
        </w:rPr>
      </w:pPr>
    </w:p>
    <w:p>
      <w:pPr>
        <w:ind w:left="360" w:right="3979" w:firstLine="257"/>
        <w:spacing w:after="0" w:line="258" w:lineRule="auto"/>
        <w:tabs>
          <w:tab w:leader="none" w:pos="968"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in the acceleration of such Indebtedness prior to its express maturity,</w:t>
      </w:r>
    </w:p>
    <w:p>
      <w:pPr>
        <w:spacing w:after="0" w:line="160" w:lineRule="exact"/>
        <w:rPr>
          <w:sz w:val="20"/>
          <w:szCs w:val="20"/>
          <w:color w:val="auto"/>
        </w:rPr>
      </w:pPr>
    </w:p>
    <w:p>
      <w:pPr>
        <w:ind w:left="180" w:right="3639"/>
        <w:spacing w:after="0" w:line="254" w:lineRule="auto"/>
        <w:rPr>
          <w:sz w:val="20"/>
          <w:szCs w:val="20"/>
          <w:color w:val="auto"/>
        </w:rPr>
      </w:pPr>
      <w:r>
        <w:rPr>
          <w:rFonts w:ascii="Courier New" w:cs="Courier New" w:eastAsia="Courier New" w:hAnsi="Courier New"/>
          <w:sz w:val="14"/>
          <w:szCs w:val="14"/>
          <w:color w:val="auto"/>
        </w:rPr>
        <w:t>and, in each case, the principal amount of any such Indebtedness, together with the principal amount of any other such Indebtedness under which there has been a Payment Default or the maturity of which has been so accelerated, aggregates $10.0 million or more;</w:t>
      </w:r>
    </w:p>
    <w:p>
      <w:pPr>
        <w:spacing w:after="0" w:line="163" w:lineRule="exact"/>
        <w:rPr>
          <w:sz w:val="20"/>
          <w:szCs w:val="20"/>
          <w:color w:val="auto"/>
        </w:rPr>
      </w:pPr>
    </w:p>
    <w:p>
      <w:pPr>
        <w:ind w:left="180" w:right="3639" w:firstLine="263"/>
        <w:spacing w:after="0" w:line="254" w:lineRule="auto"/>
        <w:tabs>
          <w:tab w:leader="none" w:pos="788"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by Radio One or any of its Restricted Subsidiaries to pay final judgments aggregating in excess of $5.0 million not covered by insurance, which judgments are not paid, discharged or stayed for a period of 60 days;</w:t>
      </w:r>
    </w:p>
    <w:p>
      <w:pPr>
        <w:spacing w:after="0" w:line="163" w:lineRule="exact"/>
        <w:rPr>
          <w:rFonts w:ascii="Courier New" w:cs="Courier New" w:eastAsia="Courier New" w:hAnsi="Courier New"/>
          <w:sz w:val="14"/>
          <w:szCs w:val="14"/>
          <w:color w:val="auto"/>
        </w:rPr>
      </w:pPr>
    </w:p>
    <w:p>
      <w:pPr>
        <w:ind w:left="180" w:right="3539" w:firstLine="263"/>
        <w:spacing w:after="0" w:line="253" w:lineRule="auto"/>
        <w:tabs>
          <w:tab w:leader="none" w:pos="788"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permitted by the Indenture, any Guarantee of a Significant Subsidiary shall be held in any judicial proceeding to be unenforceable or invalid or shall cease for any reason to be in full force and effect or any Significant Subsidiary that is a Guarantor, or any Person acting on behalf of any such Guarantor, shall deny or disaffirm its obligations under its Guarantee; and</w:t>
      </w:r>
    </w:p>
    <w:p>
      <w:pPr>
        <w:spacing w:after="0" w:line="165" w:lineRule="exact"/>
        <w:rPr>
          <w:rFonts w:ascii="Courier New" w:cs="Courier New" w:eastAsia="Courier New" w:hAnsi="Courier New"/>
          <w:sz w:val="14"/>
          <w:szCs w:val="14"/>
          <w:color w:val="auto"/>
        </w:rPr>
      </w:pPr>
    </w:p>
    <w:p>
      <w:pPr>
        <w:ind w:left="180" w:right="3639" w:firstLine="263"/>
        <w:spacing w:after="0" w:line="258" w:lineRule="auto"/>
        <w:tabs>
          <w:tab w:leader="none" w:pos="788"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events of bankruptcy or insolvency described in the Indenture with respect to Radio One or any of its Restricted Subsidiaries.</w:t>
      </w:r>
    </w:p>
    <w:p>
      <w:pPr>
        <w:spacing w:after="0" w:line="160"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In the event of a declaration of acceleration of the Notes because an Event of Default has occurred and is continuing as a result of the acceleration of any Indebtedness described in clause (6) of the preceding paragraph, the declaration of acceleration of the Notes shall be automatically annulled if the holders of any Indebtedness described in clause (6) of the preceding paragraph have rescinded the declaration of acceleration in respect of the Indebtedness within 30 days of the date of the declaration and if:</w:t>
      </w:r>
    </w:p>
    <w:p>
      <w:pPr>
        <w:spacing w:after="0" w:line="165" w:lineRule="exact"/>
        <w:rPr>
          <w:sz w:val="20"/>
          <w:szCs w:val="20"/>
          <w:color w:val="auto"/>
        </w:rPr>
      </w:pPr>
    </w:p>
    <w:p>
      <w:pPr>
        <w:ind w:left="180" w:right="3719" w:firstLine="263"/>
        <w:spacing w:after="0" w:line="258" w:lineRule="auto"/>
        <w:tabs>
          <w:tab w:leader="none" w:pos="788"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annulment of the acceleration of Notes would not conflict with any judgment or decree of a court of competent jurisdiction; and</w:t>
      </w:r>
    </w:p>
    <w:p>
      <w:pPr>
        <w:spacing w:after="0" w:line="159" w:lineRule="exact"/>
        <w:rPr>
          <w:rFonts w:ascii="Courier New" w:cs="Courier New" w:eastAsia="Courier New" w:hAnsi="Courier New"/>
          <w:sz w:val="14"/>
          <w:szCs w:val="14"/>
          <w:color w:val="auto"/>
        </w:rPr>
      </w:pPr>
    </w:p>
    <w:p>
      <w:pPr>
        <w:ind w:left="180" w:right="3539" w:firstLine="263"/>
        <w:spacing w:after="0" w:line="255" w:lineRule="auto"/>
        <w:tabs>
          <w:tab w:leader="none" w:pos="788"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existing Events of Default, except nonpayment of principal or interest on the Notes that became due solely because of the acceleration of the Notes, have been cured or waived.</w:t>
      </w:r>
    </w:p>
    <w:p>
      <w:pPr>
        <w:spacing w:after="0" w:line="16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In the case of an Event of Default arising from certain events of bankruptcy or insolvency, with respect to Radio One, any Restricted Subsidiary that is a Significant Subsidiary or any group of Restricted Subsidiaries that, taken together, would constitute a Significant Subsidiary,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Liquidated Damages.</w:t>
      </w:r>
    </w:p>
    <w:p>
      <w:pPr>
        <w:spacing w:after="0" w:line="332"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or Liquidated Damages on, or the principal of, the Notes.</w:t>
      </w:r>
    </w:p>
    <w:p>
      <w:pPr>
        <w:spacing w:after="0" w:line="162" w:lineRule="exact"/>
        <w:rPr>
          <w:sz w:val="20"/>
          <w:szCs w:val="20"/>
          <w:color w:val="auto"/>
        </w:rPr>
      </w:pPr>
    </w:p>
    <w:p>
      <w:pPr>
        <w:ind w:right="3719" w:firstLine="260"/>
        <w:spacing w:after="0" w:line="255" w:lineRule="auto"/>
        <w:rPr>
          <w:sz w:val="20"/>
          <w:szCs w:val="20"/>
          <w:color w:val="auto"/>
        </w:rPr>
      </w:pPr>
      <w:r>
        <w:rPr>
          <w:rFonts w:ascii="Courier New" w:cs="Courier New" w:eastAsia="Courier New" w:hAnsi="Courier New"/>
          <w:sz w:val="14"/>
          <w:szCs w:val="14"/>
          <w:color w:val="auto"/>
        </w:rPr>
        <w:t>In the case of any Event of Default occurring by reason of any willful action or inaction taken or not taken by or on behalf of Radio One with the intention of avoiding payment of the premium that Radio One would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20" w:right="1440" w:bottom="1440" w:gutter="0" w:footer="0" w:header="0"/>
        </w:sectPr>
      </w:pPr>
    </w:p>
    <w:bookmarkStart w:id="70" w:name="page71"/>
    <w:bookmarkEnd w:id="70"/>
    <w:p>
      <w:pPr>
        <w:ind w:right="3379"/>
        <w:spacing w:after="0" w:line="253" w:lineRule="auto"/>
        <w:rPr>
          <w:sz w:val="20"/>
          <w:szCs w:val="20"/>
          <w:color w:val="auto"/>
        </w:rPr>
      </w:pPr>
      <w:r>
        <w:rPr>
          <w:rFonts w:ascii="Courier New" w:cs="Courier New" w:eastAsia="Courier New" w:hAnsi="Courier New"/>
          <w:sz w:val="14"/>
          <w:szCs w:val="14"/>
          <w:color w:val="auto"/>
        </w:rPr>
        <w:t>have had to pay if Radio One then had elected to redeem the Notes pursuant to the optional redemption provisions of the Indenture, an equivalent premium will also become and be immediately due and payable to the extent permitted by law upon the acceleration of the Notes. If an Event of Default occurs prior to, by reason of any willful action (or inaction) taken (or not taken) by or on behalf of Radio One with the intention of avoiding the prohibition on redemption of the Notes prior to July 1, 2006, then the premium specified in the Indenture will also become immediately due and payable to the extent permitted by law upon the acceleration of the Notes.</w:t>
      </w:r>
    </w:p>
    <w:p>
      <w:pPr>
        <w:spacing w:after="0" w:line="164"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Radio One is required to deliver to the trustee annually a statement regarding compliance with the Indenture. Upon becoming aware of any Default or Event of Default, Radio One is required to deliver to the trustee a statement specifying such Default or Event of Default.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Personal Liability of Directors, Officers, Employees and Stockholders</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No director, officer, employee, incorporator or stockholder of Radio One, any Subsidiary of Radio One, or any Guarantor, as such, will have any liability for any obligations of Radio One or the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Defeasance and Covenant Defeasance</w:t>
      </w:r>
    </w:p>
    <w:p>
      <w:pPr>
        <w:spacing w:after="0" w:line="175" w:lineRule="exact"/>
        <w:rPr>
          <w:sz w:val="20"/>
          <w:szCs w:val="20"/>
          <w:color w:val="auto"/>
        </w:rPr>
      </w:pPr>
    </w:p>
    <w:p>
      <w:pPr>
        <w:ind w:right="3899" w:firstLine="260"/>
        <w:spacing w:after="0" w:line="254" w:lineRule="auto"/>
        <w:rPr>
          <w:sz w:val="20"/>
          <w:szCs w:val="20"/>
          <w:color w:val="auto"/>
        </w:rPr>
      </w:pPr>
      <w:r>
        <w:rPr>
          <w:rFonts w:ascii="Courier New" w:cs="Courier New" w:eastAsia="Courier New" w:hAnsi="Courier New"/>
          <w:sz w:val="14"/>
          <w:szCs w:val="14"/>
          <w:color w:val="auto"/>
        </w:rPr>
        <w:t>Radio One may, at its option and at any time elect to have all of its obligations discharged with respect to the outstanding notes and all obligations of the Guarantors discharged with respect to their Subsidiary Guarantees ("Legal Defeasance") except for:</w:t>
      </w:r>
    </w:p>
    <w:p>
      <w:pPr>
        <w:spacing w:after="0" w:line="163" w:lineRule="exact"/>
        <w:rPr>
          <w:sz w:val="20"/>
          <w:szCs w:val="20"/>
          <w:color w:val="auto"/>
        </w:rPr>
      </w:pPr>
    </w:p>
    <w:p>
      <w:pPr>
        <w:ind w:left="180" w:right="3539" w:firstLine="263"/>
        <w:spacing w:after="0" w:line="254" w:lineRule="auto"/>
        <w:tabs>
          <w:tab w:leader="none" w:pos="78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Holders of outstanding notes to receive payments in respect of the principal of, or interest or premium and Liquidated Damages, if any, on such Notes when such payments are due from the trust referred to below;</w:t>
      </w:r>
    </w:p>
    <w:p>
      <w:pPr>
        <w:spacing w:after="0" w:line="163"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One's obligations with respect to the Notes concerning issuing temporary Notes, registration of Notes, mutilated, destroyed, lost or stolen Notes and the maintenance of an office or agency for payment and money for security payments held in trust;</w:t>
      </w:r>
    </w:p>
    <w:p>
      <w:pPr>
        <w:spacing w:after="0" w:line="163" w:lineRule="exact"/>
        <w:rPr>
          <w:rFonts w:ascii="Courier New" w:cs="Courier New" w:eastAsia="Courier New" w:hAnsi="Courier New"/>
          <w:sz w:val="14"/>
          <w:szCs w:val="14"/>
          <w:color w:val="auto"/>
        </w:rPr>
      </w:pPr>
    </w:p>
    <w:p>
      <w:pPr>
        <w:jc w:val="both"/>
        <w:ind w:left="180" w:right="3799" w:firstLine="263"/>
        <w:spacing w:after="0" w:line="255" w:lineRule="auto"/>
        <w:tabs>
          <w:tab w:leader="none" w:pos="78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powers, trusts, duties and immunities of the trustee, and Radio One's and the Guarantors' obligations in connection therewith; and</w:t>
      </w:r>
    </w:p>
    <w:p>
      <w:pPr>
        <w:spacing w:after="0" w:line="162"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Legal Defeasance provisions of the Indenture.</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In addition, Radio One may, at its option and at any time, elect to have the obligations of Radio One and the Guarantors released with respect to certain covenants that are described in the Indenture ("Covenant Defeasance")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"--Events of Default and Remedies" will no longer constitute an Event of Default with respect to the Notes.</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 order to exercise either Legal Defeasance or Covenant Defeasance:</w:t>
      </w:r>
    </w:p>
    <w:p>
      <w:pPr>
        <w:spacing w:after="0" w:line="175" w:lineRule="exact"/>
        <w:rPr>
          <w:sz w:val="20"/>
          <w:szCs w:val="20"/>
          <w:color w:val="auto"/>
        </w:rPr>
      </w:pPr>
    </w:p>
    <w:p>
      <w:pPr>
        <w:ind w:left="180" w:right="3539" w:firstLine="263"/>
        <w:spacing w:after="0" w:line="253" w:lineRule="auto"/>
        <w:tabs>
          <w:tab w:leader="none" w:pos="78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firm of independent public accountants, to pay the principal of, or interest and premium and Liquidated Damages, if any, on the outstanding notes on the stated maturity or on the applicable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20" w:right="1440" w:bottom="1440" w:gutter="0" w:footer="0" w:header="0"/>
        </w:sectPr>
      </w:pPr>
    </w:p>
    <w:bookmarkStart w:id="71" w:name="page72"/>
    <w:bookmarkEnd w:id="71"/>
    <w:p>
      <w:pPr>
        <w:ind w:left="180" w:right="3539"/>
        <w:spacing w:after="0" w:line="258" w:lineRule="auto"/>
        <w:rPr>
          <w:sz w:val="20"/>
          <w:szCs w:val="20"/>
          <w:color w:val="auto"/>
        </w:rPr>
      </w:pPr>
      <w:r>
        <w:rPr>
          <w:rFonts w:ascii="Courier New" w:cs="Courier New" w:eastAsia="Courier New" w:hAnsi="Courier New"/>
          <w:sz w:val="14"/>
          <w:szCs w:val="14"/>
          <w:color w:val="auto"/>
        </w:rPr>
        <w:t>redemption date, as the case may be, and Radio One must specify whether the Notes are being defeased to maturity or to a particular redemption date;</w:t>
      </w:r>
    </w:p>
    <w:p>
      <w:pPr>
        <w:spacing w:after="0" w:line="160" w:lineRule="exact"/>
        <w:rPr>
          <w:sz w:val="20"/>
          <w:szCs w:val="20"/>
          <w:color w:val="auto"/>
        </w:rPr>
      </w:pPr>
    </w:p>
    <w:p>
      <w:pPr>
        <w:ind w:left="180" w:right="3539" w:firstLine="263"/>
        <w:spacing w:after="0" w:line="253" w:lineRule="auto"/>
        <w:tabs>
          <w:tab w:leader="none" w:pos="788"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Legal Defeasance, Radio One has delivered to the trustee an opinion of counsel reasonably acceptable to the trustee confirming that (a) Radio One has received from, or there has been published by, the Internal Revenue Service a ruling or (b) since the date of the Indenture,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63" w:lineRule="exact"/>
        <w:rPr>
          <w:rFonts w:ascii="Courier New" w:cs="Courier New" w:eastAsia="Courier New" w:hAnsi="Courier New"/>
          <w:sz w:val="14"/>
          <w:szCs w:val="14"/>
          <w:color w:val="auto"/>
        </w:rPr>
      </w:pPr>
    </w:p>
    <w:p>
      <w:pPr>
        <w:ind w:left="180" w:right="3719" w:firstLine="263"/>
        <w:spacing w:after="0" w:line="253" w:lineRule="auto"/>
        <w:tabs>
          <w:tab w:leader="none" w:pos="788"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Covenant Defeasance, Radio One has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64" w:lineRule="exact"/>
        <w:rPr>
          <w:rFonts w:ascii="Courier New" w:cs="Courier New" w:eastAsia="Courier New" w:hAnsi="Courier New"/>
          <w:sz w:val="14"/>
          <w:szCs w:val="14"/>
          <w:color w:val="auto"/>
        </w:rPr>
      </w:pPr>
    </w:p>
    <w:p>
      <w:pPr>
        <w:ind w:left="180" w:right="3539" w:firstLine="263"/>
        <w:spacing w:after="0" w:line="255" w:lineRule="auto"/>
        <w:tabs>
          <w:tab w:leader="none" w:pos="788"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has occurred and is continuing on the date of such deposit (other than a Default or Event of Default resulting from the borrowing of funds to be applied to such deposit);</w:t>
      </w:r>
    </w:p>
    <w:p>
      <w:pPr>
        <w:spacing w:after="0" w:line="162" w:lineRule="exact"/>
        <w:rPr>
          <w:rFonts w:ascii="Courier New" w:cs="Courier New" w:eastAsia="Courier New" w:hAnsi="Courier New"/>
          <w:sz w:val="14"/>
          <w:szCs w:val="14"/>
          <w:color w:val="auto"/>
        </w:rPr>
      </w:pPr>
    </w:p>
    <w:p>
      <w:pPr>
        <w:ind w:left="180" w:right="3639" w:firstLine="263"/>
        <w:spacing w:after="0" w:line="254" w:lineRule="auto"/>
        <w:tabs>
          <w:tab w:leader="none" w:pos="788"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Legal Defeasance or Covenant Defeasance will not result in a breach or violation of, or constitute a default under any material agreement or instrument (other than the Indenture) to which Radio One or any of its Restricted Subsidiaries is a party or by which Radio One or any of its Restricted Subsidiaries is bound;</w:t>
      </w:r>
    </w:p>
    <w:p>
      <w:pPr>
        <w:spacing w:after="0" w:line="162" w:lineRule="exact"/>
        <w:rPr>
          <w:rFonts w:ascii="Courier New" w:cs="Courier New" w:eastAsia="Courier New" w:hAnsi="Courier New"/>
          <w:sz w:val="14"/>
          <w:szCs w:val="14"/>
          <w:color w:val="auto"/>
        </w:rPr>
      </w:pPr>
    </w:p>
    <w:p>
      <w:pPr>
        <w:ind w:left="180" w:right="3639" w:firstLine="263"/>
        <w:spacing w:after="0" w:line="254" w:lineRule="auto"/>
        <w:tabs>
          <w:tab w:leader="none" w:pos="788"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must deliver to the trustee an officers' certificate stating that the deposit was not made by Radio One with the intent of preferring the Holders of Notes over the other creditors of Radio One with the intent of defeating, hindering, delaying or defrauding creditors of Radio One or others; and</w:t>
      </w:r>
    </w:p>
    <w:p>
      <w:pPr>
        <w:spacing w:after="0" w:line="162" w:lineRule="exact"/>
        <w:rPr>
          <w:rFonts w:ascii="Courier New" w:cs="Courier New" w:eastAsia="Courier New" w:hAnsi="Courier New"/>
          <w:sz w:val="14"/>
          <w:szCs w:val="14"/>
          <w:color w:val="auto"/>
        </w:rPr>
      </w:pPr>
    </w:p>
    <w:p>
      <w:pPr>
        <w:ind w:left="180" w:right="3719" w:firstLine="263"/>
        <w:spacing w:after="0" w:line="254" w:lineRule="auto"/>
        <w:tabs>
          <w:tab w:leader="none" w:pos="788"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must deliver to the trustee an officers' certificate and an opinion of counsel, which opinion may be subject to customary assumptions and exclusions, each stating that all conditions precedent relating to the Legal Defeasance or the Covenant Defeasance have been complied with.</w:t>
      </w:r>
    </w:p>
    <w:p>
      <w:pPr>
        <w:spacing w:after="0" w:line="162" w:lineRule="exact"/>
        <w:rPr>
          <w:sz w:val="20"/>
          <w:szCs w:val="20"/>
          <w:color w:val="auto"/>
        </w:rPr>
      </w:pPr>
    </w:p>
    <w:p>
      <w:pPr>
        <w:ind w:right="4059" w:firstLine="260"/>
        <w:spacing w:after="0" w:line="258" w:lineRule="auto"/>
        <w:rPr>
          <w:sz w:val="20"/>
          <w:szCs w:val="20"/>
          <w:color w:val="auto"/>
        </w:rPr>
      </w:pPr>
      <w:r>
        <w:rPr>
          <w:rFonts w:ascii="Courier New" w:cs="Courier New" w:eastAsia="Courier New" w:hAnsi="Courier New"/>
          <w:sz w:val="14"/>
          <w:szCs w:val="14"/>
          <w:color w:val="auto"/>
        </w:rPr>
        <w:t>The Credit Agreement restricts Radio One's ability to effect a Legal Defeasance or a Covenant Defeasance.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Supplement and Waiver</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Except as provided in the next three succeeding paragraphs, the Indenture or the Notes may be amended or supplemented with the consent of the Holders of at least a majority in principal amount of the Notes then outstanding (including, without limitation, consents obtained in connection with a purchase of, or tender offer or exchange offer for, Notes), and any existing default or compliance with any provision of the Indenture or the Notes may be waived with the consent of the Holders of a majority in principal amount of the then outstanding notes (including, without limitation, consents obtained in connection with a purchase of, or tender offer or exchange offer for, Notes).</w:t>
      </w:r>
    </w:p>
    <w:p>
      <w:pPr>
        <w:spacing w:after="0" w:line="164" w:lineRule="exact"/>
        <w:rPr>
          <w:sz w:val="20"/>
          <w:szCs w:val="20"/>
          <w:color w:val="auto"/>
        </w:rPr>
      </w:pPr>
    </w:p>
    <w:p>
      <w:pPr>
        <w:ind w:right="3459" w:firstLine="260"/>
        <w:spacing w:after="0" w:line="258" w:lineRule="auto"/>
        <w:rPr>
          <w:sz w:val="20"/>
          <w:szCs w:val="20"/>
          <w:color w:val="auto"/>
        </w:rPr>
      </w:pPr>
      <w:r>
        <w:rPr>
          <w:rFonts w:ascii="Courier New" w:cs="Courier New" w:eastAsia="Courier New" w:hAnsi="Courier New"/>
          <w:sz w:val="14"/>
          <w:szCs w:val="14"/>
          <w:color w:val="auto"/>
        </w:rPr>
        <w:t>Without the consent of each Holder affected, an amendment or waiver may not (with respect to any Notes held by a non-consenting Holder):</w:t>
      </w:r>
    </w:p>
    <w:p>
      <w:pPr>
        <w:spacing w:after="0" w:line="160" w:lineRule="exact"/>
        <w:rPr>
          <w:sz w:val="20"/>
          <w:szCs w:val="20"/>
          <w:color w:val="auto"/>
        </w:rPr>
      </w:pPr>
    </w:p>
    <w:p>
      <w:pPr>
        <w:ind w:left="180" w:right="3719" w:firstLine="263"/>
        <w:spacing w:after="0" w:line="258" w:lineRule="auto"/>
        <w:tabs>
          <w:tab w:leader="none" w:pos="788"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amount of Notes whose Holders must consent to an amendment, supplement or waiver;</w:t>
      </w:r>
    </w:p>
    <w:p>
      <w:pPr>
        <w:spacing w:after="0" w:line="159"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20" w:right="1440" w:bottom="1440" w:gutter="0" w:footer="0" w:header="0"/>
        </w:sectPr>
      </w:pPr>
    </w:p>
    <w:bookmarkStart w:id="72" w:name="page73"/>
    <w:bookmarkEnd w:id="72"/>
    <w:p>
      <w:pPr>
        <w:ind w:left="800" w:hanging="357"/>
        <w:spacing w:after="0"/>
        <w:tabs>
          <w:tab w:leader="none" w:pos="80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of or change the time for payment of interest on any</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w:t>
      </w:r>
    </w:p>
    <w:p>
      <w:pPr>
        <w:spacing w:after="0" w:line="175"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 Default or Event of Default in the payment of principal of, or interest or premium, or Liquidated Damages, if any, on the Notes (except a rescission of acceleration of the Notes by the Holders of at least a majority in aggregate principal amount of the Notes and a waiver of the payment default that resulted from such acceleration);</w:t>
      </w:r>
    </w:p>
    <w:p>
      <w:pPr>
        <w:spacing w:after="0" w:line="162"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Note payable in money other than that stated in the Notes;</w:t>
      </w:r>
    </w:p>
    <w:p>
      <w:pPr>
        <w:spacing w:after="0" w:line="175" w:lineRule="exact"/>
        <w:rPr>
          <w:rFonts w:ascii="Courier New" w:cs="Courier New" w:eastAsia="Courier New" w:hAnsi="Courier New"/>
          <w:sz w:val="14"/>
          <w:szCs w:val="14"/>
          <w:color w:val="auto"/>
        </w:rPr>
      </w:pPr>
    </w:p>
    <w:p>
      <w:pPr>
        <w:jc w:val="both"/>
        <w:ind w:left="180" w:right="3639" w:firstLine="263"/>
        <w:spacing w:after="0" w:line="254" w:lineRule="auto"/>
        <w:tabs>
          <w:tab w:leader="none" w:pos="788"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change in the provisions of the Indenture relating to waivers of past Defaults or the rights of Holders of Notes to receive payments of principal of, or interest or premium or Liquidated Damages, if any, on the Notes;</w:t>
      </w:r>
    </w:p>
    <w:p>
      <w:pPr>
        <w:spacing w:after="0" w:line="163" w:lineRule="exact"/>
        <w:rPr>
          <w:rFonts w:ascii="Courier New" w:cs="Courier New" w:eastAsia="Courier New" w:hAnsi="Courier New"/>
          <w:sz w:val="14"/>
          <w:szCs w:val="14"/>
          <w:color w:val="auto"/>
        </w:rPr>
      </w:pPr>
    </w:p>
    <w:p>
      <w:pPr>
        <w:ind w:left="180" w:right="3639" w:firstLine="263"/>
        <w:spacing w:after="0" w:line="255" w:lineRule="auto"/>
        <w:tabs>
          <w:tab w:leader="none" w:pos="788"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 redemption payment with respect to any Note (other than a payment required by one of the covenants described above under the caption "--Repurchase at the Option of Holders"); or</w:t>
      </w:r>
    </w:p>
    <w:p>
      <w:pPr>
        <w:spacing w:after="0" w:line="162"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change in the preceding amendment and waiver provisions.</w:t>
      </w:r>
    </w:p>
    <w:p>
      <w:pPr>
        <w:spacing w:after="0" w:line="175" w:lineRule="exact"/>
        <w:rPr>
          <w:sz w:val="20"/>
          <w:szCs w:val="20"/>
          <w:color w:val="auto"/>
        </w:rPr>
      </w:pPr>
    </w:p>
    <w:p>
      <w:pPr>
        <w:ind w:right="3639" w:firstLine="260"/>
        <w:spacing w:after="0" w:line="253" w:lineRule="auto"/>
        <w:rPr>
          <w:sz w:val="20"/>
          <w:szCs w:val="20"/>
          <w:color w:val="auto"/>
        </w:rPr>
      </w:pPr>
      <w:r>
        <w:rPr>
          <w:rFonts w:ascii="Courier New" w:cs="Courier New" w:eastAsia="Courier New" w:hAnsi="Courier New"/>
          <w:sz w:val="14"/>
          <w:szCs w:val="14"/>
          <w:color w:val="auto"/>
        </w:rPr>
        <w:t>In addition, (x) any amendment to, or waiver of, the provisions of the Indenture relating to subordination that adversely affects the rights of the Holders of the Notes or (y) the release any Guarantor from any of its obligations under its Subsidiary Guarantee or the Indenture, except in accordance with the terms of the Indenture will require the consent of the Holders of at least 75% in aggregate principal amount of Notes then outstanding.</w:t>
      </w:r>
    </w:p>
    <w:p>
      <w:pPr>
        <w:spacing w:after="0" w:line="165" w:lineRule="exact"/>
        <w:rPr>
          <w:sz w:val="20"/>
          <w:szCs w:val="20"/>
          <w:color w:val="auto"/>
        </w:rPr>
      </w:pPr>
    </w:p>
    <w:p>
      <w:pPr>
        <w:ind w:right="3379" w:firstLine="260"/>
        <w:spacing w:after="0" w:line="255" w:lineRule="auto"/>
        <w:rPr>
          <w:sz w:val="20"/>
          <w:szCs w:val="20"/>
          <w:color w:val="auto"/>
        </w:rPr>
      </w:pPr>
      <w:r>
        <w:rPr>
          <w:rFonts w:ascii="Courier New" w:cs="Courier New" w:eastAsia="Courier New" w:hAnsi="Courier New"/>
          <w:sz w:val="14"/>
          <w:szCs w:val="14"/>
          <w:color w:val="auto"/>
        </w:rPr>
        <w:t>Notwithstanding the preceding, without the consent of any Holder of Notes, Radio One, the Guarantors and the trustee may amend or supplement the Indenture or the Notes:</w:t>
      </w:r>
    </w:p>
    <w:p>
      <w:pPr>
        <w:spacing w:after="0" w:line="162" w:lineRule="exact"/>
        <w:rPr>
          <w:sz w:val="20"/>
          <w:szCs w:val="20"/>
          <w:color w:val="auto"/>
        </w:rPr>
      </w:pPr>
    </w:p>
    <w:p>
      <w:pPr>
        <w:ind w:left="800" w:hanging="357"/>
        <w:spacing w:after="0"/>
        <w:tabs>
          <w:tab w:leader="none" w:pos="80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defect or inconsistency;</w:t>
      </w:r>
    </w:p>
    <w:p>
      <w:pPr>
        <w:spacing w:after="0" w:line="175" w:lineRule="exact"/>
        <w:rPr>
          <w:rFonts w:ascii="Courier New" w:cs="Courier New" w:eastAsia="Courier New" w:hAnsi="Courier New"/>
          <w:sz w:val="14"/>
          <w:szCs w:val="14"/>
          <w:color w:val="auto"/>
        </w:rPr>
      </w:pPr>
    </w:p>
    <w:p>
      <w:pPr>
        <w:ind w:left="180" w:right="3799" w:firstLine="263"/>
        <w:spacing w:after="0" w:line="258" w:lineRule="auto"/>
        <w:tabs>
          <w:tab w:leader="none" w:pos="788"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for uncertificated Notes in addition to or in place of certificated Notes;</w:t>
      </w:r>
    </w:p>
    <w:p>
      <w:pPr>
        <w:spacing w:after="0" w:line="159" w:lineRule="exact"/>
        <w:rPr>
          <w:rFonts w:ascii="Courier New" w:cs="Courier New" w:eastAsia="Courier New" w:hAnsi="Courier New"/>
          <w:sz w:val="14"/>
          <w:szCs w:val="14"/>
          <w:color w:val="auto"/>
        </w:rPr>
      </w:pPr>
    </w:p>
    <w:p>
      <w:pPr>
        <w:ind w:left="180" w:right="3639" w:firstLine="263"/>
        <w:spacing w:after="0" w:line="255" w:lineRule="auto"/>
        <w:tabs>
          <w:tab w:leader="none" w:pos="788"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for the assumption of Radio One's obligations to Holders of Notes in the case of a merger or consolidation or sale of all or substantially all of Radio One's assets;</w:t>
      </w:r>
    </w:p>
    <w:p>
      <w:pPr>
        <w:spacing w:after="0" w:line="162" w:lineRule="exact"/>
        <w:rPr>
          <w:rFonts w:ascii="Courier New" w:cs="Courier New" w:eastAsia="Courier New" w:hAnsi="Courier New"/>
          <w:sz w:val="14"/>
          <w:szCs w:val="14"/>
          <w:color w:val="auto"/>
        </w:rPr>
      </w:pPr>
    </w:p>
    <w:p>
      <w:pPr>
        <w:ind w:left="180" w:right="3979" w:firstLine="263"/>
        <w:spacing w:after="0" w:line="255" w:lineRule="auto"/>
        <w:tabs>
          <w:tab w:leader="none" w:pos="788"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any change that would provide any additional rights or benefits to the Holders of Notes or that does not adversely affect the legal rights under the Indenture of any such Holder;</w:t>
      </w:r>
    </w:p>
    <w:p>
      <w:pPr>
        <w:spacing w:after="0" w:line="162"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comply with requirements of the SEC in order to effect or</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the qualification of the Indenture under the Trust Indenture Act;</w:t>
      </w:r>
    </w:p>
    <w:p>
      <w:pPr>
        <w:spacing w:after="0" w:line="175" w:lineRule="exact"/>
        <w:rPr>
          <w:rFonts w:ascii="Courier New" w:cs="Courier New" w:eastAsia="Courier New" w:hAnsi="Courier New"/>
          <w:sz w:val="14"/>
          <w:szCs w:val="14"/>
          <w:color w:val="auto"/>
        </w:rPr>
      </w:pPr>
    </w:p>
    <w:p>
      <w:pPr>
        <w:ind w:left="180" w:right="3719" w:firstLine="263"/>
        <w:spacing w:after="0" w:line="258" w:lineRule="auto"/>
        <w:tabs>
          <w:tab w:leader="none" w:pos="788"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for the issuance of additional Notes in accordance with the limitations set forth in the Indenture as of its date; or</w:t>
      </w:r>
    </w:p>
    <w:p>
      <w:pPr>
        <w:spacing w:after="0" w:line="159" w:lineRule="exact"/>
        <w:rPr>
          <w:rFonts w:ascii="Courier New" w:cs="Courier New" w:eastAsia="Courier New" w:hAnsi="Courier New"/>
          <w:sz w:val="14"/>
          <w:szCs w:val="14"/>
          <w:color w:val="auto"/>
        </w:rPr>
      </w:pPr>
    </w:p>
    <w:p>
      <w:pPr>
        <w:ind w:left="180" w:right="3639" w:firstLine="263"/>
        <w:spacing w:after="0" w:line="258" w:lineRule="auto"/>
        <w:tabs>
          <w:tab w:leader="none" w:pos="788"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allow any Guarantor to execute a supplemental Indenture and/or a Guarantee with respect to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Satisfaction and Discharge</w:t>
      </w:r>
    </w:p>
    <w:p>
      <w:pPr>
        <w:spacing w:after="0" w:line="175" w:lineRule="exact"/>
        <w:rPr>
          <w:sz w:val="20"/>
          <w:szCs w:val="20"/>
          <w:color w:val="auto"/>
        </w:rPr>
      </w:pPr>
    </w:p>
    <w:p>
      <w:pPr>
        <w:ind w:right="3539" w:firstLine="260"/>
        <w:spacing w:after="0" w:line="258" w:lineRule="auto"/>
        <w:rPr>
          <w:sz w:val="20"/>
          <w:szCs w:val="20"/>
          <w:color w:val="auto"/>
        </w:rPr>
      </w:pPr>
      <w:r>
        <w:rPr>
          <w:rFonts w:ascii="Courier New" w:cs="Courier New" w:eastAsia="Courier New" w:hAnsi="Courier New"/>
          <w:sz w:val="14"/>
          <w:szCs w:val="14"/>
          <w:color w:val="auto"/>
        </w:rPr>
        <w:t>The Indenture will be discharged and will cease to be of further effect as to all Notes issued thereunder, when:</w:t>
      </w:r>
    </w:p>
    <w:p>
      <w:pPr>
        <w:spacing w:after="0" w:line="160" w:lineRule="exact"/>
        <w:rPr>
          <w:sz w:val="20"/>
          <w:szCs w:val="20"/>
          <w:color w:val="auto"/>
        </w:rPr>
      </w:pPr>
    </w:p>
    <w:p>
      <w:pPr>
        <w:ind w:left="800" w:hanging="357"/>
        <w:spacing w:after="0"/>
        <w:tabs>
          <w:tab w:leader="none" w:pos="80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w:t>
      </w:r>
    </w:p>
    <w:p>
      <w:pPr>
        <w:spacing w:after="0" w:line="175" w:lineRule="exact"/>
        <w:rPr>
          <w:rFonts w:ascii="Courier New" w:cs="Courier New" w:eastAsia="Courier New" w:hAnsi="Courier New"/>
          <w:sz w:val="14"/>
          <w:szCs w:val="14"/>
          <w:color w:val="auto"/>
        </w:rPr>
      </w:pPr>
    </w:p>
    <w:p>
      <w:pPr>
        <w:ind w:left="360" w:right="3899" w:firstLine="257"/>
        <w:spacing w:after="0" w:line="254" w:lineRule="auto"/>
        <w:tabs>
          <w:tab w:leader="none" w:pos="968"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Notes that have been authenticated, except lost, stolen or destroyed Notes that have been replaced or paid and Notes for whose payment money has been deposited in trust and thereafter repaid to Radio One, have been delivered to the trustee for cancellation; or</w:t>
      </w:r>
    </w:p>
    <w:p>
      <w:pPr>
        <w:spacing w:after="0" w:line="163" w:lineRule="exact"/>
        <w:rPr>
          <w:sz w:val="20"/>
          <w:szCs w:val="20"/>
          <w:color w:val="auto"/>
        </w:rPr>
      </w:pPr>
    </w:p>
    <w:p>
      <w:pPr>
        <w:ind w:left="360" w:right="3719" w:firstLine="257"/>
        <w:spacing w:after="0" w:line="254" w:lineRule="auto"/>
        <w:tabs>
          <w:tab w:leader="none" w:pos="968"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Notes that have not been delivered to the trustee for cancellation have become due and payable by reason of the mailing of a notice of redemption or otherwise or will become due and payable within one year and Radio One or any Guarantor has irrevocably deposited or caused to be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20" w:right="1440" w:bottom="1440" w:gutter="0" w:footer="0" w:header="0"/>
        </w:sectPr>
      </w:pPr>
    </w:p>
    <w:bookmarkStart w:id="73" w:name="page74"/>
    <w:bookmarkEnd w:id="73"/>
    <w:p>
      <w:pPr>
        <w:ind w:left="360" w:right="3719"/>
        <w:spacing w:after="0" w:line="253" w:lineRule="auto"/>
        <w:rPr>
          <w:sz w:val="20"/>
          <w:szCs w:val="20"/>
          <w:color w:val="auto"/>
        </w:rPr>
      </w:pPr>
      <w:r>
        <w:rPr>
          <w:rFonts w:ascii="Courier New" w:cs="Courier New" w:eastAsia="Courier New" w:hAnsi="Courier New"/>
          <w:sz w:val="14"/>
          <w:szCs w:val="14"/>
          <w:color w:val="auto"/>
        </w:rPr>
        <w:t>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165" w:lineRule="exact"/>
        <w:rPr>
          <w:sz w:val="20"/>
          <w:szCs w:val="20"/>
          <w:color w:val="auto"/>
        </w:rPr>
      </w:pPr>
    </w:p>
    <w:p>
      <w:pPr>
        <w:ind w:left="180" w:right="3539" w:firstLine="263"/>
        <w:spacing w:after="0" w:line="254" w:lineRule="auto"/>
        <w:tabs>
          <w:tab w:leader="none" w:pos="78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has occurred and is continuing on the date of the deposit or will occur as a result of the deposit and the deposit will not result in a breach or violation of, or constitute a default under, any other instrument to which Radio One or any Guarantor is a party or by which Radio One or any Guarantor is bound;</w:t>
      </w:r>
    </w:p>
    <w:p>
      <w:pPr>
        <w:spacing w:after="0" w:line="162" w:lineRule="exact"/>
        <w:rPr>
          <w:rFonts w:ascii="Courier New" w:cs="Courier New" w:eastAsia="Courier New" w:hAnsi="Courier New"/>
          <w:sz w:val="14"/>
          <w:szCs w:val="14"/>
          <w:color w:val="auto"/>
        </w:rPr>
      </w:pPr>
    </w:p>
    <w:p>
      <w:pPr>
        <w:ind w:left="180" w:right="3799" w:firstLine="263"/>
        <w:spacing w:after="0" w:line="258" w:lineRule="auto"/>
        <w:tabs>
          <w:tab w:leader="none" w:pos="78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or any Guarantor has paid or caused to be paid all sums payable by it under the Indenture; and</w:t>
      </w:r>
    </w:p>
    <w:p>
      <w:pPr>
        <w:spacing w:after="0" w:line="159" w:lineRule="exact"/>
        <w:rPr>
          <w:rFonts w:ascii="Courier New" w:cs="Courier New" w:eastAsia="Courier New" w:hAnsi="Courier New"/>
          <w:sz w:val="14"/>
          <w:szCs w:val="14"/>
          <w:color w:val="auto"/>
        </w:rPr>
      </w:pPr>
    </w:p>
    <w:p>
      <w:pPr>
        <w:ind w:left="180" w:right="3639" w:firstLine="263"/>
        <w:spacing w:after="0" w:line="255" w:lineRule="auto"/>
        <w:tabs>
          <w:tab w:leader="none" w:pos="78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has delivered irrevocable instructions to the trustee under the Indenture to apply the deposited money toward the payment of the Notes at maturity or the redemption date, as the case may be.</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 addition, Radio One must deliver an officers' certificate and an opinion of counsel, which may be subject to customary assumptions and exclusions, to the trustee stating that all conditions precedent to satisfaction and discharge have been satisfied.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Concerning the Trustee</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If the trustee becomes a creditor of Radio One or any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or resign.</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ind w:right="3539" w:firstLine="260"/>
        <w:spacing w:after="0" w:line="252" w:lineRule="auto"/>
        <w:rPr>
          <w:sz w:val="20"/>
          <w:szCs w:val="20"/>
          <w:color w:val="auto"/>
        </w:rPr>
      </w:pPr>
      <w:r>
        <w:rPr>
          <w:rFonts w:ascii="Courier New" w:cs="Courier New" w:eastAsia="Courier New" w:hAnsi="Courier New"/>
          <w:sz w:val="14"/>
          <w:szCs w:val="14"/>
          <w:color w:val="auto"/>
        </w:rPr>
        <w:t>Anyone who receives this prospectus may obtain a copy of the Indenture and registration rights agreement without charge by writing to Radio One,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5900 Princess Garden Parkway, 7th Floor, Lanham, Maryland 20706, Attention: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 Relations, or by sending an email message to invest@radio-one.com.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Book-Entry, Delivery and Form</w:t>
      </w:r>
    </w:p>
    <w:p>
      <w:pPr>
        <w:spacing w:after="0" w:line="175"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The Notes were offered and sold to qualified institutional buyers in reliance on Rule 144A ("Rule 144A Notes"). Notes also have been offered and sold in offshore transactions in reliance on Regulation S ("Regulation S Notes"). Except as set forth below, Notes will be issued in registered, global form in minimum denominations of $1,000 and integral multiples of $1,000 in excess of $1,000.</w:t>
      </w:r>
    </w:p>
    <w:p>
      <w:pPr>
        <w:spacing w:after="0" w:line="329"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Rule 144A Notes initially were represented by one or more Notes in registered, global form without interest coupons (collectively, the "Rule 144A Global Notes"). Regulation S Notes initially were represented by one or more temporary Notes in registered, global form without interest coupons (collectively, the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20" w:right="1440" w:bottom="1440" w:gutter="0" w:footer="0" w:header="0"/>
        </w:sectPr>
      </w:pPr>
    </w:p>
    <w:bookmarkStart w:id="74" w:name="page75"/>
    <w:bookmarkEnd w:id="74"/>
    <w:p>
      <w:pPr>
        <w:ind w:right="3379"/>
        <w:spacing w:after="0" w:line="252" w:lineRule="auto"/>
        <w:rPr>
          <w:sz w:val="20"/>
          <w:szCs w:val="20"/>
          <w:color w:val="auto"/>
        </w:rPr>
      </w:pPr>
      <w:r>
        <w:rPr>
          <w:rFonts w:ascii="Courier New" w:cs="Courier New" w:eastAsia="Courier New" w:hAnsi="Courier New"/>
          <w:sz w:val="14"/>
          <w:szCs w:val="14"/>
          <w:color w:val="auto"/>
        </w:rPr>
        <w:t>"Regulation S Temporary Global Notes"). The Rule 144A Global Notes and the Regulation S Temporary Global Notes were deposited upon issuance with the trustee as custodian for The Depository Trust Company ("DTC"), in New York, New York, and registered in the name of DTC or its nominee, in each case for credit to an account of a direct or indirect participant in DTC as described below. Through and including the 40th day after the later of the commencement of the offering to the initial purchasers and the closing of the offering to the initial purchasers (such period through and including such 40th day, the "Restricted Period"), beneficial interests in the Regulation S Temporary Global Notes were permitted to be held only through the Euroclear System ("Euroclear") and Clearstream Banking, S.A. ("Clearstream") (as indirect participants in DTC), unless transferred to a person that took delivery through a Rule 144A Global Note in accordance with the certification requirements described below. Within a reasonable time period after the expiration of the Restricted Period, the Regulation S Temporary Global Notes will be exchanged for one or more permanent Notes in registered, global form without interest coupons (collectively, the "Regulation S Permanent Global Notes" and, together with the Regulation S Temporary Global Notes, the "Regulation S Global Notes" (the Regulation S Global Notes and Rule 144A Global Notes, collectively being the "Global Notes")) upon delivery to DTC of certification of compliance with the transfer restrictions applicable to the Notes and pursuant to Regulation S as provided in the Indenture. Beneficial interests in the Rule 144A Global Notes may not be exchanged for beneficial interests in the Regulation S Global Notes at any time except in the limited circumstances described below. See "-- Exchanges between Regulation S Notes and Rule 144A Notes."</w:t>
      </w:r>
    </w:p>
    <w:p>
      <w:pPr>
        <w:spacing w:after="0" w:line="343"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Except as set forth below,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 "--Exchange of Book-Entry Notes for Certificated Notes." Except in the limited circumstances described below, owners of beneficial interests in the Global Notes will not be entitled to receive physical delivery of Notes in certificated form.</w:t>
      </w:r>
    </w:p>
    <w:p>
      <w:pPr>
        <w:spacing w:after="0" w:line="332"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Rule 144A Notes (including beneficial interests in the Rule 144A Global Notes) will be subject to certain restrictions on transfer and will bear a restrictive legend. Regulation S Notes will also bear the legend. 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Depository Procedures</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Radio One takes no responsibility for these operations and procedures and urges investors to contact the system or their participants directly to discuss these matters.</w:t>
      </w:r>
    </w:p>
    <w:p>
      <w:pPr>
        <w:spacing w:after="0" w:line="16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DTC has advised Radio One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(including the Initial Purchasers),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DTC has also advised Radio One that, pursuant to procedures established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20" w:right="1440" w:bottom="1440" w:gutter="0" w:footer="0" w:header="0"/>
        </w:sectPr>
      </w:pPr>
    </w:p>
    <w:bookmarkStart w:id="75" w:name="page76"/>
    <w:bookmarkEnd w:id="75"/>
    <w:p>
      <w:pPr>
        <w:ind w:left="180" w:right="3799" w:firstLine="263"/>
        <w:spacing w:after="0" w:line="255" w:lineRule="auto"/>
        <w:tabs>
          <w:tab w:leader="none" w:pos="788"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deposit of the Global Notes, DTC will credit the accounts of Participants designated by the Initial Purchasers with portions of the principal amount of the Global Notes; and</w:t>
      </w:r>
    </w:p>
    <w:p>
      <w:pPr>
        <w:spacing w:after="0" w:line="162"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62"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Investors in the Rule 144A Global Notes who are Participants in DTC's system may hold their interests therein directly through DTC. Investors in the Rule 144A Global Notes who are not Participants may hold their interests therein indirectly through organizations (including Euroclear and Clearstream) which are Participants in such system. Investors in the Regulation S Global Notes must initially hold their interests therein through Euroclear or Clearstream, if they are participants in such systems, or indirectly through organizations that are participants in such systems. After the expiration of the Restricted Period (but not earlier), investors may also hold interests in the Regulation S Global Notes through Participants in the DTC system other than Euroclear and Clearstream. Euroclear and Clearstream will hold interests in the Regulation S Global Notes on behalf of their participants through customers' securities accounts in their respective names on the books of their respective depositories, which are Morgan Guaranty Trust Company of New York, Brussels office, as operator of Euroclear, and Citibank, N.A., as operator of Clearstream.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77"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Except as described below, owners of interest in the Global Notes will not have Notes registered in their names, will not receive physical delivery of Notes in certificated form and will not be considered the registered owners or "Holders" thereof under the Indenture for any purpose.</w:t>
      </w:r>
    </w:p>
    <w:p>
      <w:pPr>
        <w:spacing w:after="0" w:line="163"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Payments in respect of the principal of, and interest and premium and Liquidated Damages, if any, on a Global Note registered in the name of DTC or its nominee will be payable to DTC in its capacity as the registered Holder under the Indenture. Under the terms of the Indenture, Radio One and the trustee will treat the Persons in whose names the Notes, including the Global Notes, are registered as the owners of the Notes for the purpose of receiving payments and for all other purposes. Consequently, neither Radio One, the trustee nor any agent of Radio One or the trustee has or will have any responsibility or liability for:</w:t>
      </w:r>
    </w:p>
    <w:p>
      <w:pPr>
        <w:spacing w:after="0" w:line="164" w:lineRule="exact"/>
        <w:rPr>
          <w:sz w:val="20"/>
          <w:szCs w:val="20"/>
          <w:color w:val="auto"/>
        </w:rPr>
      </w:pPr>
    </w:p>
    <w:p>
      <w:pPr>
        <w:ind w:left="180" w:right="3539" w:firstLine="263"/>
        <w:spacing w:after="0" w:line="253" w:lineRule="auto"/>
        <w:tabs>
          <w:tab w:leader="none" w:pos="78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165" w:lineRule="exact"/>
        <w:rPr>
          <w:rFonts w:ascii="Courier New" w:cs="Courier New" w:eastAsia="Courier New" w:hAnsi="Courier New"/>
          <w:sz w:val="14"/>
          <w:szCs w:val="14"/>
          <w:color w:val="auto"/>
        </w:rPr>
      </w:pPr>
    </w:p>
    <w:p>
      <w:pPr>
        <w:ind w:left="180" w:right="3539" w:firstLine="263"/>
        <w:spacing w:after="0" w:line="258" w:lineRule="auto"/>
        <w:tabs>
          <w:tab w:leader="none" w:pos="78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matter relating to the actions and practices of DTC or any of its Participants or Indirect Participants.</w:t>
      </w:r>
    </w:p>
    <w:p>
      <w:pPr>
        <w:spacing w:after="0" w:line="160"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DTC has advised Radio One that its current practice, upon receipt of any payment in respect of securities such as the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20" w:right="1440" w:bottom="1440" w:gutter="0" w:footer="0" w:header="0"/>
        </w:sectPr>
      </w:pPr>
    </w:p>
    <w:bookmarkStart w:id="76" w:name="page77"/>
    <w:bookmarkEnd w:id="76"/>
    <w:p>
      <w:pPr>
        <w:ind w:right="3459"/>
        <w:spacing w:after="0" w:line="254" w:lineRule="auto"/>
        <w:rPr>
          <w:sz w:val="20"/>
          <w:szCs w:val="20"/>
          <w:color w:val="auto"/>
        </w:rPr>
      </w:pPr>
      <w:r>
        <w:rPr>
          <w:rFonts w:ascii="Courier New" w:cs="Courier New" w:eastAsia="Courier New" w:hAnsi="Courier New"/>
          <w:sz w:val="14"/>
          <w:szCs w:val="14"/>
          <w:color w:val="auto"/>
        </w:rPr>
        <w:t>Participants and will not be the responsibility of DTC, the trustee or Radio One. Neither Radio One nor the trustee will be liable for any delay by DTC or any of its Participants in identifying the beneficial owners of the Notes, and Radio One and the trustee may conclusively rely on and will be protected in relying on instructions from DTC or its nominee for all purposes.</w:t>
      </w:r>
    </w:p>
    <w:p>
      <w:pPr>
        <w:spacing w:after="0" w:line="162"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Subject to applicable transfer restrictions, transfers between Participants in DTC will be effected in accordance with DTC's procedures, and will be settled in same-day funds, and transfers between participants in Euroclear and Clearstream will be effected in accordance with their respective rules and operating procedures.</w:t>
      </w:r>
    </w:p>
    <w:p>
      <w:pPr>
        <w:spacing w:after="0" w:line="162"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Subject to compliance with the transfer restrictions applicable to the Notes described herein, cross-market transfers between the Participants in DTC,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73"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DTC has advised Radio One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Although DTC, Euroclear and Clearstream have agreed to the foregoing procedures to facilitate transfers of interests in the Rule 144A Global Notes and the Regulation S Global Notes among participants in DTC, Euroclear and Clearstream, they are under no obligation to perform or to continue to perform such procedures, and may discontinue such procedures at any time. Neither Radio One nor the trustee nor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 Global Notes for Certificated Notes</w:t>
      </w:r>
    </w:p>
    <w:p>
      <w:pPr>
        <w:spacing w:after="0" w:line="175" w:lineRule="exact"/>
        <w:rPr>
          <w:sz w:val="20"/>
          <w:szCs w:val="20"/>
          <w:color w:val="auto"/>
        </w:rPr>
      </w:pPr>
    </w:p>
    <w:p>
      <w:pPr>
        <w:ind w:right="4419" w:firstLine="260"/>
        <w:spacing w:after="0" w:line="258" w:lineRule="auto"/>
        <w:rPr>
          <w:sz w:val="20"/>
          <w:szCs w:val="20"/>
          <w:color w:val="auto"/>
        </w:rPr>
      </w:pPr>
      <w:r>
        <w:rPr>
          <w:rFonts w:ascii="Courier New" w:cs="Courier New" w:eastAsia="Courier New" w:hAnsi="Courier New"/>
          <w:sz w:val="14"/>
          <w:szCs w:val="14"/>
          <w:color w:val="auto"/>
        </w:rPr>
        <w:t>A Global Note is exchangeable for definitive Notes in registered certificated form ("Certificated Notes") if:</w:t>
      </w:r>
    </w:p>
    <w:p>
      <w:pPr>
        <w:spacing w:after="0" w:line="160" w:lineRule="exact"/>
        <w:rPr>
          <w:sz w:val="20"/>
          <w:szCs w:val="20"/>
          <w:color w:val="auto"/>
        </w:rPr>
      </w:pPr>
    </w:p>
    <w:p>
      <w:pPr>
        <w:ind w:left="800" w:hanging="357"/>
        <w:spacing w:after="0"/>
        <w:tabs>
          <w:tab w:leader="none" w:pos="80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DTC (a) notifies Radio One that it is unwilling or unable to</w:t>
      </w:r>
    </w:p>
    <w:p>
      <w:pPr>
        <w:spacing w:after="0" w:line="8" w:lineRule="exact"/>
        <w:rPr>
          <w:rFonts w:ascii="Courier New" w:cs="Courier New" w:eastAsia="Courier New" w:hAnsi="Courier New"/>
          <w:sz w:val="14"/>
          <w:szCs w:val="14"/>
          <w:color w:val="auto"/>
        </w:rPr>
      </w:pPr>
    </w:p>
    <w:p>
      <w:pPr>
        <w:ind w:left="180" w:right="35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continue as depositary for the Global Notes and Radio One fails to appoint a successor depositary or (b) has ceased to be a clearing agency registered under the Exchange Act;</w:t>
      </w:r>
    </w:p>
    <w:p>
      <w:pPr>
        <w:spacing w:after="0" w:line="162" w:lineRule="exact"/>
        <w:rPr>
          <w:rFonts w:ascii="Courier New" w:cs="Courier New" w:eastAsia="Courier New" w:hAnsi="Courier New"/>
          <w:sz w:val="14"/>
          <w:szCs w:val="14"/>
          <w:color w:val="auto"/>
        </w:rPr>
      </w:pPr>
    </w:p>
    <w:p>
      <w:pPr>
        <w:ind w:left="180" w:right="3799" w:firstLine="263"/>
        <w:spacing w:after="0" w:line="258" w:lineRule="auto"/>
        <w:tabs>
          <w:tab w:leader="none" w:pos="78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at its option, notifies the trustee in writing that it elects to cause the issuance of the Certificated Notes; or</w:t>
      </w:r>
    </w:p>
    <w:p>
      <w:pPr>
        <w:spacing w:after="0" w:line="159" w:lineRule="exact"/>
        <w:rPr>
          <w:rFonts w:ascii="Courier New" w:cs="Courier New" w:eastAsia="Courier New" w:hAnsi="Courier New"/>
          <w:sz w:val="14"/>
          <w:szCs w:val="14"/>
          <w:color w:val="auto"/>
        </w:rPr>
      </w:pPr>
    </w:p>
    <w:p>
      <w:pPr>
        <w:ind w:left="180" w:right="3719" w:firstLine="263"/>
        <w:spacing w:after="0" w:line="258" w:lineRule="auto"/>
        <w:tabs>
          <w:tab w:leader="none" w:pos="78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occurred and is continuing a Default or Event of Default with respect to the Notes.</w:t>
      </w:r>
    </w:p>
    <w:p>
      <w:pPr>
        <w:spacing w:after="0" w:line="160"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20" w:right="1440" w:bottom="1440" w:gutter="0" w:footer="0" w:header="0"/>
        </w:sectPr>
      </w:pPr>
    </w:p>
    <w:bookmarkStart w:id="77" w:name="page78"/>
    <w:bookmarkEnd w:id="77"/>
    <w:p>
      <w:pPr>
        <w:ind w:right="3459"/>
        <w:spacing w:after="0" w:line="254" w:lineRule="auto"/>
        <w:rPr>
          <w:sz w:val="20"/>
          <w:szCs w:val="20"/>
          <w:color w:val="auto"/>
        </w:rPr>
      </w:pPr>
      <w:r>
        <w:rPr>
          <w:rFonts w:ascii="Courier New" w:cs="Courier New" w:eastAsia="Courier New" w:hAnsi="Courier New"/>
          <w:sz w:val="14"/>
          <w:szCs w:val="14"/>
          <w:color w:val="auto"/>
        </w:rPr>
        <w:t>the names, and issued in any approved denominations, requested by or on behalf of the depositary (in accordance with its customary procedures) and will bear the applicable restrictive legend, unless that legend is not required by applicable law.</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 Certificated Notes for Global Notes</w:t>
      </w:r>
    </w:p>
    <w:p>
      <w:pPr>
        <w:spacing w:after="0" w:line="17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Exchanges Between Regulation S Notes and Rule 144A Notes</w:t>
      </w:r>
    </w:p>
    <w:p>
      <w:pPr>
        <w:spacing w:after="0" w:line="175" w:lineRule="exact"/>
        <w:rPr>
          <w:sz w:val="20"/>
          <w:szCs w:val="20"/>
          <w:color w:val="auto"/>
        </w:rPr>
      </w:pPr>
    </w:p>
    <w:p>
      <w:pPr>
        <w:ind w:right="3539" w:firstLine="260"/>
        <w:spacing w:after="0" w:line="255" w:lineRule="auto"/>
        <w:rPr>
          <w:sz w:val="20"/>
          <w:szCs w:val="20"/>
          <w:color w:val="auto"/>
        </w:rPr>
      </w:pPr>
      <w:r>
        <w:rPr>
          <w:rFonts w:ascii="Courier New" w:cs="Courier New" w:eastAsia="Courier New" w:hAnsi="Courier New"/>
          <w:sz w:val="14"/>
          <w:szCs w:val="14"/>
          <w:color w:val="auto"/>
        </w:rPr>
        <w:t>Prior to the expiration of the Restricted Period, beneficial interests in the Regulation S Global Note may be exchanged for beneficial interests in the Rule 144A Global Note only if:</w:t>
      </w:r>
    </w:p>
    <w:p>
      <w:pPr>
        <w:spacing w:after="0" w:line="162" w:lineRule="exact"/>
        <w:rPr>
          <w:sz w:val="20"/>
          <w:szCs w:val="20"/>
          <w:color w:val="auto"/>
        </w:rPr>
      </w:pPr>
    </w:p>
    <w:p>
      <w:pPr>
        <w:ind w:left="180" w:right="3979" w:firstLine="263"/>
        <w:spacing w:after="0" w:line="258" w:lineRule="auto"/>
        <w:tabs>
          <w:tab w:leader="none" w:pos="78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exchange occurs in connection with a transfer of the Notes pursuant to Rule 144A; and</w:t>
      </w:r>
    </w:p>
    <w:p>
      <w:pPr>
        <w:spacing w:after="0" w:line="159" w:lineRule="exact"/>
        <w:rPr>
          <w:rFonts w:ascii="Courier New" w:cs="Courier New" w:eastAsia="Courier New" w:hAnsi="Courier New"/>
          <w:sz w:val="14"/>
          <w:szCs w:val="14"/>
          <w:color w:val="auto"/>
        </w:rPr>
      </w:pPr>
    </w:p>
    <w:p>
      <w:pPr>
        <w:ind w:left="180" w:right="3719" w:firstLine="263"/>
        <w:spacing w:after="0" w:line="255" w:lineRule="auto"/>
        <w:tabs>
          <w:tab w:leader="none" w:pos="78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transferor first delivers to the trustee a written certificate (in the form provided in the Indenture) to the effect that the Notes are being transferred to a Person:</w:t>
      </w:r>
    </w:p>
    <w:p>
      <w:pPr>
        <w:spacing w:after="0" w:line="162" w:lineRule="exact"/>
        <w:rPr>
          <w:rFonts w:ascii="Courier New" w:cs="Courier New" w:eastAsia="Courier New" w:hAnsi="Courier New"/>
          <w:sz w:val="14"/>
          <w:szCs w:val="14"/>
          <w:color w:val="auto"/>
        </w:rPr>
      </w:pPr>
    </w:p>
    <w:p>
      <w:pPr>
        <w:ind w:left="360" w:right="4419" w:firstLine="257"/>
        <w:spacing w:after="0" w:line="258" w:lineRule="auto"/>
        <w:tabs>
          <w:tab w:leader="none" w:pos="968"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the transferor reasonably believes to be a qualified institutional buyer within the meaning of Rule 144A;</w:t>
      </w:r>
    </w:p>
    <w:p>
      <w:pPr>
        <w:spacing w:after="0" w:line="159" w:lineRule="exact"/>
        <w:rPr>
          <w:rFonts w:ascii="Courier New" w:cs="Courier New" w:eastAsia="Courier New" w:hAnsi="Courier New"/>
          <w:sz w:val="14"/>
          <w:szCs w:val="14"/>
          <w:color w:val="auto"/>
        </w:rPr>
      </w:pPr>
    </w:p>
    <w:p>
      <w:pPr>
        <w:ind w:left="360" w:right="3899" w:firstLine="257"/>
        <w:spacing w:after="0" w:line="255" w:lineRule="auto"/>
        <w:tabs>
          <w:tab w:leader="none" w:pos="968"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purchasing for its own account or the account of a qualified institutional buyer in a transaction meeting the requirements of Rule 144A; and</w:t>
      </w:r>
    </w:p>
    <w:p>
      <w:pPr>
        <w:spacing w:after="0" w:line="162" w:lineRule="exact"/>
        <w:rPr>
          <w:rFonts w:ascii="Courier New" w:cs="Courier New" w:eastAsia="Courier New" w:hAnsi="Courier New"/>
          <w:sz w:val="14"/>
          <w:szCs w:val="14"/>
          <w:color w:val="auto"/>
        </w:rPr>
      </w:pPr>
    </w:p>
    <w:p>
      <w:pPr>
        <w:ind w:left="360" w:right="3799" w:firstLine="257"/>
        <w:spacing w:after="0" w:line="258" w:lineRule="auto"/>
        <w:tabs>
          <w:tab w:leader="none" w:pos="968"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all applicable securities laws of the states of the United States and other jurisdictions.</w:t>
      </w:r>
    </w:p>
    <w:p>
      <w:pPr>
        <w:spacing w:after="0" w:line="160"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Beneficial interest in a Rule 144A Global Note may be transferred to a Person who takes delivery in the form of an interest in the Regulation S Global Note, whether before or after the expiration of the Restricted Period, only if the transferor first delivers to the trustee a written certificate (in the form provided in the Indenture) to the effect that such transfer is being made in accordance with Rule 903 or 904 of Regulation S or Rule 144 (if available) and that, if such transfer occurs prior to the expiration of the Restricted Period, the interest transferred will be held immediately thereafter through Euroclear or Clearstream.</w:t>
      </w:r>
    </w:p>
    <w:p>
      <w:pPr>
        <w:spacing w:after="0" w:line="164"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Transfers involving exchanges of beneficial interests between the Regulation S Global Notes and the Rule 144A Global Notes will be effected in DTC by means of an instruction originated by the trustee through the DTC Deposit/Withdraw at Custodian system. Accordingly, in connection with any such transfer, appropriate adjustments will be made to reflect a decrease in the principal amount of the Regulation S Global Note and a corresponding increase in the principal amount of the Rule 144A Global Note or vice versa, as applicable. Any beneficial interest in one of the Global Notes that is transferred to a Person who takes delivery in the form of an interest in the other Global Note will, upon transfer, cease to be an interest in such Global Note and will become an interest in the other Global Note and, accordingly, will thereafter be subject to all transfer restrictions and other procedures applicable to beneficial interest in such other Global Note for so long as it remains such an interest. The policies and practices of DTC may prohibit transfers of beneficial interests in the Regulation S Global Note prior to the expiration of the Restricted Period.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 Certifications by Holders of the Regulation S Temporary Global Notes</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A holder of a beneficial interest in the Regulation S Temporary Global Notes must provide Euroclear or Clearstream, as the case may be, with a certificate in the form required by the Indenture certifying that the beneficial owner of the interest in the Regulation S Temporary Global Notes is either not a United States Person (as defined below) or has purchased such interest in a transaction that is exempt from the registration requirements under the Securities Act (the "Regulation S Certificate"), and Euroclear or Clearstream, as the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20" w:right="1440" w:bottom="1440" w:gutter="0" w:footer="0" w:header="0"/>
        </w:sectPr>
      </w:pPr>
    </w:p>
    <w:bookmarkStart w:id="78" w:name="page79"/>
    <w:bookmarkEnd w:id="78"/>
    <w:p>
      <w:pPr>
        <w:ind w:right="3379"/>
        <w:spacing w:after="0" w:line="254" w:lineRule="auto"/>
        <w:rPr>
          <w:sz w:val="20"/>
          <w:szCs w:val="20"/>
          <w:color w:val="auto"/>
        </w:rPr>
      </w:pPr>
      <w:r>
        <w:rPr>
          <w:rFonts w:ascii="Courier New" w:cs="Courier New" w:eastAsia="Courier New" w:hAnsi="Courier New"/>
          <w:sz w:val="14"/>
          <w:szCs w:val="14"/>
          <w:color w:val="auto"/>
        </w:rPr>
        <w:t>case may be, must provide to the trustee (or the paying agent if other than the trustee) a certificate in the form required by the Indenture, prior to any exchange of such beneficial interest for a beneficial interest in the Regulation S Permanent Global Notes.</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"U.S. Person" means</w:t>
      </w:r>
    </w:p>
    <w:p>
      <w:pPr>
        <w:spacing w:after="0" w:line="175" w:lineRule="exact"/>
        <w:rPr>
          <w:sz w:val="20"/>
          <w:szCs w:val="20"/>
          <w:color w:val="auto"/>
        </w:rPr>
      </w:pPr>
    </w:p>
    <w:p>
      <w:pPr>
        <w:ind w:left="800" w:hanging="357"/>
        <w:spacing w:after="0"/>
        <w:tabs>
          <w:tab w:leader="none" w:pos="80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individual resident in the United States;</w:t>
      </w:r>
    </w:p>
    <w:p>
      <w:pPr>
        <w:spacing w:after="0" w:line="175" w:lineRule="exact"/>
        <w:rPr>
          <w:rFonts w:ascii="Courier New" w:cs="Courier New" w:eastAsia="Courier New" w:hAnsi="Courier New"/>
          <w:sz w:val="14"/>
          <w:szCs w:val="14"/>
          <w:color w:val="auto"/>
        </w:rPr>
      </w:pPr>
    </w:p>
    <w:p>
      <w:pPr>
        <w:ind w:left="180" w:right="3719" w:firstLine="263"/>
        <w:spacing w:after="0" w:line="258" w:lineRule="auto"/>
        <w:tabs>
          <w:tab w:leader="none" w:pos="78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partnership or corporation organized or incorporated under the laws of the United States;</w:t>
      </w:r>
    </w:p>
    <w:p>
      <w:pPr>
        <w:spacing w:after="0" w:line="159" w:lineRule="exact"/>
        <w:rPr>
          <w:rFonts w:ascii="Courier New" w:cs="Courier New" w:eastAsia="Courier New" w:hAnsi="Courier New"/>
          <w:sz w:val="14"/>
          <w:szCs w:val="14"/>
          <w:color w:val="auto"/>
        </w:rPr>
      </w:pPr>
    </w:p>
    <w:p>
      <w:pPr>
        <w:jc w:val="both"/>
        <w:ind w:left="180" w:right="3639" w:firstLine="263"/>
        <w:spacing w:after="0" w:line="254" w:lineRule="auto"/>
        <w:tabs>
          <w:tab w:leader="none" w:pos="78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estate of which an executor or administrator is a United States Person (other than an estate governed by foreign law and of which at least one executor or administrator is a non-U.S. Person who has sole or shared investment discretion with respect to its assets);</w:t>
      </w:r>
    </w:p>
    <w:p>
      <w:pPr>
        <w:spacing w:after="0" w:line="163"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trust of which any trustee is a United States Person (other than a trust of which at least one trustee is a non-U.S. Person who has sole or shared investment discretion with respect to its assets and no beneficiary of the trust (and no settler if the trust is revocable) is a United States Person);</w:t>
      </w:r>
    </w:p>
    <w:p>
      <w:pPr>
        <w:spacing w:after="0" w:line="162"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agency or branch of a foreign entity located in the United</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States;</w:t>
      </w:r>
    </w:p>
    <w:p>
      <w:pPr>
        <w:spacing w:after="0" w:line="175" w:lineRule="exact"/>
        <w:rPr>
          <w:rFonts w:ascii="Courier New" w:cs="Courier New" w:eastAsia="Courier New" w:hAnsi="Courier New"/>
          <w:sz w:val="14"/>
          <w:szCs w:val="14"/>
          <w:color w:val="auto"/>
        </w:rPr>
      </w:pPr>
    </w:p>
    <w:p>
      <w:pPr>
        <w:ind w:left="180" w:right="3639" w:firstLine="263"/>
        <w:spacing w:after="0" w:line="255" w:lineRule="auto"/>
        <w:tabs>
          <w:tab w:leader="none" w:pos="78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non-discretionary or similar account (other than an estate or trust) held by a dealer or other fiduciary for the benefit or account of a United States Person;</w:t>
      </w:r>
    </w:p>
    <w:p>
      <w:pPr>
        <w:spacing w:after="0" w:line="162"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discretionary or similar account (other than an estate or trust) held by a dealer of other fiduciary organized, incorporated or (if an individual) resident in the United States (other than such an account held for the benefit or account of a non-U.S. Person);</w:t>
      </w:r>
    </w:p>
    <w:p>
      <w:pPr>
        <w:spacing w:after="0" w:line="163" w:lineRule="exact"/>
        <w:rPr>
          <w:rFonts w:ascii="Courier New" w:cs="Courier New" w:eastAsia="Courier New" w:hAnsi="Courier New"/>
          <w:sz w:val="14"/>
          <w:szCs w:val="14"/>
          <w:color w:val="auto"/>
        </w:rPr>
      </w:pPr>
    </w:p>
    <w:p>
      <w:pPr>
        <w:ind w:left="180" w:right="3539" w:firstLine="263"/>
        <w:spacing w:after="0" w:line="253" w:lineRule="auto"/>
        <w:tabs>
          <w:tab w:leader="none" w:pos="78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partnership or corporation organized or incorporated under the laws of a foreign jurisdiction and formed by a United States Person principally for the purpose of investing in securities not registered under the Securities Act (unless it is organized or incorporated, and owned, by accredited investors within the meaning of Rule 501(a) under the Securities Act who are not natural persons, estates or trusts); provided, however, that the term "U.S. Person" will not include:</w:t>
      </w:r>
    </w:p>
    <w:p>
      <w:pPr>
        <w:spacing w:after="0" w:line="164" w:lineRule="exact"/>
        <w:rPr>
          <w:rFonts w:ascii="Courier New" w:cs="Courier New" w:eastAsia="Courier New" w:hAnsi="Courier New"/>
          <w:sz w:val="14"/>
          <w:szCs w:val="14"/>
          <w:color w:val="auto"/>
        </w:rPr>
      </w:pPr>
    </w:p>
    <w:p>
      <w:pPr>
        <w:ind w:left="360" w:right="3719" w:firstLine="257"/>
        <w:spacing w:after="0" w:line="254" w:lineRule="auto"/>
        <w:tabs>
          <w:tab w:leader="none" w:pos="968"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branch or agency of a United States Person that is located and operating outside the United States for valid business purposes as a locally regulated branch or agency engaged in the banking or insurance business;</w:t>
      </w:r>
    </w:p>
    <w:p>
      <w:pPr>
        <w:spacing w:after="0" w:line="163" w:lineRule="exact"/>
        <w:rPr>
          <w:rFonts w:ascii="Courier New" w:cs="Courier New" w:eastAsia="Courier New" w:hAnsi="Courier New"/>
          <w:sz w:val="14"/>
          <w:szCs w:val="14"/>
          <w:color w:val="auto"/>
        </w:rPr>
      </w:pPr>
    </w:p>
    <w:p>
      <w:pPr>
        <w:ind w:left="360" w:right="4059" w:firstLine="257"/>
        <w:spacing w:after="0" w:line="255" w:lineRule="auto"/>
        <w:tabs>
          <w:tab w:leader="none" w:pos="968"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employee benefit plan established and administered in accordance with the law, customary practices and documentation of a foreign country; and</w:t>
      </w:r>
    </w:p>
    <w:p>
      <w:pPr>
        <w:spacing w:after="0" w:line="162" w:lineRule="exact"/>
        <w:rPr>
          <w:rFonts w:ascii="Courier New" w:cs="Courier New" w:eastAsia="Courier New" w:hAnsi="Courier New"/>
          <w:sz w:val="14"/>
          <w:szCs w:val="14"/>
          <w:color w:val="auto"/>
        </w:rPr>
      </w:pPr>
    </w:p>
    <w:p>
      <w:pPr>
        <w:ind w:left="960" w:hanging="343"/>
        <w:spacing w:after="0"/>
        <w:tabs>
          <w:tab w:leader="none" w:pos="96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international organizations set forth in Section 902(o)(7)</w:t>
      </w:r>
    </w:p>
    <w:p>
      <w:pPr>
        <w:spacing w:after="0" w:line="8" w:lineRule="exact"/>
        <w:rPr>
          <w:sz w:val="20"/>
          <w:szCs w:val="20"/>
          <w:color w:val="auto"/>
        </w:rPr>
      </w:pPr>
    </w:p>
    <w:p>
      <w:pPr>
        <w:ind w:left="360" w:right="3719"/>
        <w:spacing w:after="0" w:line="255" w:lineRule="auto"/>
        <w:rPr>
          <w:sz w:val="20"/>
          <w:szCs w:val="20"/>
          <w:color w:val="auto"/>
        </w:rPr>
      </w:pPr>
      <w:r>
        <w:rPr>
          <w:rFonts w:ascii="Courier New" w:cs="Courier New" w:eastAsia="Courier New" w:hAnsi="Courier New"/>
          <w:sz w:val="14"/>
          <w:szCs w:val="14"/>
          <w:color w:val="auto"/>
        </w:rPr>
        <w:t>of Regulation S under the Securities Act and any other similar international organizations, and their agencies, affiliates and pension plans.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Same Day Settlement and Payment</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Radio One will make payments in respect of the Notes represented by the Global Notes (including principal, premium, if any, interest and Liquidated Damages, if any) by wire transfer of immediately available funds to the accounts specified by the Global Note Holder. Radio One will make all payments of principal, interest and premium and Liquidated Damages,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trade in DTC's Same-Day Funds Settlement System, and any permitted secondary market trading activity in such Notes will, therefore, be required by DTC to be settled in immediately available funds. Radio One expects that secondary trading in any Certificated Notes will also be settled in immediately available funds.</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20" w:right="1440" w:bottom="1440" w:gutter="0" w:footer="0" w:header="0"/>
        </w:sectPr>
      </w:pPr>
    </w:p>
    <w:bookmarkStart w:id="79" w:name="page80"/>
    <w:bookmarkEnd w:id="79"/>
    <w:p>
      <w:pPr>
        <w:ind w:right="3379" w:firstLine="260"/>
        <w:spacing w:after="0" w:line="253" w:lineRule="auto"/>
        <w:rPr>
          <w:sz w:val="20"/>
          <w:szCs w:val="20"/>
          <w:color w:val="auto"/>
        </w:rPr>
      </w:pPr>
      <w:r>
        <w:rPr>
          <w:rFonts w:ascii="Courier New" w:cs="Courier New" w:eastAsia="Courier New" w:hAnsi="Courier New"/>
          <w:sz w:val="14"/>
          <w:szCs w:val="14"/>
          <w:color w:val="auto"/>
        </w:rPr>
        <w:t>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Radio One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Definitions</w:t>
      </w:r>
    </w:p>
    <w:p>
      <w:pPr>
        <w:spacing w:after="0" w:line="175" w:lineRule="exact"/>
        <w:rPr>
          <w:sz w:val="20"/>
          <w:szCs w:val="20"/>
          <w:color w:val="auto"/>
        </w:rPr>
      </w:pPr>
    </w:p>
    <w:p>
      <w:pPr>
        <w:ind w:right="3539" w:firstLine="260"/>
        <w:spacing w:after="0" w:line="255" w:lineRule="auto"/>
        <w:rPr>
          <w:sz w:val="20"/>
          <w:szCs w:val="20"/>
          <w:color w:val="auto"/>
        </w:rPr>
      </w:pPr>
      <w:r>
        <w:rPr>
          <w:rFonts w:ascii="Courier New" w:cs="Courier New" w:eastAsia="Courier New" w:hAnsi="Courier New"/>
          <w:sz w:val="14"/>
          <w:szCs w:val="14"/>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"Acquired Debt" means, with respect to any specified Person:</w:t>
      </w:r>
    </w:p>
    <w:p>
      <w:pPr>
        <w:spacing w:after="0" w:line="175" w:lineRule="exact"/>
        <w:rPr>
          <w:sz w:val="20"/>
          <w:szCs w:val="20"/>
          <w:color w:val="auto"/>
        </w:rPr>
      </w:pPr>
    </w:p>
    <w:p>
      <w:pPr>
        <w:ind w:left="180" w:right="3539" w:firstLine="263"/>
        <w:spacing w:after="0" w:line="254" w:lineRule="auto"/>
        <w:tabs>
          <w:tab w:leader="none" w:pos="788"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162" w:lineRule="exact"/>
        <w:rPr>
          <w:rFonts w:ascii="Courier New" w:cs="Courier New" w:eastAsia="Courier New" w:hAnsi="Courier New"/>
          <w:sz w:val="14"/>
          <w:szCs w:val="14"/>
          <w:color w:val="auto"/>
        </w:rPr>
      </w:pPr>
    </w:p>
    <w:p>
      <w:pPr>
        <w:ind w:left="180" w:right="3899" w:firstLine="263"/>
        <w:spacing w:after="0" w:line="258" w:lineRule="auto"/>
        <w:tabs>
          <w:tab w:leader="none" w:pos="788"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secured by a Lien encumbering any asset acquired by such specified Person.</w:t>
      </w:r>
    </w:p>
    <w:p>
      <w:pPr>
        <w:spacing w:after="0" w:line="160"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"Acquisition Debt" means Indebtedness the proceeds of which are utilized solely to (x) acquire all or substantially all of the assets or a majority of the Voting Stock of an existing radio broadcasting business or station or (y) finance an LMA (including to repay or refinance indebtedness or other obligations incurred in connection with such acquisition or LMA, as the case may be, and to pay related fees and expenses).</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"Affiliate"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33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"Asset Sale" means:</w:t>
      </w:r>
    </w:p>
    <w:p>
      <w:pPr>
        <w:spacing w:after="0" w:line="175" w:lineRule="exact"/>
        <w:rPr>
          <w:sz w:val="20"/>
          <w:szCs w:val="20"/>
          <w:color w:val="auto"/>
        </w:rPr>
      </w:pPr>
    </w:p>
    <w:p>
      <w:pPr>
        <w:ind w:left="180" w:right="3639" w:firstLine="263"/>
        <w:spacing w:after="0" w:line="253" w:lineRule="auto"/>
        <w:tabs>
          <w:tab w:leader="none" w:pos="788"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lease, conveyance or other disposition of any assets or rights, other than in the ordinary course of business; provided that the sale, conveyance or other disposition of all or substantially all of the assets of Radio One and its Subsidiaries taken as a whole will be governed by the provisions of the Indenture described above under the caption "-- Repurchase at the Option of Holders--Change of Control" and/or the provisions described above under the caption "--Certain Covenants--Merger, Consolidation or Sale of Assets" and not by the provisions of the Asset Sale covenant; and</w:t>
      </w:r>
    </w:p>
    <w:p>
      <w:pPr>
        <w:spacing w:after="0" w:line="164" w:lineRule="exact"/>
        <w:rPr>
          <w:rFonts w:ascii="Courier New" w:cs="Courier New" w:eastAsia="Courier New" w:hAnsi="Courier New"/>
          <w:sz w:val="14"/>
          <w:szCs w:val="14"/>
          <w:color w:val="auto"/>
        </w:rPr>
      </w:pPr>
    </w:p>
    <w:p>
      <w:pPr>
        <w:ind w:left="180" w:right="3799" w:firstLine="263"/>
        <w:spacing w:after="0" w:line="255" w:lineRule="auto"/>
        <w:tabs>
          <w:tab w:leader="none" w:pos="788"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of Equity Interests in any of Radio One's Restricted Subsidiaries or the sale of Equity Interests in any of its Restricted Subsidiaries.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Notwithstanding the preceding, the following items will not be deemed to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Sales:</w:t>
      </w:r>
    </w:p>
    <w:p>
      <w:pPr>
        <w:spacing w:after="0" w:line="175" w:lineRule="exact"/>
        <w:rPr>
          <w:sz w:val="20"/>
          <w:szCs w:val="20"/>
          <w:color w:val="auto"/>
        </w:rPr>
      </w:pPr>
    </w:p>
    <w:p>
      <w:pPr>
        <w:ind w:left="180" w:right="4159" w:firstLine="263"/>
        <w:spacing w:after="0" w:line="258" w:lineRule="auto"/>
        <w:tabs>
          <w:tab w:leader="none" w:pos="788"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single transaction or series of related transactions that involves assets having a fair market value of $1.0 million or less;</w:t>
      </w:r>
    </w:p>
    <w:p>
      <w:pPr>
        <w:spacing w:after="0" w:line="159" w:lineRule="exact"/>
        <w:rPr>
          <w:rFonts w:ascii="Courier New" w:cs="Courier New" w:eastAsia="Courier New" w:hAnsi="Courier New"/>
          <w:sz w:val="14"/>
          <w:szCs w:val="14"/>
          <w:color w:val="auto"/>
        </w:rPr>
      </w:pPr>
    </w:p>
    <w:p>
      <w:pPr>
        <w:ind w:left="180" w:right="4679" w:firstLine="263"/>
        <w:spacing w:after="0" w:line="258" w:lineRule="auto"/>
        <w:tabs>
          <w:tab w:leader="none" w:pos="788"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transfer of assets between or among Radio One and its Subsidiaries;</w:t>
      </w:r>
    </w:p>
    <w:p>
      <w:pPr>
        <w:spacing w:after="0" w:line="159" w:lineRule="exact"/>
        <w:rPr>
          <w:rFonts w:ascii="Courier New" w:cs="Courier New" w:eastAsia="Courier New" w:hAnsi="Courier New"/>
          <w:sz w:val="14"/>
          <w:szCs w:val="14"/>
          <w:color w:val="auto"/>
        </w:rPr>
      </w:pPr>
    </w:p>
    <w:p>
      <w:pPr>
        <w:ind w:left="180" w:right="3719" w:firstLine="263"/>
        <w:spacing w:after="0" w:line="258" w:lineRule="auto"/>
        <w:tabs>
          <w:tab w:leader="none" w:pos="788"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issuance of Equity Interests by a Subsidiary to Radio One or to another Subsidiary;</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20" w:right="1440" w:bottom="1440" w:gutter="0" w:footer="0" w:header="0"/>
        </w:sectPr>
      </w:pPr>
    </w:p>
    <w:bookmarkStart w:id="80" w:name="page81"/>
    <w:bookmarkEnd w:id="80"/>
    <w:p>
      <w:pPr>
        <w:ind w:left="180" w:right="3799" w:firstLine="263"/>
        <w:spacing w:after="0" w:line="258" w:lineRule="auto"/>
        <w:tabs>
          <w:tab w:leader="none" w:pos="788"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or lease of equipment, inventory, accounts receivable or other assets in the ordinary course of business;</w:t>
      </w:r>
    </w:p>
    <w:p>
      <w:pPr>
        <w:spacing w:after="0" w:line="159" w:lineRule="exact"/>
        <w:rPr>
          <w:rFonts w:ascii="Courier New" w:cs="Courier New" w:eastAsia="Courier New" w:hAnsi="Courier New"/>
          <w:sz w:val="14"/>
          <w:szCs w:val="14"/>
          <w:color w:val="auto"/>
        </w:rPr>
      </w:pPr>
    </w:p>
    <w:p>
      <w:pPr>
        <w:ind w:left="180" w:right="4419" w:firstLine="263"/>
        <w:spacing w:after="0" w:line="258" w:lineRule="auto"/>
        <w:tabs>
          <w:tab w:leader="none" w:pos="788"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and leaseback of any assets within 90 days of the acquisition thereof;</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foreclosures on assets;</w:t>
      </w:r>
    </w:p>
    <w:p>
      <w:pPr>
        <w:spacing w:after="0" w:line="175" w:lineRule="exact"/>
        <w:rPr>
          <w:rFonts w:ascii="Courier New" w:cs="Courier New" w:eastAsia="Courier New" w:hAnsi="Courier New"/>
          <w:sz w:val="14"/>
          <w:szCs w:val="14"/>
          <w:color w:val="auto"/>
        </w:rPr>
      </w:pPr>
    </w:p>
    <w:p>
      <w:pPr>
        <w:ind w:left="180" w:right="4239" w:firstLine="263"/>
        <w:spacing w:after="0" w:line="258" w:lineRule="auto"/>
        <w:tabs>
          <w:tab w:leader="none" w:pos="788"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disposition of equipment no longer used or useful in the business of such entity;</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or other disposition of cash or Cash Equivalents;</w:t>
      </w:r>
    </w:p>
    <w:p>
      <w:pPr>
        <w:spacing w:after="0" w:line="175" w:lineRule="exact"/>
        <w:rPr>
          <w:rFonts w:ascii="Courier New" w:cs="Courier New" w:eastAsia="Courier New" w:hAnsi="Courier New"/>
          <w:sz w:val="14"/>
          <w:szCs w:val="14"/>
          <w:color w:val="auto"/>
        </w:rPr>
      </w:pPr>
    </w:p>
    <w:p>
      <w:pPr>
        <w:ind w:left="180" w:right="3799" w:firstLine="263"/>
        <w:spacing w:after="0" w:line="255" w:lineRule="auto"/>
        <w:tabs>
          <w:tab w:leader="none" w:pos="788"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Restricted Payment or Permitted Investment that is permitted by the covenant described above under the caption "--Certain Covenants-- Restricted Payments;" and</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licensing of intellectual property.</w:t>
      </w:r>
    </w:p>
    <w:p>
      <w:pPr>
        <w:spacing w:after="0" w:line="175"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"Beneficial Owner"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have a corresponding meaning.</w:t>
      </w:r>
    </w:p>
    <w:p>
      <w:pPr>
        <w:spacing w:after="0" w:line="33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"Board of Directors" means:</w:t>
      </w:r>
    </w:p>
    <w:p>
      <w:pPr>
        <w:spacing w:after="0" w:line="175" w:lineRule="exact"/>
        <w:rPr>
          <w:sz w:val="20"/>
          <w:szCs w:val="20"/>
          <w:color w:val="auto"/>
        </w:rPr>
      </w:pPr>
    </w:p>
    <w:p>
      <w:pPr>
        <w:ind w:left="180" w:right="4239" w:firstLine="263"/>
        <w:spacing w:after="0" w:line="258" w:lineRule="auto"/>
        <w:tabs>
          <w:tab w:leader="none" w:pos="788"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 corporation, the board of directors of the corporation;</w:t>
      </w:r>
    </w:p>
    <w:p>
      <w:pPr>
        <w:spacing w:after="0" w:line="159" w:lineRule="exact"/>
        <w:rPr>
          <w:rFonts w:ascii="Courier New" w:cs="Courier New" w:eastAsia="Courier New" w:hAnsi="Courier New"/>
          <w:sz w:val="14"/>
          <w:szCs w:val="14"/>
          <w:color w:val="auto"/>
        </w:rPr>
      </w:pPr>
    </w:p>
    <w:p>
      <w:pPr>
        <w:ind w:left="180" w:right="3539" w:firstLine="263"/>
        <w:spacing w:after="0" w:line="258" w:lineRule="auto"/>
        <w:tabs>
          <w:tab w:leader="none" w:pos="788"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 partnership, the board of directors of the general partner of the partnership; and</w:t>
      </w:r>
    </w:p>
    <w:p>
      <w:pPr>
        <w:spacing w:after="0" w:line="159" w:lineRule="exact"/>
        <w:rPr>
          <w:rFonts w:ascii="Courier New" w:cs="Courier New" w:eastAsia="Courier New" w:hAnsi="Courier New"/>
          <w:sz w:val="14"/>
          <w:szCs w:val="14"/>
          <w:color w:val="auto"/>
        </w:rPr>
      </w:pPr>
    </w:p>
    <w:p>
      <w:pPr>
        <w:ind w:left="180" w:right="3899" w:firstLine="263"/>
        <w:spacing w:after="0" w:line="258" w:lineRule="auto"/>
        <w:tabs>
          <w:tab w:leader="none" w:pos="788"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other Person, the board or committee of such Person serving a similar function.</w:t>
      </w:r>
    </w:p>
    <w:p>
      <w:pPr>
        <w:spacing w:after="0" w:line="160"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"Capital Lease Obligation" means, at the time any determination is to be made, the amount of the liability in respect of a capital lease that would at that time be required to be capitalized on a balance sheet in accordance with GAAP.</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"Capital Stock" means:</w:t>
      </w:r>
    </w:p>
    <w:p>
      <w:pPr>
        <w:spacing w:after="0" w:line="175" w:lineRule="exact"/>
        <w:rPr>
          <w:sz w:val="20"/>
          <w:szCs w:val="20"/>
          <w:color w:val="auto"/>
        </w:rPr>
      </w:pPr>
    </w:p>
    <w:p>
      <w:pPr>
        <w:ind w:left="800" w:hanging="357"/>
        <w:spacing w:after="0"/>
        <w:tabs>
          <w:tab w:leader="none" w:pos="80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corporation, corporate stock;</w:t>
      </w:r>
    </w:p>
    <w:p>
      <w:pPr>
        <w:spacing w:after="0" w:line="175" w:lineRule="exact"/>
        <w:rPr>
          <w:rFonts w:ascii="Courier New" w:cs="Courier New" w:eastAsia="Courier New" w:hAnsi="Courier New"/>
          <w:sz w:val="14"/>
          <w:szCs w:val="14"/>
          <w:color w:val="auto"/>
        </w:rPr>
      </w:pPr>
    </w:p>
    <w:p>
      <w:pPr>
        <w:ind w:left="180" w:right="3899" w:firstLine="263"/>
        <w:spacing w:after="0" w:line="255" w:lineRule="auto"/>
        <w:tabs>
          <w:tab w:leader="none" w:pos="788"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association or business entity, any and all shares, interests, participations, rights or other equivalents (however designated) of corporate stock;</w:t>
      </w:r>
    </w:p>
    <w:p>
      <w:pPr>
        <w:spacing w:after="0" w:line="162" w:lineRule="exact"/>
        <w:rPr>
          <w:rFonts w:ascii="Courier New" w:cs="Courier New" w:eastAsia="Courier New" w:hAnsi="Courier New"/>
          <w:sz w:val="14"/>
          <w:szCs w:val="14"/>
          <w:color w:val="auto"/>
        </w:rPr>
      </w:pPr>
    </w:p>
    <w:p>
      <w:pPr>
        <w:ind w:left="180" w:right="4059" w:firstLine="263"/>
        <w:spacing w:after="0" w:line="258" w:lineRule="auto"/>
        <w:tabs>
          <w:tab w:leader="none" w:pos="788"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partnership or limited liability company, partnership or membership interests (whether general or limited); and</w:t>
      </w:r>
    </w:p>
    <w:p>
      <w:pPr>
        <w:spacing w:after="0" w:line="159" w:lineRule="exact"/>
        <w:rPr>
          <w:rFonts w:ascii="Courier New" w:cs="Courier New" w:eastAsia="Courier New" w:hAnsi="Courier New"/>
          <w:sz w:val="14"/>
          <w:szCs w:val="14"/>
          <w:color w:val="auto"/>
        </w:rPr>
      </w:pPr>
    </w:p>
    <w:p>
      <w:pPr>
        <w:ind w:left="180" w:right="3639" w:firstLine="263"/>
        <w:spacing w:after="0" w:line="255" w:lineRule="auto"/>
        <w:tabs>
          <w:tab w:leader="none" w:pos="788"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interest or participation that confers on a Person the right to receive a share of the profits and losses of, or distributions of assets of, the issuing Person.</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"Cash Equivalents" means:</w:t>
      </w:r>
    </w:p>
    <w:p>
      <w:pPr>
        <w:spacing w:after="0" w:line="175" w:lineRule="exact"/>
        <w:rPr>
          <w:sz w:val="20"/>
          <w:szCs w:val="20"/>
          <w:color w:val="auto"/>
        </w:rPr>
      </w:pPr>
    </w:p>
    <w:p>
      <w:pPr>
        <w:ind w:left="800" w:hanging="357"/>
        <w:spacing w:after="0"/>
        <w:tabs>
          <w:tab w:leader="none" w:pos="80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States dollars;</w:t>
      </w:r>
    </w:p>
    <w:p>
      <w:pPr>
        <w:spacing w:after="0" w:line="175"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issued or directly and fully guaranteed or insured by the United States government or any agency or instrumentality of the United States government having maturities of not more than one year from the date of acquisition;</w:t>
      </w:r>
    </w:p>
    <w:p>
      <w:pPr>
        <w:spacing w:after="0" w:line="163"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of deposit and eurodollar time deposits with maturities of one year or less from the date of acquisition, bankers' acceptances with maturities not exceeding one year and overnight bank deposits, in each case, with any lender party to the Credit Facility or any domestic commercial bank</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20" w:right="1440" w:bottom="1440" w:gutter="0" w:footer="0" w:header="0"/>
        </w:sectPr>
      </w:pPr>
    </w:p>
    <w:bookmarkStart w:id="81" w:name="page82"/>
    <w:bookmarkEnd w:id="81"/>
    <w:p>
      <w:pPr>
        <w:ind w:left="180" w:right="3719"/>
        <w:spacing w:after="0" w:line="258" w:lineRule="auto"/>
        <w:rPr>
          <w:sz w:val="20"/>
          <w:szCs w:val="20"/>
          <w:color w:val="auto"/>
        </w:rPr>
      </w:pPr>
      <w:r>
        <w:rPr>
          <w:rFonts w:ascii="Courier New" w:cs="Courier New" w:eastAsia="Courier New" w:hAnsi="Courier New"/>
          <w:sz w:val="14"/>
          <w:szCs w:val="14"/>
          <w:color w:val="auto"/>
        </w:rPr>
        <w:t>having capital and surplus in excess of $500.0 million and a Thomson Bank Watch Rating of "B" or better;</w:t>
      </w:r>
    </w:p>
    <w:p>
      <w:pPr>
        <w:spacing w:after="0" w:line="160" w:lineRule="exact"/>
        <w:rPr>
          <w:sz w:val="20"/>
          <w:szCs w:val="20"/>
          <w:color w:val="auto"/>
        </w:rPr>
      </w:pPr>
    </w:p>
    <w:p>
      <w:pPr>
        <w:ind w:left="180" w:right="3719" w:firstLine="263"/>
        <w:spacing w:after="0" w:line="254" w:lineRule="auto"/>
        <w:tabs>
          <w:tab w:leader="none" w:pos="788"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obligations with a term of not more than 30 days for underlying securities of the types described in clauses (2) and (3) above entered into with any financial institution meeting the qualifications specified in clause (3) above;</w:t>
      </w:r>
    </w:p>
    <w:p>
      <w:pPr>
        <w:spacing w:after="0" w:line="163" w:lineRule="exact"/>
        <w:rPr>
          <w:rFonts w:ascii="Courier New" w:cs="Courier New" w:eastAsia="Courier New" w:hAnsi="Courier New"/>
          <w:sz w:val="14"/>
          <w:szCs w:val="14"/>
          <w:color w:val="auto"/>
        </w:rPr>
      </w:pPr>
    </w:p>
    <w:p>
      <w:pPr>
        <w:ind w:left="180" w:right="3719" w:firstLine="263"/>
        <w:spacing w:after="0" w:line="254" w:lineRule="auto"/>
        <w:tabs>
          <w:tab w:leader="none" w:pos="788"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paper having one of the two highest ratings obtainable from Moody's Investors Service, Inc. or Standard &amp; Poor's Rating Services and in each case maturing within one year after the date of acquisition; and</w:t>
      </w:r>
    </w:p>
    <w:p>
      <w:pPr>
        <w:spacing w:after="0" w:line="163" w:lineRule="exact"/>
        <w:rPr>
          <w:rFonts w:ascii="Courier New" w:cs="Courier New" w:eastAsia="Courier New" w:hAnsi="Courier New"/>
          <w:sz w:val="14"/>
          <w:szCs w:val="14"/>
          <w:color w:val="auto"/>
        </w:rPr>
      </w:pPr>
    </w:p>
    <w:p>
      <w:pPr>
        <w:ind w:left="180" w:right="3639" w:firstLine="263"/>
        <w:spacing w:after="0" w:line="255" w:lineRule="auto"/>
        <w:tabs>
          <w:tab w:leader="none" w:pos="788"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money market funds at least 95% of the assets of which constitute Cash Equivalents of the kinds described in clauses (1) through (5) of this definition.</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"Change of Control" means the occurrence of any of the following:</w:t>
      </w:r>
    </w:p>
    <w:p>
      <w:pPr>
        <w:spacing w:after="0" w:line="175" w:lineRule="exact"/>
        <w:rPr>
          <w:sz w:val="20"/>
          <w:szCs w:val="20"/>
          <w:color w:val="auto"/>
        </w:rPr>
      </w:pPr>
    </w:p>
    <w:p>
      <w:pPr>
        <w:ind w:left="180" w:right="3539" w:firstLine="263"/>
        <w:spacing w:after="0" w:line="253" w:lineRule="auto"/>
        <w:tabs>
          <w:tab w:leader="none" w:pos="788"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 or indirect sale, transfer, conveyance or other disposition (other than by way of merger or consolidation), in one or a series of related transactions, of all or substantially all of the properties or assets of Radio One and its Restricted Subsidiaries, taken as a whole to any "person" (as that term is used in Section 13(d)(3) of the Exchange Act) other than a Principal or a Related Party of a Principal;</w:t>
      </w:r>
    </w:p>
    <w:p>
      <w:pPr>
        <w:spacing w:after="0" w:line="165" w:lineRule="exact"/>
        <w:rPr>
          <w:rFonts w:ascii="Courier New" w:cs="Courier New" w:eastAsia="Courier New" w:hAnsi="Courier New"/>
          <w:sz w:val="14"/>
          <w:szCs w:val="14"/>
          <w:color w:val="auto"/>
        </w:rPr>
      </w:pPr>
    </w:p>
    <w:p>
      <w:pPr>
        <w:ind w:left="180" w:right="3539" w:firstLine="263"/>
        <w:spacing w:after="0" w:line="258" w:lineRule="auto"/>
        <w:tabs>
          <w:tab w:leader="none" w:pos="788"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 plan relating to the liquidation or dissolution of Radio One;</w:t>
      </w:r>
    </w:p>
    <w:p>
      <w:pPr>
        <w:spacing w:after="0" w:line="159" w:lineRule="exact"/>
        <w:rPr>
          <w:rFonts w:ascii="Courier New" w:cs="Courier New" w:eastAsia="Courier New" w:hAnsi="Courier New"/>
          <w:sz w:val="14"/>
          <w:szCs w:val="14"/>
          <w:color w:val="auto"/>
        </w:rPr>
      </w:pPr>
    </w:p>
    <w:p>
      <w:pPr>
        <w:ind w:left="180" w:right="3639" w:firstLine="263"/>
        <w:spacing w:after="0" w:line="253" w:lineRule="auto"/>
        <w:tabs>
          <w:tab w:leader="none" w:pos="788"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more than 50% of the Voting Stock of Radio One, measured by voting power rather than number of shares; or</w:t>
      </w:r>
    </w:p>
    <w:p>
      <w:pPr>
        <w:spacing w:after="0" w:line="165" w:lineRule="exact"/>
        <w:rPr>
          <w:rFonts w:ascii="Courier New" w:cs="Courier New" w:eastAsia="Courier New" w:hAnsi="Courier New"/>
          <w:sz w:val="14"/>
          <w:szCs w:val="14"/>
          <w:color w:val="auto"/>
        </w:rPr>
      </w:pPr>
    </w:p>
    <w:p>
      <w:pPr>
        <w:ind w:left="180" w:right="3899" w:firstLine="263"/>
        <w:spacing w:after="0" w:line="258" w:lineRule="auto"/>
        <w:tabs>
          <w:tab w:leader="none" w:pos="788"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day on which a majority of the members of the Board of Directors of Radio One are not Continuing Directors.</w:t>
      </w:r>
    </w:p>
    <w:p>
      <w:pPr>
        <w:spacing w:after="0" w:line="160" w:lineRule="exact"/>
        <w:rPr>
          <w:sz w:val="20"/>
          <w:szCs w:val="20"/>
          <w:color w:val="auto"/>
        </w:rPr>
      </w:pPr>
    </w:p>
    <w:p>
      <w:pPr>
        <w:ind w:right="3379" w:firstLine="260"/>
        <w:spacing w:after="0" w:line="258" w:lineRule="auto"/>
        <w:rPr>
          <w:sz w:val="20"/>
          <w:szCs w:val="20"/>
          <w:color w:val="auto"/>
        </w:rPr>
      </w:pPr>
      <w:r>
        <w:rPr>
          <w:rFonts w:ascii="Courier New" w:cs="Courier New" w:eastAsia="Courier New" w:hAnsi="Courier New"/>
          <w:sz w:val="14"/>
          <w:szCs w:val="14"/>
          <w:color w:val="auto"/>
        </w:rPr>
        <w:t>"Consolidated Cash Flow" means, with respect to any specified Person for any period, the Consolidated Net Income of such Person for such period plus:</w:t>
      </w:r>
    </w:p>
    <w:p>
      <w:pPr>
        <w:spacing w:after="0" w:line="160" w:lineRule="exact"/>
        <w:rPr>
          <w:sz w:val="20"/>
          <w:szCs w:val="20"/>
          <w:color w:val="auto"/>
        </w:rPr>
      </w:pPr>
    </w:p>
    <w:p>
      <w:pPr>
        <w:ind w:left="180" w:right="3639" w:firstLine="263"/>
        <w:spacing w:after="0" w:line="253" w:lineRule="auto"/>
        <w:tabs>
          <w:tab w:leader="none" w:pos="78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extraordinary loss plus any net loss, together with any related provision for taxes, realized by such Person or any of its Restricted Subsidiaries in connection with (a) an Asset Sale (including any sale and leaseback transaction), or (b) the disposition of any securities by such Person or any of the Restricted Subsidiaries or the extinguishment of any Indebtedness of such Person or any of the Restricted Subsidiaries, to the extent such losses were deducted in computing such Consolidated Net Income; plus</w:t>
      </w:r>
    </w:p>
    <w:p>
      <w:pPr>
        <w:spacing w:after="0" w:line="164" w:lineRule="exact"/>
        <w:rPr>
          <w:rFonts w:ascii="Courier New" w:cs="Courier New" w:eastAsia="Courier New" w:hAnsi="Courier New"/>
          <w:sz w:val="14"/>
          <w:szCs w:val="14"/>
          <w:color w:val="auto"/>
        </w:rPr>
      </w:pPr>
    </w:p>
    <w:p>
      <w:pPr>
        <w:ind w:left="180" w:right="3539" w:firstLine="263"/>
        <w:spacing w:after="0" w:line="256" w:lineRule="auto"/>
        <w:tabs>
          <w:tab w:leader="none" w:pos="78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for taxes based on income or profits of such Person and its Restricted Subsidiaries for such period, to the extent that such provision for taxes was deducted in computing such Consolidated Net Income; plus</w:t>
      </w:r>
    </w:p>
    <w:p>
      <w:pPr>
        <w:spacing w:after="0" w:line="327" w:lineRule="exact"/>
        <w:rPr>
          <w:rFonts w:ascii="Courier New" w:cs="Courier New" w:eastAsia="Courier New" w:hAnsi="Courier New"/>
          <w:sz w:val="14"/>
          <w:szCs w:val="14"/>
          <w:color w:val="auto"/>
        </w:rPr>
      </w:pPr>
    </w:p>
    <w:p>
      <w:pPr>
        <w:ind w:left="180" w:right="3539" w:firstLine="263"/>
        <w:spacing w:after="0" w:line="253" w:lineRule="auto"/>
        <w:tabs>
          <w:tab w:leader="none" w:pos="78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obligations with respect to any sale and leaseback transaction, all fees, including but not limited to agency fees, letter of credit fees, commitment fees, commissions, discounts and other fees and charges incurred in respect of Indebtedness and net of the effect of all payments made or received pursuant to Hedging Obligations), to the extent that any such expense was deducted in computing such Consolidated Net Income; plus</w:t>
      </w:r>
    </w:p>
    <w:p>
      <w:pPr>
        <w:spacing w:after="0" w:line="330" w:lineRule="exact"/>
        <w:rPr>
          <w:rFonts w:ascii="Courier New" w:cs="Courier New" w:eastAsia="Courier New" w:hAnsi="Courier New"/>
          <w:sz w:val="14"/>
          <w:szCs w:val="14"/>
          <w:color w:val="auto"/>
        </w:rPr>
      </w:pPr>
    </w:p>
    <w:p>
      <w:pPr>
        <w:ind w:left="180" w:right="3639" w:firstLine="263"/>
        <w:spacing w:after="0" w:line="254" w:lineRule="auto"/>
        <w:tabs>
          <w:tab w:leader="none" w:pos="78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depreciation, amortization (including non-cash employee and officer equity compensation expenses, amortization of goodwill and other intangibles, amortization of programming costs and barter expenses, but excluding amortization of prepaid cash expenses that were paid in a prior period) and other</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20" w:right="1440" w:bottom="1440" w:gutter="0" w:footer="0" w:header="0"/>
        </w:sectPr>
      </w:pPr>
    </w:p>
    <w:bookmarkStart w:id="82" w:name="page83"/>
    <w:bookmarkEnd w:id="82"/>
    <w:p>
      <w:pPr>
        <w:ind w:left="180" w:right="3539"/>
        <w:spacing w:after="0" w:line="254" w:lineRule="auto"/>
        <w:rPr>
          <w:sz w:val="20"/>
          <w:szCs w:val="20"/>
          <w:color w:val="auto"/>
        </w:rPr>
      </w:pPr>
      <w:r>
        <w:rPr>
          <w:rFonts w:ascii="Courier New" w:cs="Courier New" w:eastAsia="Courier New" w:hAnsi="Courier New"/>
          <w:sz w:val="14"/>
          <w:szCs w:val="14"/>
          <w:color w:val="auto"/>
        </w:rPr>
        <w:t>non-cash expenses (excluding any such non-cash expense to the extent that it represents amortization of a prepaid cash expense that was paid in a prior period) of such Person and its Restricted Subsidiaries for such period to the extent that such depreciation, amortization and other non-cash expenses were deducted in computing such Consolidated Net Income; plus</w:t>
      </w:r>
    </w:p>
    <w:p>
      <w:pPr>
        <w:spacing w:after="0" w:line="162" w:lineRule="exact"/>
        <w:rPr>
          <w:sz w:val="20"/>
          <w:szCs w:val="20"/>
          <w:color w:val="auto"/>
        </w:rPr>
      </w:pPr>
    </w:p>
    <w:p>
      <w:pPr>
        <w:ind w:left="180" w:right="3719" w:firstLine="263"/>
        <w:spacing w:after="0" w:line="255" w:lineRule="auto"/>
        <w:tabs>
          <w:tab w:leader="none" w:pos="78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extraordinary or non-recurring expenses of such Person and the Restricted Subsidiaries for such period to the extent that such charges were deducted in computing such Consolidated Net Income; plus</w:t>
      </w:r>
    </w:p>
    <w:p>
      <w:pPr>
        <w:spacing w:after="0" w:line="162" w:lineRule="exact"/>
        <w:rPr>
          <w:rFonts w:ascii="Courier New" w:cs="Courier New" w:eastAsia="Courier New" w:hAnsi="Courier New"/>
          <w:sz w:val="14"/>
          <w:szCs w:val="14"/>
          <w:color w:val="auto"/>
        </w:rPr>
      </w:pPr>
    </w:p>
    <w:p>
      <w:pPr>
        <w:ind w:left="180" w:right="3799" w:firstLine="263"/>
        <w:spacing w:after="0" w:line="258" w:lineRule="auto"/>
        <w:tabs>
          <w:tab w:leader="none" w:pos="78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non-capitalized transaction costs incurred in connection with actual or proposed financings, acquisitions or transactions; minus</w:t>
      </w:r>
    </w:p>
    <w:p>
      <w:pPr>
        <w:spacing w:after="0" w:line="159" w:lineRule="exact"/>
        <w:rPr>
          <w:rFonts w:ascii="Courier New" w:cs="Courier New" w:eastAsia="Courier New" w:hAnsi="Courier New"/>
          <w:sz w:val="14"/>
          <w:szCs w:val="14"/>
          <w:color w:val="auto"/>
        </w:rPr>
      </w:pPr>
    </w:p>
    <w:p>
      <w:pPr>
        <w:ind w:left="180" w:right="3979" w:firstLine="263"/>
        <w:spacing w:after="0" w:line="255" w:lineRule="auto"/>
        <w:tabs>
          <w:tab w:leader="none" w:pos="78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non-cash items increasing such Consolidated Net Income for such period, other than the accrual of revenue in the ordinary course of business; minus</w:t>
      </w:r>
    </w:p>
    <w:p>
      <w:pPr>
        <w:spacing w:after="0" w:line="162" w:lineRule="exact"/>
        <w:rPr>
          <w:rFonts w:ascii="Courier New" w:cs="Courier New" w:eastAsia="Courier New" w:hAnsi="Courier New"/>
          <w:sz w:val="14"/>
          <w:szCs w:val="14"/>
          <w:color w:val="auto"/>
        </w:rPr>
      </w:pPr>
    </w:p>
    <w:p>
      <w:pPr>
        <w:ind w:left="180" w:right="4579" w:firstLine="263"/>
        <w:spacing w:after="0" w:line="258" w:lineRule="auto"/>
        <w:tabs>
          <w:tab w:leader="none" w:pos="78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payments related to non-cash charges that increased Consolidated Cash Flow in any prior period; minus</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barter revenues,</w:t>
      </w:r>
    </w:p>
    <w:p>
      <w:pPr>
        <w:spacing w:after="0" w:line="175" w:lineRule="exact"/>
        <w:rPr>
          <w:sz w:val="20"/>
          <w:szCs w:val="20"/>
          <w:color w:val="auto"/>
        </w:rPr>
      </w:pPr>
    </w:p>
    <w:p>
      <w:pPr>
        <w:ind w:right="3799" w:firstLine="260"/>
        <w:spacing w:after="0" w:line="258" w:lineRule="auto"/>
        <w:rPr>
          <w:sz w:val="20"/>
          <w:szCs w:val="20"/>
          <w:color w:val="auto"/>
        </w:rPr>
      </w:pPr>
      <w:r>
        <w:rPr>
          <w:rFonts w:ascii="Courier New" w:cs="Courier New" w:eastAsia="Courier New" w:hAnsi="Courier New"/>
          <w:sz w:val="14"/>
          <w:szCs w:val="14"/>
          <w:color w:val="auto"/>
        </w:rPr>
        <w:t>in each case, on a consolidated basis and determined in accordance with GAAP.</w:t>
      </w:r>
    </w:p>
    <w:p>
      <w:pPr>
        <w:spacing w:after="0" w:line="160"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Notwithstanding the preceding, the provision for taxes based on the income or profits of, and the depreciation and amortization and other non-cash expenses of, a Subsidiary of Radio One will be added to Consolidated Net Income to compute Consolidated Cash Flow of Radio One only to the extent that a corresponding amount would be permitted at the date of determination to be dividended to Radio One by such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stockholders.</w:t>
      </w:r>
    </w:p>
    <w:p>
      <w:pPr>
        <w:spacing w:after="0" w:line="164" w:lineRule="exact"/>
        <w:rPr>
          <w:sz w:val="20"/>
          <w:szCs w:val="20"/>
          <w:color w:val="auto"/>
        </w:rPr>
      </w:pPr>
    </w:p>
    <w:p>
      <w:pPr>
        <w:ind w:right="3639" w:firstLine="260"/>
        <w:spacing w:after="0" w:line="258" w:lineRule="auto"/>
        <w:rPr>
          <w:sz w:val="20"/>
          <w:szCs w:val="20"/>
          <w:color w:val="auto"/>
        </w:rPr>
      </w:pPr>
      <w:r>
        <w:rPr>
          <w:rFonts w:ascii="Courier New" w:cs="Courier New" w:eastAsia="Courier New" w:hAnsi="Courier New"/>
          <w:sz w:val="14"/>
          <w:szCs w:val="14"/>
          <w:color w:val="auto"/>
        </w:rPr>
        <w:t>"Consolidated Interest Expense" means, with respect to any Person for any period, the sum, without duplication of:</w:t>
      </w:r>
    </w:p>
    <w:p>
      <w:pPr>
        <w:spacing w:after="0" w:line="160" w:lineRule="exact"/>
        <w:rPr>
          <w:sz w:val="20"/>
          <w:szCs w:val="20"/>
          <w:color w:val="auto"/>
        </w:rPr>
      </w:pPr>
    </w:p>
    <w:p>
      <w:pPr>
        <w:ind w:left="180" w:right="3639" w:firstLine="263"/>
        <w:spacing w:after="0" w:line="253" w:lineRule="auto"/>
        <w:tabs>
          <w:tab w:leader="none" w:pos="78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interest expense of such Person and the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imputed interest with respect to commissions, discounts and other fees and charges incurred in respect of letter of credit or bankers' acceptance financings, and net payments (if any) pursuant to Hedging Obligations);</w:t>
      </w:r>
    </w:p>
    <w:p>
      <w:pPr>
        <w:spacing w:after="0" w:line="164" w:lineRule="exact"/>
        <w:rPr>
          <w:rFonts w:ascii="Courier New" w:cs="Courier New" w:eastAsia="Courier New" w:hAnsi="Courier New"/>
          <w:sz w:val="14"/>
          <w:szCs w:val="14"/>
          <w:color w:val="auto"/>
        </w:rPr>
      </w:pPr>
    </w:p>
    <w:p>
      <w:pPr>
        <w:ind w:left="180" w:right="3639" w:firstLine="263"/>
        <w:spacing w:after="0" w:line="258" w:lineRule="auto"/>
        <w:tabs>
          <w:tab w:leader="none" w:pos="78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interest expense of such Person and the Restricted Subsidiaries that was capitalized during such period;</w:t>
      </w:r>
    </w:p>
    <w:p>
      <w:pPr>
        <w:spacing w:after="0" w:line="159" w:lineRule="exact"/>
        <w:rPr>
          <w:rFonts w:ascii="Courier New" w:cs="Courier New" w:eastAsia="Courier New" w:hAnsi="Courier New"/>
          <w:sz w:val="14"/>
          <w:szCs w:val="14"/>
          <w:color w:val="auto"/>
        </w:rPr>
      </w:pPr>
    </w:p>
    <w:p>
      <w:pPr>
        <w:ind w:left="180" w:right="3639" w:firstLine="263"/>
        <w:spacing w:after="0" w:line="254" w:lineRule="auto"/>
        <w:tabs>
          <w:tab w:leader="none" w:pos="788"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expense on Indebtedness of another Person that is guaranteed by such Person or any of the Restricted Subsidiaries or secured by a Lien on assets of such Person or any of the Restricted Subsidiaries (whether or not such guarantee or Lien is called upon); and</w:t>
      </w:r>
    </w:p>
    <w:p>
      <w:pPr>
        <w:spacing w:after="0" w:line="163"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product of:</w:t>
      </w:r>
    </w:p>
    <w:p>
      <w:pPr>
        <w:spacing w:after="0" w:line="175" w:lineRule="exact"/>
        <w:rPr>
          <w:rFonts w:ascii="Courier New" w:cs="Courier New" w:eastAsia="Courier New" w:hAnsi="Courier New"/>
          <w:sz w:val="14"/>
          <w:szCs w:val="14"/>
          <w:color w:val="auto"/>
        </w:rPr>
      </w:pPr>
    </w:p>
    <w:p>
      <w:pPr>
        <w:ind w:left="360" w:right="3799" w:firstLine="257"/>
        <w:spacing w:after="0" w:line="254" w:lineRule="auto"/>
        <w:tabs>
          <w:tab w:leader="none" w:pos="968"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cash dividend payments (and non-cash dividend payments in the case of a Person that is a Restricted Subsidiary) on any series of preferred stock of such Person or any of the Restricted Subsidiaries, times</w:t>
      </w:r>
    </w:p>
    <w:p>
      <w:pPr>
        <w:spacing w:after="0" w:line="163" w:lineRule="exact"/>
        <w:rPr>
          <w:sz w:val="20"/>
          <w:szCs w:val="20"/>
          <w:color w:val="auto"/>
        </w:rPr>
      </w:pPr>
    </w:p>
    <w:p>
      <w:pPr>
        <w:ind w:left="360" w:right="3719" w:firstLine="257"/>
        <w:spacing w:after="0" w:line="254" w:lineRule="auto"/>
        <w:tabs>
          <w:tab w:leader="none" w:pos="968"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20" w:right="1440" w:bottom="1440" w:gutter="0" w:footer="0" w:header="0"/>
        </w:sectPr>
      </w:pPr>
    </w:p>
    <w:bookmarkStart w:id="83" w:name="page84"/>
    <w:bookmarkEnd w:id="83"/>
    <w:p>
      <w:pPr>
        <w:ind w:right="3379" w:firstLine="260"/>
        <w:spacing w:after="0" w:line="254" w:lineRule="auto"/>
        <w:rPr>
          <w:sz w:val="20"/>
          <w:szCs w:val="20"/>
          <w:color w:val="auto"/>
        </w:rPr>
      </w:pPr>
      <w:r>
        <w:rPr>
          <w:rFonts w:ascii="Courier New" w:cs="Courier New" w:eastAsia="Courier New" w:hAnsi="Courier New"/>
          <w:sz w:val="14"/>
          <w:szCs w:val="14"/>
          <w:color w:val="auto"/>
        </w:rPr>
        <w:t>"Consolidated Net Income" means, with respect to any specified Person for any period, the aggregate of the Net Income of such Person and its Restricted Subsidiaries for such period, on a consolidated basis, determined in accordance with GAAP; provided that:</w:t>
      </w:r>
    </w:p>
    <w:p>
      <w:pPr>
        <w:spacing w:after="0" w:line="163" w:lineRule="exact"/>
        <w:rPr>
          <w:sz w:val="20"/>
          <w:szCs w:val="20"/>
          <w:color w:val="auto"/>
        </w:rPr>
      </w:pPr>
    </w:p>
    <w:p>
      <w:pPr>
        <w:ind w:left="180" w:right="3979" w:firstLine="263"/>
        <w:spacing w:after="0" w:line="255" w:lineRule="auto"/>
        <w:tabs>
          <w:tab w:leader="none" w:pos="78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Income of any Unrestricted Subsidiary will be excluded, whether or not distributed to the specified Person or a Restricted Subsidiary of the Person;</w:t>
      </w:r>
    </w:p>
    <w:p>
      <w:pPr>
        <w:spacing w:after="0" w:line="162" w:lineRule="exact"/>
        <w:rPr>
          <w:rFonts w:ascii="Courier New" w:cs="Courier New" w:eastAsia="Courier New" w:hAnsi="Courier New"/>
          <w:sz w:val="14"/>
          <w:szCs w:val="14"/>
          <w:color w:val="auto"/>
        </w:rPr>
      </w:pPr>
    </w:p>
    <w:p>
      <w:pPr>
        <w:ind w:left="180" w:right="3539" w:firstLine="263"/>
        <w:spacing w:after="0" w:line="253" w:lineRule="auto"/>
        <w:tabs>
          <w:tab w:leader="none" w:pos="78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164" w:lineRule="exact"/>
        <w:rPr>
          <w:rFonts w:ascii="Courier New" w:cs="Courier New" w:eastAsia="Courier New" w:hAnsi="Courier New"/>
          <w:sz w:val="14"/>
          <w:szCs w:val="14"/>
          <w:color w:val="auto"/>
        </w:rPr>
      </w:pPr>
    </w:p>
    <w:p>
      <w:pPr>
        <w:ind w:left="180" w:right="3799" w:firstLine="263"/>
        <w:spacing w:after="0" w:line="255" w:lineRule="auto"/>
        <w:tabs>
          <w:tab w:leader="none" w:pos="78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Income of any Person acquired in a pooling of interests transaction for any period prior to the date of such acquisition will be excluded; and</w:t>
      </w:r>
    </w:p>
    <w:p>
      <w:pPr>
        <w:spacing w:after="0" w:line="162" w:lineRule="exact"/>
        <w:rPr>
          <w:rFonts w:ascii="Courier New" w:cs="Courier New" w:eastAsia="Courier New" w:hAnsi="Courier New"/>
          <w:sz w:val="14"/>
          <w:szCs w:val="14"/>
          <w:color w:val="auto"/>
        </w:rPr>
      </w:pPr>
    </w:p>
    <w:p>
      <w:pPr>
        <w:ind w:left="180" w:right="3719" w:firstLine="263"/>
        <w:spacing w:after="0" w:line="258" w:lineRule="auto"/>
        <w:tabs>
          <w:tab w:leader="none" w:pos="78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cumulative effect of a change in accounting principles will be excluded.</w:t>
      </w:r>
    </w:p>
    <w:p>
      <w:pPr>
        <w:spacing w:after="0" w:line="160" w:lineRule="exact"/>
        <w:rPr>
          <w:sz w:val="20"/>
          <w:szCs w:val="20"/>
          <w:color w:val="auto"/>
        </w:rPr>
      </w:pPr>
    </w:p>
    <w:p>
      <w:pPr>
        <w:ind w:right="3379" w:firstLine="260"/>
        <w:spacing w:after="0" w:line="258" w:lineRule="auto"/>
        <w:rPr>
          <w:sz w:val="20"/>
          <w:szCs w:val="20"/>
          <w:color w:val="auto"/>
        </w:rPr>
      </w:pPr>
      <w:r>
        <w:rPr>
          <w:rFonts w:ascii="Courier New" w:cs="Courier New" w:eastAsia="Courier New" w:hAnsi="Courier New"/>
          <w:sz w:val="14"/>
          <w:szCs w:val="14"/>
          <w:color w:val="auto"/>
        </w:rPr>
        <w:t>"Continuing Directors" means, as of any date of determination, any member of the Board of Directors of Radio One who:</w:t>
      </w:r>
    </w:p>
    <w:p>
      <w:pPr>
        <w:spacing w:after="0" w:line="160" w:lineRule="exact"/>
        <w:rPr>
          <w:sz w:val="20"/>
          <w:szCs w:val="20"/>
          <w:color w:val="auto"/>
        </w:rPr>
      </w:pPr>
    </w:p>
    <w:p>
      <w:pPr>
        <w:ind w:left="180" w:right="3639" w:firstLine="263"/>
        <w:spacing w:after="0" w:line="258" w:lineRule="auto"/>
        <w:tabs>
          <w:tab w:leader="none" w:pos="788"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a member of or nominated to such Board of Directors on the date of the Indenture; or</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nominated for election by either (a) one or more of the</w:t>
      </w:r>
    </w:p>
    <w:p>
      <w:pPr>
        <w:spacing w:after="0" w:line="8" w:lineRule="exact"/>
        <w:rPr>
          <w:rFonts w:ascii="Courier New" w:cs="Courier New" w:eastAsia="Courier New" w:hAnsi="Courier New"/>
          <w:sz w:val="14"/>
          <w:szCs w:val="14"/>
          <w:color w:val="auto"/>
        </w:rPr>
      </w:pPr>
    </w:p>
    <w:p>
      <w:pPr>
        <w:ind w:left="180" w:right="363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Principals or (b) the Board of Directors of Radio One, a majority of whom were members of or nominated to the Board of Directors on the date of the Indenture or whose election or nomination for election was previously approved by one or more of the Principals beneficially owning at least 25% of the Voting Stock of Radio One (determined by reference to voting power and not number of shares held) or such directors.</w:t>
      </w:r>
    </w:p>
    <w:p>
      <w:pPr>
        <w:spacing w:after="0" w:line="16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"Credit Agreement" means that certain Second Amended and Restated Credit Agreement, dated as of July 17, 2000, by and among Radio One, the guarantors party thereto, Bank of America, N.A., as administrative agent and the lenders party thereto, including any related notes, guarantees, collateral documents, instruments and agreements executed in connection therewith, as amended, modified, renewed, refunded, replaced or refinanced from time to time (including any increase in principal amount).</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"Credit Facilities" means, one or more debt facilities (including, without limitation, the Credit Agreement)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or refinanced in whole or in part from time to time (including any increase in principal amount).</w:t>
      </w:r>
    </w:p>
    <w:p>
      <w:pPr>
        <w:spacing w:after="0" w:line="165" w:lineRule="exact"/>
        <w:rPr>
          <w:sz w:val="20"/>
          <w:szCs w:val="20"/>
          <w:color w:val="auto"/>
        </w:rPr>
      </w:pPr>
    </w:p>
    <w:p>
      <w:pPr>
        <w:ind w:right="3379" w:firstLine="260"/>
        <w:spacing w:after="0" w:line="258" w:lineRule="auto"/>
        <w:rPr>
          <w:sz w:val="20"/>
          <w:szCs w:val="20"/>
          <w:color w:val="auto"/>
        </w:rPr>
      </w:pPr>
      <w:r>
        <w:rPr>
          <w:rFonts w:ascii="Courier New" w:cs="Courier New" w:eastAsia="Courier New" w:hAnsi="Courier New"/>
          <w:sz w:val="14"/>
          <w:szCs w:val="14"/>
          <w:color w:val="auto"/>
        </w:rPr>
        <w:t>"Default" means any event that is, or with the passage of time or the giving of notice or both would be, an Event of Default.</w:t>
      </w:r>
    </w:p>
    <w:p>
      <w:pPr>
        <w:spacing w:after="0" w:line="160"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"Disqualified Stock"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on which the Notes mature. Notwithstanding the preceding sentence, any Capital Stock that would constitute Disqualified Stock solely because the holders of the Capital Stock have the right to require Radio One to repurchase such Capital Stock upon the occurrence of a change of control or an asset sale will not constitute Disqualified Stock if the terms of such Capital Stock provide that Radio One may not repurchase or redeem any such Capital Stock pursuant to such provisions unless such repurchase or redemption complies with the covenant described above under the caption "--Certain Covenants--Restricted Payments."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20" w:right="1440" w:bottom="1440" w:gutter="0" w:footer="0" w:header="0"/>
        </w:sectPr>
      </w:pPr>
    </w:p>
    <w:bookmarkStart w:id="84" w:name="page85"/>
    <w:bookmarkEnd w:id="84"/>
    <w:p>
      <w:pPr>
        <w:ind w:right="3459" w:firstLine="260"/>
        <w:spacing w:after="0" w:line="254" w:lineRule="auto"/>
        <w:rPr>
          <w:sz w:val="20"/>
          <w:szCs w:val="20"/>
          <w:color w:val="auto"/>
        </w:rPr>
      </w:pPr>
      <w:r>
        <w:rPr>
          <w:rFonts w:ascii="Courier New" w:cs="Courier New" w:eastAsia="Courier New" w:hAnsi="Courier New"/>
          <w:sz w:val="14"/>
          <w:szCs w:val="14"/>
          <w:color w:val="auto"/>
        </w:rPr>
        <w:t>"Domestic Subsidiary" means any Restricted Subsidiary of Radio One that was formed under the laws of the United States or any state of the United States or the District of Columbia or that guarantees or otherwise provides direct credit support for any Indebtedness of Radio One.</w:t>
      </w:r>
    </w:p>
    <w:p>
      <w:pPr>
        <w:spacing w:after="0" w:line="163" w:lineRule="exact"/>
        <w:rPr>
          <w:sz w:val="20"/>
          <w:szCs w:val="20"/>
          <w:color w:val="auto"/>
        </w:rPr>
      </w:pPr>
    </w:p>
    <w:p>
      <w:pPr>
        <w:ind w:right="3639" w:firstLine="260"/>
        <w:spacing w:after="0" w:line="255" w:lineRule="auto"/>
        <w:rPr>
          <w:sz w:val="20"/>
          <w:szCs w:val="20"/>
          <w:color w:val="auto"/>
        </w:rPr>
      </w:pPr>
      <w:r>
        <w:rPr>
          <w:rFonts w:ascii="Courier New" w:cs="Courier New" w:eastAsia="Courier New" w:hAnsi="Courier New"/>
          <w:sz w:val="14"/>
          <w:szCs w:val="14"/>
          <w:color w:val="auto"/>
        </w:rPr>
        <w:t>"Equity Interests" means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"Equity Offering" means an offering of Capital Stock (other than Disqualified Stock) of Radio One or one of its Subsidiaries, the net proceeds of which are contributed to Radio One, in each case to any Person that is not an Affiliate of Radio One, which offering results in at least $25.0 million of net aggregate proceeds to Radio One.</w:t>
      </w:r>
    </w:p>
    <w:p>
      <w:pPr>
        <w:spacing w:after="0" w:line="162" w:lineRule="exact"/>
        <w:rPr>
          <w:sz w:val="20"/>
          <w:szCs w:val="20"/>
          <w:color w:val="auto"/>
        </w:rPr>
      </w:pPr>
    </w:p>
    <w:p>
      <w:pPr>
        <w:ind w:right="3459" w:firstLine="260"/>
        <w:spacing w:after="0" w:line="255" w:lineRule="auto"/>
        <w:rPr>
          <w:sz w:val="20"/>
          <w:szCs w:val="20"/>
          <w:color w:val="auto"/>
        </w:rPr>
      </w:pPr>
      <w:r>
        <w:rPr>
          <w:rFonts w:ascii="Courier New" w:cs="Courier New" w:eastAsia="Courier New" w:hAnsi="Courier New"/>
          <w:sz w:val="14"/>
          <w:szCs w:val="14"/>
          <w:color w:val="auto"/>
        </w:rPr>
        <w:t>"Existing Indebtedness" means Indebtedness of Radio One and its Restricted Subsidiaries (other than Indebtedness under the Credit Agreement) in existence on the date of the Indenture.</w:t>
      </w:r>
    </w:p>
    <w:p>
      <w:pPr>
        <w:spacing w:after="0" w:line="162"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"Existing Preferred Stock" means the 6 1/2% Convertible Preferred Remarketable Term Income Deferrable Equity Securities of Radio One pursuant to the Certificate of Designations filed with the State of Delaware on July 13, 2000, as in effect on the date of the Indenture.</w:t>
      </w:r>
    </w:p>
    <w:p>
      <w:pPr>
        <w:spacing w:after="0" w:line="163"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65"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"Guarantors" means each of:</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 Radio One's Restricted Subsidiaries on the date of the Indenture;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180" w:right="4239" w:firstLine="263"/>
        <w:spacing w:after="0" w:line="258" w:lineRule="auto"/>
        <w:tabs>
          <w:tab w:leader="none" w:pos="788"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subsidiary of Radio One that executes a Subsidiary Guarantee in accordance with the provisions of the Indenture;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their respective successors and assigns.</w:t>
      </w:r>
    </w:p>
    <w:p>
      <w:pPr>
        <w:spacing w:after="0" w:line="175" w:lineRule="exact"/>
        <w:rPr>
          <w:sz w:val="20"/>
          <w:szCs w:val="20"/>
          <w:color w:val="auto"/>
        </w:rPr>
      </w:pPr>
    </w:p>
    <w:p>
      <w:pPr>
        <w:ind w:right="3899" w:firstLine="260"/>
        <w:spacing w:after="0" w:line="258" w:lineRule="auto"/>
        <w:rPr>
          <w:sz w:val="20"/>
          <w:szCs w:val="20"/>
          <w:color w:val="auto"/>
        </w:rPr>
      </w:pPr>
      <w:r>
        <w:rPr>
          <w:rFonts w:ascii="Courier New" w:cs="Courier New" w:eastAsia="Courier New" w:hAnsi="Courier New"/>
          <w:sz w:val="14"/>
          <w:szCs w:val="14"/>
          <w:color w:val="auto"/>
        </w:rPr>
        <w:t>"Hedging Obligations" means, with respect to any specified Person, the obligations of such Person under:</w:t>
      </w:r>
    </w:p>
    <w:p>
      <w:pPr>
        <w:spacing w:after="0" w:line="160" w:lineRule="exact"/>
        <w:rPr>
          <w:sz w:val="20"/>
          <w:szCs w:val="20"/>
          <w:color w:val="auto"/>
        </w:rPr>
      </w:pPr>
    </w:p>
    <w:p>
      <w:pPr>
        <w:ind w:left="180" w:right="3979" w:firstLine="263"/>
        <w:spacing w:after="0" w:line="258" w:lineRule="auto"/>
        <w:tabs>
          <w:tab w:leader="none" w:pos="788"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swap agreements, interest rate cap agreements and interest rate collar agreements; and</w:t>
      </w:r>
    </w:p>
    <w:p>
      <w:pPr>
        <w:spacing w:after="0" w:line="159" w:lineRule="exact"/>
        <w:rPr>
          <w:rFonts w:ascii="Courier New" w:cs="Courier New" w:eastAsia="Courier New" w:hAnsi="Courier New"/>
          <w:sz w:val="14"/>
          <w:szCs w:val="14"/>
          <w:color w:val="auto"/>
        </w:rPr>
      </w:pPr>
    </w:p>
    <w:p>
      <w:pPr>
        <w:ind w:left="180" w:right="3899" w:firstLine="263"/>
        <w:spacing w:after="0" w:line="258" w:lineRule="auto"/>
        <w:tabs>
          <w:tab w:leader="none" w:pos="788"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agreements or arrangements designed to protect such Person against fluctuations in currency exchange rates or interest rates.</w:t>
      </w:r>
    </w:p>
    <w:p>
      <w:pPr>
        <w:spacing w:after="0" w:line="160" w:lineRule="exact"/>
        <w:rPr>
          <w:sz w:val="20"/>
          <w:szCs w:val="20"/>
          <w:color w:val="auto"/>
        </w:rPr>
      </w:pPr>
    </w:p>
    <w:p>
      <w:pPr>
        <w:ind w:right="4499" w:firstLine="260"/>
        <w:spacing w:after="0" w:line="258" w:lineRule="auto"/>
        <w:rPr>
          <w:sz w:val="20"/>
          <w:szCs w:val="20"/>
          <w:color w:val="auto"/>
        </w:rPr>
      </w:pPr>
      <w:r>
        <w:rPr>
          <w:rFonts w:ascii="Courier New" w:cs="Courier New" w:eastAsia="Courier New" w:hAnsi="Courier New"/>
          <w:sz w:val="14"/>
          <w:szCs w:val="14"/>
          <w:color w:val="auto"/>
        </w:rPr>
        <w:t>"Indebtedness" means, with respect to any specified Person, any indebtedness of such Person, whether or not contingent:</w:t>
      </w:r>
    </w:p>
    <w:p>
      <w:pPr>
        <w:spacing w:after="0" w:line="160" w:lineRule="exact"/>
        <w:rPr>
          <w:sz w:val="20"/>
          <w:szCs w:val="20"/>
          <w:color w:val="auto"/>
        </w:rPr>
      </w:pPr>
    </w:p>
    <w:p>
      <w:pPr>
        <w:ind w:left="800" w:hanging="357"/>
        <w:spacing w:after="0"/>
        <w:tabs>
          <w:tab w:leader="none" w:pos="80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borrowed money;</w:t>
      </w:r>
    </w:p>
    <w:p>
      <w:pPr>
        <w:spacing w:after="0" w:line="175" w:lineRule="exact"/>
        <w:rPr>
          <w:rFonts w:ascii="Courier New" w:cs="Courier New" w:eastAsia="Courier New" w:hAnsi="Courier New"/>
          <w:sz w:val="14"/>
          <w:szCs w:val="14"/>
          <w:color w:val="auto"/>
        </w:rPr>
      </w:pPr>
    </w:p>
    <w:p>
      <w:pPr>
        <w:ind w:left="180" w:right="3979" w:firstLine="263"/>
        <w:spacing w:after="0" w:line="258" w:lineRule="auto"/>
        <w:tabs>
          <w:tab w:leader="none" w:pos="788"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evidenced by bonds, Notes, debentures or similar instruments or letters of credit (or reimbursement agreements in respect thereof);</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banker's acceptances;</w:t>
      </w:r>
    </w:p>
    <w:p>
      <w:pPr>
        <w:spacing w:after="0" w:line="175"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representing Capital Lease Obligations;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20" w:right="1440" w:bottom="1440" w:gutter="0" w:footer="0" w:header="0"/>
        </w:sectPr>
      </w:pPr>
    </w:p>
    <w:bookmarkStart w:id="85" w:name="page86"/>
    <w:bookmarkEnd w:id="85"/>
    <w:p>
      <w:pPr>
        <w:ind w:left="180" w:right="3719" w:firstLine="263"/>
        <w:spacing w:after="0" w:line="255" w:lineRule="auto"/>
        <w:tabs>
          <w:tab w:leader="none" w:pos="788"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representing the balance deferred and unpaid of the purchase price of any property, except any such balance that constitutes an accrued expense or trade payable; or</w:t>
      </w:r>
    </w:p>
    <w:p>
      <w:pPr>
        <w:spacing w:after="0" w:line="162"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representing any Hedging Obligations,</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provided that Indebtedness shall not include the pledge of the Capital Stock of an Unrestricted Subsidiary securing Non-Recourse Debt of that Unrestricted Subsidiary; and, provided further, in no event shall the Existing Preferred Stock (including all accrued dividends thereon) be deemed Indebtedness.</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amount of any Indebtedness outstanding as of any date will be:</w:t>
      </w:r>
    </w:p>
    <w:p>
      <w:pPr>
        <w:spacing w:after="0" w:line="175" w:lineRule="exact"/>
        <w:rPr>
          <w:sz w:val="20"/>
          <w:szCs w:val="20"/>
          <w:color w:val="auto"/>
        </w:rPr>
      </w:pPr>
    </w:p>
    <w:p>
      <w:pPr>
        <w:ind w:left="180" w:right="4419" w:firstLine="263"/>
        <w:spacing w:after="0" w:line="258" w:lineRule="auto"/>
        <w:tabs>
          <w:tab w:leader="none" w:pos="788"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accreted value of the Indebtedness, in the case of any Indebtedness issued with original issue discount; and</w:t>
      </w:r>
    </w:p>
    <w:p>
      <w:pPr>
        <w:spacing w:after="0" w:line="159" w:lineRule="exact"/>
        <w:rPr>
          <w:rFonts w:ascii="Courier New" w:cs="Courier New" w:eastAsia="Courier New" w:hAnsi="Courier New"/>
          <w:sz w:val="14"/>
          <w:szCs w:val="14"/>
          <w:color w:val="auto"/>
        </w:rPr>
      </w:pPr>
    </w:p>
    <w:p>
      <w:pPr>
        <w:ind w:left="180" w:right="3539" w:firstLine="263"/>
        <w:spacing w:after="0" w:line="255" w:lineRule="auto"/>
        <w:tabs>
          <w:tab w:leader="none" w:pos="788"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Indebtedness, together with any interest on the Indebtedness that is more than 30 days past due, in the case of any other Indebtedness.</w:t>
      </w:r>
    </w:p>
    <w:p>
      <w:pPr>
        <w:spacing w:after="0" w:line="162"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"Investments"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Radio One or any Subsidiary of Radio One sells or otherwise disposes of any Equity Interests of any direct or indirect Subsidiary of Radio One such that, after giving effect to any such sale or disposition, such Person is no longer a Subsidiary of Radio One, Radio One will be deemed to have made an Investment on the date of any such sale or disposition equal to the fair market value of the Equity Interests of such Subsidiary not sold or disposed of in an amount determined as provided in the final paragraph of the covenant described above under the caption "--Certain Covenants--Restricted Payments."</w:t>
      </w:r>
    </w:p>
    <w:p>
      <w:pPr>
        <w:spacing w:after="0" w:line="173"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"Leverage Ratio" means the ratio of (i) the aggregate outstanding amount of Indebtedness of each of Radio One and the Restricted Subsidiaries as of the last day of the most recently ended fiscal quarter for which financial statements are internally available as of the date of calculation on a combined consolidated basis in accordance with GAAP (subject to the terms described in the next paragraph) plus the aggregate liquidation preference of all outstanding Disqualified Stock of Radio One and preferred stock of the Restricted Subsidiaries (except preferred stock issued to Radio One or a Restricted Subsidiary) as of the last day of such fiscal quarter to (ii) the aggregate Consolidated Cash Flow of Radio One for the last four full fiscal quarters for which financial statements are internally available ending on or prior to the date of determination (the "Reference Period").</w:t>
      </w:r>
    </w:p>
    <w:p>
      <w:pPr>
        <w:spacing w:after="0" w:line="164"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For purposes of this definition, the aggregate outstanding principal amount of Indebtedness of Radio One and the Restricted Subsidiaries and the aggregate liquidation preference of all outstanding preferred stock of the Restricted Subsidiaries for which such calculation is made shall be determined on a pro forma basis as if the Indebtedness and preferred stock giving rise to the need to perform such calculation had been incurred and issued and the proceeds therefrom had been applied, and all other transactions in respect of which such Indebtedness is being incurred or preferred stock is being issued had occurred, on the first day of such Reference Period. In addition to the foregoing, for purposes of this definition, the Leverage Ratio shall be calculated on a pro forma basis after giving effect to (i) the incurrence of the Indebtedness of such Person and the Restricted Subsidiaries and the issuance of the preferred stock of such Subsidiaries (and the application of the proceeds therefrom) giving rise to the need to make such calculation and any incurrence (and the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20" w:right="1440" w:bottom="1440" w:gutter="0" w:footer="0" w:header="0"/>
        </w:sectPr>
      </w:pPr>
    </w:p>
    <w:bookmarkStart w:id="86" w:name="page87"/>
    <w:bookmarkEnd w:id="86"/>
    <w:p>
      <w:pPr>
        <w:ind w:right="3379"/>
        <w:spacing w:after="0" w:line="252" w:lineRule="auto"/>
        <w:rPr>
          <w:sz w:val="20"/>
          <w:szCs w:val="20"/>
          <w:color w:val="auto"/>
        </w:rPr>
      </w:pPr>
      <w:r>
        <w:rPr>
          <w:rFonts w:ascii="Courier New" w:cs="Courier New" w:eastAsia="Courier New" w:hAnsi="Courier New"/>
          <w:sz w:val="14"/>
          <w:szCs w:val="14"/>
          <w:color w:val="auto"/>
        </w:rPr>
        <w:t>application of the proceeds therefrom) or repayment of other Indebtedness or preferred stock, at any time subsequent to the beginning of the Reference Period and on or prior to the date of determination (including any such incurrence or issuance which is the subject of an Incurrence Notice delivered to the Trustee during such period pursuant to clause (12) of the definition of Permitted Debt), as if such incurrence or issuance (and the application of the proceeds thereof), or the repayment, as the case may be, occurred on the first day of the Reference Period (except that, in making such computation, the amount of Indebtedness under any revolving credit facility shall be computed based upon the average balance of such Indebtedness at the end of each month during such period) and (ii) any acquisition at any time on or subsequent to the first day of the Reference Period and on or prior to the date of determination (including any such incurrence or issuance which is the subject of an Incurrence Notice delivered to the Trustee during such period pursuant to clause (12) of the definition of Permitted Debt), as if such acquisition (including the incurrence, assumption or liability for any such Indebtedness and the issuance of such preferred stock and also including any Consolidated Cash Flow associated with such acquisition) occurred on the first day of the Reference Period giving pro forma effect to any non-recurring expenses, non-recurring costs and cost reductions within the first year after such acquisition Radio One reasonably anticipates in good faith if Radio One delivers to the Trustee an officer's certificate executed by the chief financial or accounting officer of Radio One certifying to and describing and quantifying with reasonable specificity such non-recurring expenses, non-recurring costs and cost reductions. Furthermore, in calculating Consolidated Interest Expense for purposes of the calculation of Consolidated Cash Flow, (a) interest on Indebtedness determined on a fluctuating basis as of the date of determination (including Indebtedness actually incurred on the date of the transaction giving rise to the need to calculate the Leverage Ratio) and which will continue to be so determined thereafter shall be deemed to have accrued at a fixed rate per annum equal to the rate of interest on such Indebtedness as in effect on the date of determination and (b) notwithstanding (a) above, interest determined on a fluctuating basis, to the extent such interest is covered by Hedging Obligations, shall be deemed to accrue at the rate per annum resulting after giving effect to the operation of such agreements.</w:t>
      </w:r>
    </w:p>
    <w:p>
      <w:pPr>
        <w:spacing w:after="0" w:line="347"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"LMA" means a local marketing arrangement, joint sales agreement, time brokerage agreement, shared services agreement, management agreement or similar arrangement pursuant to which a Person, subject to customary preemption rights and other limitations (i) obtains the right to sell a portion of the advertising inventory of a radio station of which a third party is the licensee, (ii) obtains the right to exhibit programming and sell advertising time during a portion of the air time of a radio station or (iii) manages a portion of the operations of a radio station.</w:t>
      </w:r>
    </w:p>
    <w:p>
      <w:pPr>
        <w:spacing w:after="0" w:line="165" w:lineRule="exact"/>
        <w:rPr>
          <w:sz w:val="20"/>
          <w:szCs w:val="20"/>
          <w:color w:val="auto"/>
        </w:rPr>
      </w:pPr>
    </w:p>
    <w:p>
      <w:pPr>
        <w:ind w:right="3719" w:firstLine="260"/>
        <w:spacing w:after="0" w:line="255" w:lineRule="auto"/>
        <w:rPr>
          <w:sz w:val="20"/>
          <w:szCs w:val="20"/>
          <w:color w:val="auto"/>
        </w:rPr>
      </w:pPr>
      <w:r>
        <w:rPr>
          <w:rFonts w:ascii="Courier New" w:cs="Courier New" w:eastAsia="Courier New" w:hAnsi="Courier New"/>
          <w:sz w:val="14"/>
          <w:szCs w:val="14"/>
          <w:color w:val="auto"/>
        </w:rPr>
        <w:t>"Net Income" means, with respect to any specified Person, the net income (loss) of such Person, determined in accordance with GAAP and before any reduction in respect of preferred stock dividends, excluding, however:</w:t>
      </w:r>
    </w:p>
    <w:p>
      <w:pPr>
        <w:spacing w:after="0" w:line="162" w:lineRule="exact"/>
        <w:rPr>
          <w:sz w:val="20"/>
          <w:szCs w:val="20"/>
          <w:color w:val="auto"/>
        </w:rPr>
      </w:pPr>
    </w:p>
    <w:p>
      <w:pPr>
        <w:ind w:left="180" w:right="3539" w:firstLine="263"/>
        <w:spacing w:after="0" w:line="254" w:lineRule="auto"/>
        <w:tabs>
          <w:tab w:leader="none" w:pos="788"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gain (but not loss), together with any related provision for taxes on such gain (but not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162" w:lineRule="exact"/>
        <w:rPr>
          <w:rFonts w:ascii="Courier New" w:cs="Courier New" w:eastAsia="Courier New" w:hAnsi="Courier New"/>
          <w:sz w:val="14"/>
          <w:szCs w:val="14"/>
          <w:color w:val="auto"/>
        </w:rPr>
      </w:pPr>
    </w:p>
    <w:p>
      <w:pPr>
        <w:ind w:left="180" w:right="3899" w:firstLine="263"/>
        <w:spacing w:after="0" w:line="258" w:lineRule="auto"/>
        <w:tabs>
          <w:tab w:leader="none" w:pos="788"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extraordinary gain (but not loss), together with any related provision for taxes on such extraordinary gain (but not loss).</w:t>
      </w:r>
    </w:p>
    <w:p>
      <w:pPr>
        <w:spacing w:after="0" w:line="160"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"Net Proceeds" means the aggregate cash proceeds received by Radio One or any of its Restricted Subsidiaries in respect of any Asset Sale (including, without limitation, any cash received upon the sale or other disposition of any non-cash consideration received in any Asset Sale), net of (i) the direct costs relating to</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620" w:right="1440" w:bottom="1440" w:gutter="0" w:footer="0" w:header="0"/>
        </w:sectPr>
      </w:pPr>
    </w:p>
    <w:bookmarkStart w:id="87" w:name="page88"/>
    <w:bookmarkEnd w:id="87"/>
    <w:p>
      <w:pPr>
        <w:ind w:right="3459"/>
        <w:spacing w:after="0" w:line="252" w:lineRule="auto"/>
        <w:rPr>
          <w:sz w:val="20"/>
          <w:szCs w:val="20"/>
          <w:color w:val="auto"/>
        </w:rPr>
      </w:pPr>
      <w:r>
        <w:rPr>
          <w:rFonts w:ascii="Courier New" w:cs="Courier New" w:eastAsia="Courier New" w:hAnsi="Courier New"/>
          <w:sz w:val="14"/>
          <w:szCs w:val="14"/>
          <w:color w:val="auto"/>
        </w:rPr>
        <w:t>such Asset Sale, including, without limitation, legal, accounting and investment banking fees, and sales commissions, and any relocation expenses incurred as a result of the Asset Sale, (ii) taxes paid or payable as a result of the Asset Sale, in each case, after taking into account any available tax credits or deductions and any tax sharing arrangements, (iii) amounts required to be applied to the repayment of Indebtedness, other than Senior Debt secured by a Lien on the asset or assets that were the subject of such Asset Sale and</w:t>
      </w:r>
    </w:p>
    <w:p>
      <w:pPr>
        <w:spacing w:after="0" w:line="3" w:lineRule="exact"/>
        <w:rPr>
          <w:sz w:val="20"/>
          <w:szCs w:val="20"/>
          <w:color w:val="auto"/>
        </w:rPr>
      </w:pPr>
    </w:p>
    <w:p>
      <w:pPr>
        <w:ind w:right="3539" w:firstLine="9"/>
        <w:spacing w:after="0" w:line="258" w:lineRule="auto"/>
        <w:tabs>
          <w:tab w:leader="none" w:pos="434"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reserve for adjustment in respect of the sale price of such asset or assets established in accordance with GAAP.</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"Non-Recourse Debt" means Indebtedness:</w:t>
      </w:r>
    </w:p>
    <w:p>
      <w:pPr>
        <w:spacing w:after="0" w:line="175" w:lineRule="exact"/>
        <w:rPr>
          <w:sz w:val="20"/>
          <w:szCs w:val="20"/>
          <w:color w:val="auto"/>
        </w:rPr>
      </w:pPr>
    </w:p>
    <w:p>
      <w:pPr>
        <w:ind w:left="180" w:right="3639" w:firstLine="263"/>
        <w:spacing w:after="0" w:line="254" w:lineRule="auto"/>
        <w:tabs>
          <w:tab w:leader="none" w:pos="788"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which neither Radio One, the Guarantors, nor any of the Restricted Subsidiaries (a) provides credit support of any kind (including any undertaking, agreement or instrument that would constitute Indebtedness), (b) is directly or indirectly liable as a guarantor or otherwise, or (c) constitutes the lender; and</w:t>
      </w:r>
    </w:p>
    <w:p>
      <w:pPr>
        <w:spacing w:after="0" w:line="162" w:lineRule="exact"/>
        <w:rPr>
          <w:rFonts w:ascii="Courier New" w:cs="Courier New" w:eastAsia="Courier New" w:hAnsi="Courier New"/>
          <w:sz w:val="14"/>
          <w:szCs w:val="14"/>
          <w:color w:val="auto"/>
        </w:rPr>
      </w:pPr>
    </w:p>
    <w:p>
      <w:pPr>
        <w:ind w:left="180" w:right="3639" w:firstLine="263"/>
        <w:spacing w:after="0" w:line="253" w:lineRule="auto"/>
        <w:tabs>
          <w:tab w:leader="none" w:pos="788"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with respect to which (including any rights that the holders of the Indebtedness may have to take enforcement action against an Unrestricted Subsidiary) would permit upon notice, lapse of time or both any holder of any other Indebtedness (other than the Notes) of Radio One, the Guarantors, or any of the Restricted Subsidiaries to declare a default on such other Indebtedness or cause the payment of the Indebtedness to be accelerated or payable prior to its stated maturity.</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"Obligations" means any principal, interest, penalties, fees, indemnifications, reimbursements, damages and other liabilities payable under the documentation governing any Indebtedness and in all cases whether direct or indirect, absolute or contingent, now outstanding or hereafter created, assumed or incurred and including, without limitation, interest accruing subsequent to the filing of a petition in bankruptcy or the commencement of any insolvency, reorganization or similar proceedings at the rate provided in the relevant documentation, whether or not an allowed claim, and any obligation to redeem or defease any of the foregoing.</w:t>
      </w:r>
    </w:p>
    <w:p>
      <w:pPr>
        <w:spacing w:after="0" w:line="164"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"Permitted Asset Swap" means, with respect to any Person, the substantially concurrent exchange of assets of such Person (including Equity Interests of a Restricted Subsidiary) for assets of another Person, which assets are useful to the business of such aforementioned Person.</w:t>
      </w:r>
    </w:p>
    <w:p>
      <w:pPr>
        <w:spacing w:after="0" w:line="163" w:lineRule="exact"/>
        <w:rPr>
          <w:sz w:val="20"/>
          <w:szCs w:val="20"/>
          <w:color w:val="auto"/>
        </w:rPr>
      </w:pPr>
    </w:p>
    <w:p>
      <w:pPr>
        <w:jc w:val="both"/>
        <w:ind w:right="3899" w:firstLine="260"/>
        <w:spacing w:after="0" w:line="255" w:lineRule="auto"/>
        <w:rPr>
          <w:sz w:val="20"/>
          <w:szCs w:val="20"/>
          <w:color w:val="auto"/>
        </w:rPr>
      </w:pPr>
      <w:r>
        <w:rPr>
          <w:rFonts w:ascii="Courier New" w:cs="Courier New" w:eastAsia="Courier New" w:hAnsi="Courier New"/>
          <w:sz w:val="14"/>
          <w:szCs w:val="14"/>
          <w:color w:val="auto"/>
        </w:rPr>
        <w:t>"Permitted Business" means any business engaged in by Radio One or its Restricted Subsidiaries as of the Closing Date or any business reasonably related, ancillary or complementary thereto.</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"Permitted Investments" means:</w:t>
      </w:r>
    </w:p>
    <w:p>
      <w:pPr>
        <w:spacing w:after="0" w:line="175" w:lineRule="exact"/>
        <w:rPr>
          <w:sz w:val="20"/>
          <w:szCs w:val="20"/>
          <w:color w:val="auto"/>
        </w:rPr>
      </w:pPr>
    </w:p>
    <w:p>
      <w:pPr>
        <w:ind w:left="800" w:hanging="357"/>
        <w:spacing w:after="0"/>
        <w:tabs>
          <w:tab w:leader="none" w:pos="80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in Radio One or in a Restricted Subsidiary;</w:t>
      </w:r>
    </w:p>
    <w:p>
      <w:pPr>
        <w:spacing w:after="0" w:line="175"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in Cash Equivalents;</w:t>
      </w:r>
    </w:p>
    <w:p>
      <w:pPr>
        <w:spacing w:after="0" w:line="175" w:lineRule="exact"/>
        <w:rPr>
          <w:rFonts w:ascii="Courier New" w:cs="Courier New" w:eastAsia="Courier New" w:hAnsi="Courier New"/>
          <w:sz w:val="14"/>
          <w:szCs w:val="14"/>
          <w:color w:val="auto"/>
        </w:rPr>
      </w:pPr>
    </w:p>
    <w:p>
      <w:pPr>
        <w:ind w:left="180" w:right="4159" w:firstLine="263"/>
        <w:spacing w:after="0" w:line="258" w:lineRule="auto"/>
        <w:tabs>
          <w:tab w:leader="none" w:pos="788"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by Radio One or any Restricted Subsidiary in a Person, if as a result of such Investment:</w:t>
      </w:r>
    </w:p>
    <w:p>
      <w:pPr>
        <w:spacing w:after="0" w:line="159" w:lineRule="exact"/>
        <w:rPr>
          <w:rFonts w:ascii="Courier New" w:cs="Courier New" w:eastAsia="Courier New" w:hAnsi="Courier New"/>
          <w:sz w:val="14"/>
          <w:szCs w:val="14"/>
          <w:color w:val="auto"/>
        </w:rPr>
      </w:pPr>
    </w:p>
    <w:p>
      <w:pPr>
        <w:ind w:left="960" w:hanging="343"/>
        <w:spacing w:after="0"/>
        <w:tabs>
          <w:tab w:leader="none" w:pos="960"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 becomes a Restricted Subsidiary of Radio One; or</w:t>
      </w:r>
    </w:p>
    <w:p>
      <w:pPr>
        <w:spacing w:after="0" w:line="175" w:lineRule="exact"/>
        <w:rPr>
          <w:rFonts w:ascii="Courier New" w:cs="Courier New" w:eastAsia="Courier New" w:hAnsi="Courier New"/>
          <w:sz w:val="14"/>
          <w:szCs w:val="14"/>
          <w:color w:val="auto"/>
        </w:rPr>
      </w:pPr>
    </w:p>
    <w:p>
      <w:pPr>
        <w:ind w:left="360" w:right="3719" w:firstLine="257"/>
        <w:spacing w:after="0" w:line="255" w:lineRule="auto"/>
        <w:tabs>
          <w:tab w:leader="none" w:pos="968"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 is merged, consolidated or amalgamated with or into, or transfers or conveys substantially all of its assets to, or is liquidated into, Radio One or a Restricted Subsidiary;</w:t>
      </w:r>
    </w:p>
    <w:p>
      <w:pPr>
        <w:spacing w:after="0" w:line="162" w:lineRule="exact"/>
        <w:rPr>
          <w:rFonts w:ascii="Courier New" w:cs="Courier New" w:eastAsia="Courier New" w:hAnsi="Courier New"/>
          <w:sz w:val="14"/>
          <w:szCs w:val="14"/>
          <w:color w:val="auto"/>
        </w:rPr>
      </w:pPr>
    </w:p>
    <w:p>
      <w:pPr>
        <w:jc w:val="both"/>
        <w:ind w:left="180" w:right="4319" w:firstLine="263"/>
        <w:spacing w:after="0" w:line="254" w:lineRule="auto"/>
        <w:tabs>
          <w:tab w:leader="none" w:pos="788"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made as a result of the receipt of non-cash consideration from an Asset Sale that was made pursuant to and in compliance with the covenant described above under the caption "-- Repurchase at the Option of Holders--Asset Sales;"</w:t>
      </w:r>
    </w:p>
    <w:p>
      <w:pPr>
        <w:spacing w:after="0" w:line="163" w:lineRule="exact"/>
        <w:rPr>
          <w:rFonts w:ascii="Courier New" w:cs="Courier New" w:eastAsia="Courier New" w:hAnsi="Courier New"/>
          <w:sz w:val="14"/>
          <w:szCs w:val="14"/>
          <w:color w:val="auto"/>
        </w:rPr>
      </w:pPr>
    </w:p>
    <w:p>
      <w:pPr>
        <w:ind w:left="180" w:right="3899" w:firstLine="263"/>
        <w:spacing w:after="0" w:line="255" w:lineRule="auto"/>
        <w:tabs>
          <w:tab w:leader="none" w:pos="788"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acquisition of assets (including Investments in Unrestricted Subsidiaries) solely in exchange for the issuance of Equity Interests (other than Disqualified Stock) of Radio One;</w:t>
      </w:r>
    </w:p>
    <w:p>
      <w:pPr>
        <w:spacing w:after="0" w:line="162" w:lineRule="exact"/>
        <w:rPr>
          <w:rFonts w:ascii="Courier New" w:cs="Courier New" w:eastAsia="Courier New" w:hAnsi="Courier New"/>
          <w:sz w:val="14"/>
          <w:szCs w:val="14"/>
          <w:color w:val="auto"/>
        </w:rPr>
      </w:pPr>
    </w:p>
    <w:p>
      <w:pPr>
        <w:ind w:left="180" w:right="3639" w:firstLine="263"/>
        <w:spacing w:after="0" w:line="254" w:lineRule="auto"/>
        <w:tabs>
          <w:tab w:leader="none" w:pos="788"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and accounts receivable incurred in the ordinary course of business and any Investments received in compromise of obligations of such persons incurred in the ordinary course of trade creditors or customers that were incurred in the ordinary course of business, including pursuant to any plan of</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20" w:right="1440" w:bottom="1440" w:gutter="0" w:footer="0" w:header="0"/>
        </w:sectPr>
      </w:pPr>
    </w:p>
    <w:bookmarkStart w:id="88" w:name="page89"/>
    <w:bookmarkEnd w:id="88"/>
    <w:p>
      <w:pPr>
        <w:ind w:right="3639"/>
        <w:spacing w:after="0" w:line="258" w:lineRule="auto"/>
        <w:rPr>
          <w:sz w:val="20"/>
          <w:szCs w:val="20"/>
          <w:color w:val="auto"/>
        </w:rPr>
      </w:pPr>
      <w:r>
        <w:rPr>
          <w:rFonts w:ascii="Courier New" w:cs="Courier New" w:eastAsia="Courier New" w:hAnsi="Courier New"/>
          <w:sz w:val="14"/>
          <w:szCs w:val="14"/>
          <w:color w:val="auto"/>
        </w:rPr>
        <w:t>reorganization or similar arrangement upon the bankruptcy or insolvency of any trade creditor or customer;</w:t>
      </w:r>
    </w:p>
    <w:p>
      <w:pPr>
        <w:spacing w:after="0" w:line="160" w:lineRule="exact"/>
        <w:rPr>
          <w:sz w:val="20"/>
          <w:szCs w:val="20"/>
          <w:color w:val="auto"/>
        </w:rPr>
      </w:pPr>
    </w:p>
    <w:p>
      <w:pPr>
        <w:ind w:left="620" w:hanging="357"/>
        <w:spacing w:after="0"/>
        <w:tabs>
          <w:tab w:leader="none" w:pos="62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Hedging Obligations;</w:t>
      </w:r>
    </w:p>
    <w:p>
      <w:pPr>
        <w:spacing w:after="0" w:line="175" w:lineRule="exact"/>
        <w:rPr>
          <w:rFonts w:ascii="Courier New" w:cs="Courier New" w:eastAsia="Courier New" w:hAnsi="Courier New"/>
          <w:sz w:val="14"/>
          <w:szCs w:val="14"/>
          <w:color w:val="auto"/>
        </w:rPr>
      </w:pPr>
    </w:p>
    <w:p>
      <w:pPr>
        <w:ind w:right="3719" w:firstLine="263"/>
        <w:spacing w:after="0" w:line="258" w:lineRule="auto"/>
        <w:tabs>
          <w:tab w:leader="none" w:pos="608"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 of loans to management incurred pursuant to clause (13) of the definition of Permitted Debt;</w:t>
      </w:r>
    </w:p>
    <w:p>
      <w:pPr>
        <w:spacing w:after="0" w:line="159" w:lineRule="exact"/>
        <w:rPr>
          <w:rFonts w:ascii="Courier New" w:cs="Courier New" w:eastAsia="Courier New" w:hAnsi="Courier New"/>
          <w:sz w:val="14"/>
          <w:szCs w:val="14"/>
          <w:color w:val="auto"/>
        </w:rPr>
      </w:pPr>
    </w:p>
    <w:p>
      <w:pPr>
        <w:ind w:right="3639" w:firstLine="263"/>
        <w:spacing w:after="0" w:line="255" w:lineRule="auto"/>
        <w:tabs>
          <w:tab w:leader="none" w:pos="608"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and advances to employees of Radio One or any Restricted Subsidiary in the ordinary course of business not in excess of $10,000,000 in aggregate principal amount at any time outstanding; or</w:t>
      </w:r>
    </w:p>
    <w:p>
      <w:pPr>
        <w:spacing w:after="0" w:line="162" w:lineRule="exact"/>
        <w:rPr>
          <w:rFonts w:ascii="Courier New" w:cs="Courier New" w:eastAsia="Courier New" w:hAnsi="Courier New"/>
          <w:sz w:val="14"/>
          <w:szCs w:val="14"/>
          <w:color w:val="auto"/>
        </w:rPr>
      </w:pPr>
    </w:p>
    <w:p>
      <w:pPr>
        <w:ind w:right="3539" w:firstLine="263"/>
        <w:spacing w:after="0" w:line="254" w:lineRule="auto"/>
        <w:tabs>
          <w:tab w:leader="none" w:pos="69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Investments in any Person having an aggregate fair market value (measured on the date each such Investment was made and without giving effect to subsequent changes in value), when taken together with all other Investments made pursuant to this clause (10) that are at the time outstanding not to exceed $30.0 million.</w:t>
      </w:r>
    </w:p>
    <w:p>
      <w:pPr>
        <w:spacing w:after="0" w:line="16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"Permitted Liens" means:</w:t>
      </w:r>
    </w:p>
    <w:p>
      <w:pPr>
        <w:spacing w:after="0" w:line="175" w:lineRule="exact"/>
        <w:rPr>
          <w:sz w:val="20"/>
          <w:szCs w:val="20"/>
          <w:color w:val="auto"/>
        </w:rPr>
      </w:pPr>
    </w:p>
    <w:p>
      <w:pPr>
        <w:jc w:val="both"/>
        <w:ind w:right="3539" w:firstLine="263"/>
        <w:spacing w:after="0" w:line="255" w:lineRule="auto"/>
        <w:tabs>
          <w:tab w:leader="none" w:pos="608"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of Radio One and any Guarantor securing Indebtedness and other Obligations under Credit Facilities that were securing Senior Debt that was permitted by the terms of the Indenture to be incurred;</w:t>
      </w:r>
    </w:p>
    <w:p>
      <w:pPr>
        <w:spacing w:after="0" w:line="162" w:lineRule="exact"/>
        <w:rPr>
          <w:rFonts w:ascii="Courier New" w:cs="Courier New" w:eastAsia="Courier New" w:hAnsi="Courier New"/>
          <w:sz w:val="14"/>
          <w:szCs w:val="14"/>
          <w:color w:val="auto"/>
        </w:rPr>
      </w:pPr>
    </w:p>
    <w:p>
      <w:pPr>
        <w:ind w:left="620" w:hanging="357"/>
        <w:spacing w:after="0"/>
        <w:tabs>
          <w:tab w:leader="none" w:pos="6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favor of Radio One or the Guarantors;</w:t>
      </w:r>
    </w:p>
    <w:p>
      <w:pPr>
        <w:spacing w:after="0" w:line="175" w:lineRule="exact"/>
        <w:rPr>
          <w:rFonts w:ascii="Courier New" w:cs="Courier New" w:eastAsia="Courier New" w:hAnsi="Courier New"/>
          <w:sz w:val="14"/>
          <w:szCs w:val="14"/>
          <w:color w:val="auto"/>
        </w:rPr>
      </w:pPr>
    </w:p>
    <w:p>
      <w:pPr>
        <w:ind w:right="3639" w:firstLine="263"/>
        <w:spacing w:after="0" w:line="253" w:lineRule="auto"/>
        <w:tabs>
          <w:tab w:leader="none" w:pos="608"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of a Person existing at the time such Person is merged with or into or consolidated with Radio One or any Restricted Subsidiary of Radio One; provided that such Liens were in existence prior to the contemplation of such merger or consolidation and do not extend to any assets other than those of the Person merged into or consolidated with Radio One or the Subsidiary;</w:t>
      </w:r>
    </w:p>
    <w:p>
      <w:pPr>
        <w:spacing w:after="0" w:line="165" w:lineRule="exact"/>
        <w:rPr>
          <w:rFonts w:ascii="Courier New" w:cs="Courier New" w:eastAsia="Courier New" w:hAnsi="Courier New"/>
          <w:sz w:val="14"/>
          <w:szCs w:val="14"/>
          <w:color w:val="auto"/>
        </w:rPr>
      </w:pPr>
    </w:p>
    <w:p>
      <w:pPr>
        <w:ind w:right="3719" w:firstLine="263"/>
        <w:spacing w:after="0" w:line="254" w:lineRule="auto"/>
        <w:tabs>
          <w:tab w:leader="none" w:pos="608"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existing at the time of acquisition of the property by Radio One or any Restricted Subsidiary of Radio One, provided that such Liens were in existence prior to the contemplation of such acquisition;</w:t>
      </w:r>
    </w:p>
    <w:p>
      <w:pPr>
        <w:spacing w:after="0" w:line="163" w:lineRule="exact"/>
        <w:rPr>
          <w:rFonts w:ascii="Courier New" w:cs="Courier New" w:eastAsia="Courier New" w:hAnsi="Courier New"/>
          <w:sz w:val="14"/>
          <w:szCs w:val="14"/>
          <w:color w:val="auto"/>
        </w:rPr>
      </w:pPr>
    </w:p>
    <w:p>
      <w:pPr>
        <w:ind w:right="3639" w:firstLine="263"/>
        <w:spacing w:after="0" w:line="255" w:lineRule="auto"/>
        <w:tabs>
          <w:tab w:leader="none" w:pos="608"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to secure the performance of statutory obligations, surety or appeal bonds, performance bonds or other obligations of a like nature incurred in the ordinary course of business;</w:t>
      </w:r>
    </w:p>
    <w:p>
      <w:pPr>
        <w:spacing w:after="0" w:line="162" w:lineRule="exact"/>
        <w:rPr>
          <w:rFonts w:ascii="Courier New" w:cs="Courier New" w:eastAsia="Courier New" w:hAnsi="Courier New"/>
          <w:sz w:val="14"/>
          <w:szCs w:val="14"/>
          <w:color w:val="auto"/>
        </w:rPr>
      </w:pPr>
    </w:p>
    <w:p>
      <w:pPr>
        <w:ind w:right="3639" w:firstLine="263"/>
        <w:spacing w:after="0" w:line="254" w:lineRule="auto"/>
        <w:tabs>
          <w:tab w:leader="none" w:pos="608"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to secure Indebtedness (including Capital Lease Obligations) permitted by clause (4) of the second paragraph of the covenant entitled "--Certain Covenants--Incurrence of Indebtedness and Issuance of Preferred Stock" covering only the assets acquired with such Indebtedness;</w:t>
      </w:r>
    </w:p>
    <w:p>
      <w:pPr>
        <w:spacing w:after="0" w:line="163" w:lineRule="exact"/>
        <w:rPr>
          <w:rFonts w:ascii="Courier New" w:cs="Courier New" w:eastAsia="Courier New" w:hAnsi="Courier New"/>
          <w:sz w:val="14"/>
          <w:szCs w:val="14"/>
          <w:color w:val="auto"/>
        </w:rPr>
      </w:pPr>
    </w:p>
    <w:p>
      <w:pPr>
        <w:ind w:left="620" w:hanging="357"/>
        <w:spacing w:after="0"/>
        <w:tabs>
          <w:tab w:leader="none" w:pos="6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date of the Indenture;</w:t>
      </w:r>
    </w:p>
    <w:p>
      <w:pPr>
        <w:spacing w:after="0" w:line="175" w:lineRule="exact"/>
        <w:rPr>
          <w:rFonts w:ascii="Courier New" w:cs="Courier New" w:eastAsia="Courier New" w:hAnsi="Courier New"/>
          <w:sz w:val="14"/>
          <w:szCs w:val="14"/>
          <w:color w:val="auto"/>
        </w:rPr>
      </w:pPr>
    </w:p>
    <w:p>
      <w:pPr>
        <w:ind w:right="3639" w:firstLine="263"/>
        <w:spacing w:after="0" w:line="254" w:lineRule="auto"/>
        <w:tabs>
          <w:tab w:leader="none" w:pos="608"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is required in conformity with GAAP has been made therefor;</w:t>
      </w:r>
    </w:p>
    <w:p>
      <w:pPr>
        <w:spacing w:after="0" w:line="162" w:lineRule="exact"/>
        <w:rPr>
          <w:rFonts w:ascii="Courier New" w:cs="Courier New" w:eastAsia="Courier New" w:hAnsi="Courier New"/>
          <w:sz w:val="14"/>
          <w:szCs w:val="14"/>
          <w:color w:val="auto"/>
        </w:rPr>
      </w:pPr>
    </w:p>
    <w:p>
      <w:pPr>
        <w:jc w:val="both"/>
        <w:ind w:right="3799" w:firstLine="263"/>
        <w:spacing w:after="0" w:line="255" w:lineRule="auto"/>
        <w:tabs>
          <w:tab w:leader="none" w:pos="608"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incurred in the ordinary course of business of Radio One or any Restricted Subsidiary with respect to obligations that do not exceed $5.0 million at any one time outstanding;</w:t>
      </w:r>
    </w:p>
    <w:p>
      <w:pPr>
        <w:spacing w:after="0" w:line="162" w:lineRule="exact"/>
        <w:rPr>
          <w:rFonts w:ascii="Courier New" w:cs="Courier New" w:eastAsia="Courier New" w:hAnsi="Courier New"/>
          <w:sz w:val="14"/>
          <w:szCs w:val="14"/>
          <w:color w:val="auto"/>
        </w:rPr>
      </w:pPr>
    </w:p>
    <w:p>
      <w:pPr>
        <w:ind w:right="4059" w:firstLine="263"/>
        <w:spacing w:after="0" w:line="258" w:lineRule="auto"/>
        <w:tabs>
          <w:tab w:leader="none" w:pos="69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assets of Unrestricted Subsidiaries that secure Non-Recourse Debt of Unrestricted Subsidiaries;</w:t>
      </w:r>
    </w:p>
    <w:p>
      <w:pPr>
        <w:spacing w:after="0" w:line="159" w:lineRule="exact"/>
        <w:rPr>
          <w:rFonts w:ascii="Courier New" w:cs="Courier New" w:eastAsia="Courier New" w:hAnsi="Courier New"/>
          <w:sz w:val="14"/>
          <w:szCs w:val="14"/>
          <w:color w:val="auto"/>
        </w:rPr>
      </w:pPr>
    </w:p>
    <w:p>
      <w:pPr>
        <w:ind w:right="3539" w:firstLine="263"/>
        <w:spacing w:after="0" w:line="255" w:lineRule="auto"/>
        <w:tabs>
          <w:tab w:leader="none" w:pos="69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to secure Indebtedness that is pari passu in right of payment with the Notes, provided that the Notes are equally and ratably secured thereby;</w:t>
      </w:r>
    </w:p>
    <w:p>
      <w:pPr>
        <w:spacing w:after="0" w:line="162" w:lineRule="exact"/>
        <w:rPr>
          <w:rFonts w:ascii="Courier New" w:cs="Courier New" w:eastAsia="Courier New" w:hAnsi="Courier New"/>
          <w:sz w:val="14"/>
          <w:szCs w:val="14"/>
          <w:color w:val="auto"/>
        </w:rPr>
      </w:pPr>
    </w:p>
    <w:p>
      <w:pPr>
        <w:ind w:right="3639" w:firstLine="263"/>
        <w:spacing w:after="0" w:line="258" w:lineRule="auto"/>
        <w:tabs>
          <w:tab w:leader="none" w:pos="69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Permitted Refinancing Indebtedness where the liens securing indebtedness being refinanced were permitted under the Indenture;</w:t>
      </w:r>
    </w:p>
    <w:p>
      <w:pPr>
        <w:spacing w:after="0" w:line="159" w:lineRule="exact"/>
        <w:rPr>
          <w:rFonts w:ascii="Courier New" w:cs="Courier New" w:eastAsia="Courier New" w:hAnsi="Courier New"/>
          <w:sz w:val="14"/>
          <w:szCs w:val="14"/>
          <w:color w:val="auto"/>
        </w:rPr>
      </w:pPr>
    </w:p>
    <w:p>
      <w:pPr>
        <w:ind w:right="3539" w:firstLine="263"/>
        <w:spacing w:after="0" w:line="255" w:lineRule="auto"/>
        <w:tabs>
          <w:tab w:leader="none" w:pos="69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easements, rights-of-way, zoning and similar restrictions and other similar encumbrances or title defects incurred or imposed, as applicable, in the ordinary course of business and consistent with industry practices;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059"/>
          </w:cols>
          <w:pgMar w:left="400" w:top="620" w:right="1440" w:bottom="1440" w:gutter="0" w:footer="0" w:header="0"/>
        </w:sectPr>
      </w:pPr>
    </w:p>
    <w:bookmarkStart w:id="89" w:name="page90"/>
    <w:bookmarkEnd w:id="89"/>
    <w:p>
      <w:pPr>
        <w:ind w:left="180" w:right="4419" w:firstLine="263"/>
        <w:spacing w:after="0" w:line="258" w:lineRule="auto"/>
        <w:tabs>
          <w:tab w:leader="none" w:pos="87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or title of a lessor under any Capital Lease Obligation;</w:t>
      </w:r>
    </w:p>
    <w:p>
      <w:pPr>
        <w:spacing w:after="0" w:line="159" w:lineRule="exact"/>
        <w:rPr>
          <w:rFonts w:ascii="Courier New" w:cs="Courier New" w:eastAsia="Courier New" w:hAnsi="Courier New"/>
          <w:sz w:val="14"/>
          <w:szCs w:val="14"/>
          <w:color w:val="auto"/>
        </w:rPr>
      </w:pPr>
    </w:p>
    <w:p>
      <w:pPr>
        <w:ind w:left="180" w:right="3539" w:firstLine="263"/>
        <w:spacing w:after="0" w:line="255" w:lineRule="auto"/>
        <w:tabs>
          <w:tab w:leader="none" w:pos="87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reimbursement obligations with respect to commercial letters of credit which encumber documents and other property relating to letters of credit and products and proceeds thereof;</w:t>
      </w:r>
    </w:p>
    <w:p>
      <w:pPr>
        <w:spacing w:after="0" w:line="162" w:lineRule="exact"/>
        <w:rPr>
          <w:rFonts w:ascii="Courier New" w:cs="Courier New" w:eastAsia="Courier New" w:hAnsi="Courier New"/>
          <w:sz w:val="14"/>
          <w:szCs w:val="14"/>
          <w:color w:val="auto"/>
        </w:rPr>
      </w:pPr>
    </w:p>
    <w:p>
      <w:pPr>
        <w:jc w:val="both"/>
        <w:ind w:left="180" w:right="3799" w:firstLine="263"/>
        <w:spacing w:after="0" w:line="255" w:lineRule="auto"/>
        <w:tabs>
          <w:tab w:leader="none" w:pos="87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encumbering deposits made to secure statutory, regulatory, contractual or warranty obligations, including rights of offset and set-off;</w:t>
      </w:r>
    </w:p>
    <w:p>
      <w:pPr>
        <w:spacing w:after="0" w:line="162" w:lineRule="exact"/>
        <w:rPr>
          <w:rFonts w:ascii="Courier New" w:cs="Courier New" w:eastAsia="Courier New" w:hAnsi="Courier New"/>
          <w:sz w:val="14"/>
          <w:szCs w:val="14"/>
          <w:color w:val="auto"/>
        </w:rPr>
      </w:pPr>
    </w:p>
    <w:p>
      <w:pPr>
        <w:ind w:left="180" w:right="3539" w:firstLine="263"/>
        <w:spacing w:after="0" w:line="258" w:lineRule="auto"/>
        <w:tabs>
          <w:tab w:leader="none" w:pos="87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Hedging Obligations which Hedging Obligations relate to Indebtedness that is otherwise permitted under the Indenture;</w:t>
      </w:r>
    </w:p>
    <w:p>
      <w:pPr>
        <w:spacing w:after="0" w:line="159"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or subleases granted to others;</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under licensing agreements;</w:t>
      </w:r>
    </w:p>
    <w:p>
      <w:pPr>
        <w:spacing w:after="0" w:line="175" w:lineRule="exact"/>
        <w:rPr>
          <w:rFonts w:ascii="Courier New" w:cs="Courier New" w:eastAsia="Courier New" w:hAnsi="Courier New"/>
          <w:sz w:val="14"/>
          <w:szCs w:val="14"/>
          <w:color w:val="auto"/>
        </w:rPr>
      </w:pPr>
    </w:p>
    <w:p>
      <w:pPr>
        <w:ind w:left="180" w:right="4239" w:firstLine="263"/>
        <w:spacing w:after="0" w:line="258" w:lineRule="auto"/>
        <w:tabs>
          <w:tab w:leader="none" w:pos="87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from filing Uniform Commercial Code financing statements regarding leases;</w:t>
      </w:r>
    </w:p>
    <w:p>
      <w:pPr>
        <w:spacing w:after="0" w:line="159"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judgment Liens not giving rise to an Event of Default;</w:t>
      </w:r>
    </w:p>
    <w:p>
      <w:pPr>
        <w:spacing w:after="0" w:line="175" w:lineRule="exact"/>
        <w:rPr>
          <w:rFonts w:ascii="Courier New" w:cs="Courier New" w:eastAsia="Courier New" w:hAnsi="Courier New"/>
          <w:sz w:val="14"/>
          <w:szCs w:val="14"/>
          <w:color w:val="auto"/>
        </w:rPr>
      </w:pPr>
    </w:p>
    <w:p>
      <w:pPr>
        <w:ind w:left="180" w:right="3539" w:firstLine="263"/>
        <w:spacing w:after="0" w:line="253" w:lineRule="auto"/>
        <w:tabs>
          <w:tab w:leader="none" w:pos="87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encumbering property of Radio One or a Restricted Subsidiary consisting of carriers, warehousemen, mechanics, materialmen, repairmen, and landlords, and other Liens arising by operation of law and incurred in the ordinary course of business for sums which are not overdue or which are being contested in good faith by appropriate proceedings and (if so contested) for which appropriate reserves with respect thereto have been established and maintained on the books of Radio One or a Restricted Subsidiary in accordance with GAAP; and</w:t>
      </w:r>
    </w:p>
    <w:p>
      <w:pPr>
        <w:spacing w:after="0" w:line="164" w:lineRule="exact"/>
        <w:rPr>
          <w:rFonts w:ascii="Courier New" w:cs="Courier New" w:eastAsia="Courier New" w:hAnsi="Courier New"/>
          <w:sz w:val="14"/>
          <w:szCs w:val="14"/>
          <w:color w:val="auto"/>
        </w:rPr>
      </w:pPr>
    </w:p>
    <w:p>
      <w:pPr>
        <w:ind w:left="180" w:right="3539" w:firstLine="263"/>
        <w:spacing w:after="0" w:line="253" w:lineRule="auto"/>
        <w:tabs>
          <w:tab w:leader="none" w:pos="87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encumbering property of Radio One or a Restricted Subsidiary incurred in the ordinary course of business in connection with workers' compensation, unemployment insurance, or other forms of governmental insurance or benefits, or to secure performance of bids, tenders, statutory obligations, leases, and contracts (other than for Indebtedness) entered into in the ordinary course of business of Radio One or a Restricted Subsidiary.</w:t>
      </w:r>
    </w:p>
    <w:p>
      <w:pPr>
        <w:spacing w:after="0" w:line="332"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"Permitted Refinancing Indebtedness" means any Indebtedness of Radio One or any of its Restricted Subsidiaries issued in exchange for, or the net proceeds of which are used to extend, refinance, renew, replace, defease or refund other Indebtedness of Radio One or any of its Restricted Subsidiaries (other than intercompany Indebtedness); provided that:</w:t>
      </w:r>
    </w:p>
    <w:p>
      <w:pPr>
        <w:spacing w:after="0" w:line="162" w:lineRule="exact"/>
        <w:rPr>
          <w:sz w:val="20"/>
          <w:szCs w:val="20"/>
          <w:color w:val="auto"/>
        </w:rPr>
      </w:pPr>
    </w:p>
    <w:p>
      <w:pPr>
        <w:ind w:left="180" w:right="3539" w:firstLine="263"/>
        <w:spacing w:after="0" w:line="253" w:lineRule="auto"/>
        <w:tabs>
          <w:tab w:leader="none" w:pos="788"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w:t>
      </w:r>
    </w:p>
    <w:p>
      <w:pPr>
        <w:spacing w:after="0" w:line="165"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62" w:lineRule="exact"/>
        <w:rPr>
          <w:rFonts w:ascii="Courier New" w:cs="Courier New" w:eastAsia="Courier New" w:hAnsi="Courier New"/>
          <w:sz w:val="14"/>
          <w:szCs w:val="14"/>
          <w:color w:val="auto"/>
        </w:rPr>
      </w:pPr>
    </w:p>
    <w:p>
      <w:pPr>
        <w:ind w:left="180" w:right="3539" w:firstLine="263"/>
        <w:spacing w:after="0" w:line="253" w:lineRule="auto"/>
        <w:tabs>
          <w:tab w:leader="none" w:pos="788"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Indebtedness being extended, refinanced, renewed, replaced, defeased or refunded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164" w:lineRule="exact"/>
        <w:rPr>
          <w:rFonts w:ascii="Courier New" w:cs="Courier New" w:eastAsia="Courier New" w:hAnsi="Courier New"/>
          <w:sz w:val="14"/>
          <w:szCs w:val="14"/>
          <w:color w:val="auto"/>
        </w:rPr>
      </w:pPr>
    </w:p>
    <w:p>
      <w:pPr>
        <w:jc w:val="both"/>
        <w:ind w:left="180" w:right="4319" w:firstLine="263"/>
        <w:spacing w:after="0" w:line="255" w:lineRule="auto"/>
        <w:tabs>
          <w:tab w:leader="none" w:pos="788"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Indebtedness is incurred either by Radio One or by the Restricted Subsidiary who is the obligor on the Indebtedness being extended, refinanced, renewed, replaced, defeased or refunded.</w:t>
      </w:r>
    </w:p>
    <w:p>
      <w:pPr>
        <w:spacing w:after="0" w:line="162" w:lineRule="exact"/>
        <w:rPr>
          <w:sz w:val="20"/>
          <w:szCs w:val="20"/>
          <w:color w:val="auto"/>
        </w:rPr>
      </w:pPr>
    </w:p>
    <w:p>
      <w:pPr>
        <w:ind w:right="3539" w:firstLine="260"/>
        <w:spacing w:after="0" w:line="255" w:lineRule="auto"/>
        <w:rPr>
          <w:sz w:val="20"/>
          <w:szCs w:val="20"/>
          <w:color w:val="auto"/>
        </w:rPr>
      </w:pPr>
      <w:r>
        <w:rPr>
          <w:rFonts w:ascii="Courier New" w:cs="Courier New" w:eastAsia="Courier New" w:hAnsi="Courier New"/>
          <w:sz w:val="14"/>
          <w:szCs w:val="14"/>
          <w:color w:val="auto"/>
        </w:rPr>
        <w:t>"Person" means any individual, corporation, partnership, joint venture, association, joint-stock company, trust, unincorporated organization, limited liability company or government or other entity.</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"Principals" means Catherine L. Hughes and Alfred C. Liggins, III.</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20"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"Related Party" means:</w:t>
      </w:r>
    </w:p>
    <w:p>
      <w:pPr>
        <w:spacing w:after="0" w:line="175" w:lineRule="exact"/>
        <w:rPr>
          <w:sz w:val="20"/>
          <w:szCs w:val="20"/>
          <w:color w:val="auto"/>
        </w:rPr>
      </w:pPr>
    </w:p>
    <w:p>
      <w:pPr>
        <w:ind w:left="180" w:right="3539" w:firstLine="263"/>
        <w:spacing w:after="0" w:line="258" w:lineRule="auto"/>
        <w:tabs>
          <w:tab w:leader="none" w:pos="788"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controlling stockholder, 80% (or more) owned Subsidiary, or immediate family member (in the case of an individual) of any Principal; or</w:t>
      </w:r>
    </w:p>
    <w:p>
      <w:pPr>
        <w:spacing w:after="0" w:line="159" w:lineRule="exact"/>
        <w:rPr>
          <w:rFonts w:ascii="Courier New" w:cs="Courier New" w:eastAsia="Courier New" w:hAnsi="Courier New"/>
          <w:sz w:val="14"/>
          <w:szCs w:val="14"/>
          <w:color w:val="auto"/>
        </w:rPr>
      </w:pPr>
    </w:p>
    <w:p>
      <w:pPr>
        <w:ind w:left="180" w:right="3639" w:firstLine="263"/>
        <w:spacing w:after="0" w:line="254" w:lineRule="auto"/>
        <w:tabs>
          <w:tab w:leader="none" w:pos="788"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trust, corporation, partnership or other entity, the beneficiaries, stockholders, partners, owners or Persons beneficially holding an 80% or more controlling interest of which consist of any one or more Principals and/or such other Persons referred to in the immediately preceding clause (1).</w:t>
      </w:r>
    </w:p>
    <w:p>
      <w:pPr>
        <w:spacing w:after="0" w:line="162" w:lineRule="exact"/>
        <w:rPr>
          <w:sz w:val="20"/>
          <w:szCs w:val="20"/>
          <w:color w:val="auto"/>
        </w:rPr>
      </w:pPr>
    </w:p>
    <w:p>
      <w:pPr>
        <w:ind w:right="4239" w:firstLine="260"/>
        <w:spacing w:after="0" w:line="258" w:lineRule="auto"/>
        <w:rPr>
          <w:sz w:val="20"/>
          <w:szCs w:val="20"/>
          <w:color w:val="auto"/>
        </w:rPr>
      </w:pPr>
      <w:r>
        <w:rPr>
          <w:rFonts w:ascii="Courier New" w:cs="Courier New" w:eastAsia="Courier New" w:hAnsi="Courier New"/>
          <w:sz w:val="14"/>
          <w:szCs w:val="14"/>
          <w:color w:val="auto"/>
        </w:rPr>
        <w:t>"Restricted Investment" means an Investment other than a Permitted Investment.</w:t>
      </w:r>
    </w:p>
    <w:p>
      <w:pPr>
        <w:spacing w:after="0" w:line="160" w:lineRule="exact"/>
        <w:rPr>
          <w:sz w:val="20"/>
          <w:szCs w:val="20"/>
          <w:color w:val="auto"/>
        </w:rPr>
      </w:pPr>
    </w:p>
    <w:p>
      <w:pPr>
        <w:ind w:right="3799" w:firstLine="260"/>
        <w:spacing w:after="0" w:line="258" w:lineRule="auto"/>
        <w:rPr>
          <w:sz w:val="20"/>
          <w:szCs w:val="20"/>
          <w:color w:val="auto"/>
        </w:rPr>
      </w:pPr>
      <w:r>
        <w:rPr>
          <w:rFonts w:ascii="Courier New" w:cs="Courier New" w:eastAsia="Courier New" w:hAnsi="Courier New"/>
          <w:sz w:val="14"/>
          <w:szCs w:val="14"/>
          <w:color w:val="auto"/>
        </w:rPr>
        <w:t>"Restricted Subsidiary" all current and future Domestic Subsidiaries of Radio One, other than Unrestricted Subsidiaries.</w:t>
      </w:r>
    </w:p>
    <w:p>
      <w:pPr>
        <w:spacing w:after="0" w:line="160"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"Significant Subsidiary" means any Subsidiary that would be a "significant subsidiary" as defined in Article 1, Rule 1-02 of Regulation S-X, promulgated pursuant to the Securities Act, as such Regulation is in effect on the date hereof.</w:t>
      </w:r>
    </w:p>
    <w:p>
      <w:pPr>
        <w:spacing w:after="0" w:line="163"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"Stated Maturity"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16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"Subsidiary" means, with respect to any specified Person:</w:t>
      </w:r>
    </w:p>
    <w:p>
      <w:pPr>
        <w:spacing w:after="0" w:line="175" w:lineRule="exact"/>
        <w:rPr>
          <w:sz w:val="20"/>
          <w:szCs w:val="20"/>
          <w:color w:val="auto"/>
        </w:rPr>
      </w:pPr>
    </w:p>
    <w:p>
      <w:pPr>
        <w:ind w:left="180" w:right="3539" w:firstLine="263"/>
        <w:spacing w:after="0" w:line="253" w:lineRule="auto"/>
        <w:tabs>
          <w:tab w:leader="none" w:pos="788"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association or other business entity of which more than 50% of the total voting power of shares of Capital Stock entitled (without regard to the occurrence of any contingency)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64" w:lineRule="exact"/>
        <w:rPr>
          <w:rFonts w:ascii="Courier New" w:cs="Courier New" w:eastAsia="Courier New" w:hAnsi="Courier New"/>
          <w:sz w:val="14"/>
          <w:szCs w:val="14"/>
          <w:color w:val="auto"/>
        </w:rPr>
      </w:pPr>
    </w:p>
    <w:p>
      <w:pPr>
        <w:ind w:left="180" w:right="3539" w:firstLine="263"/>
        <w:spacing w:after="0" w:line="254" w:lineRule="auto"/>
        <w:tabs>
          <w:tab w:leader="none" w:pos="788"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63"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"Unrestricted Subsidiary" means any Subsidiary of Radio One that is designated by the Board of Directors as an Unrestricted Subsidiary pursuant to a resolution of the Board of Directors, but only to the extent that such Subsidiary: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 has no Indebtedness other than Non-Recourse Debt;</w:t>
      </w:r>
    </w:p>
    <w:p>
      <w:pPr>
        <w:spacing w:after="0" w:line="175" w:lineRule="exact"/>
        <w:rPr>
          <w:sz w:val="20"/>
          <w:szCs w:val="20"/>
          <w:color w:val="auto"/>
        </w:rPr>
      </w:pPr>
    </w:p>
    <w:p>
      <w:pPr>
        <w:ind w:left="180" w:right="3639" w:firstLine="263"/>
        <w:spacing w:after="0" w:line="254" w:lineRule="auto"/>
        <w:tabs>
          <w:tab w:leader="none" w:pos="788"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party to any agreement, contract, arrangement or understanding with Radio One or any Restricted Subsidiary unless the terms of any such agreement, contract, arrangement or understanding are no less favorable to Radio One or such Restricted Subsidiary than those that might be obtained at the time from Persons who are not Affiliates of Radio One;</w:t>
      </w:r>
    </w:p>
    <w:p>
      <w:pPr>
        <w:spacing w:after="0" w:line="162" w:lineRule="exact"/>
        <w:rPr>
          <w:sz w:val="20"/>
          <w:szCs w:val="20"/>
          <w:color w:val="auto"/>
        </w:rPr>
      </w:pPr>
    </w:p>
    <w:p>
      <w:pPr>
        <w:jc w:val="both"/>
        <w:ind w:left="180" w:right="3719" w:firstLine="263"/>
        <w:spacing w:after="0" w:line="254" w:lineRule="auto"/>
        <w:tabs>
          <w:tab w:leader="none" w:pos="78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 Person with respect to which neither Radio One nor any of the Restricted Subsidiaries has any direct or indirect obligation to maintain or preserve such Person's financial condition or to cause such Person to achieve any specified levels of operating results; and</w:t>
      </w:r>
    </w:p>
    <w:p>
      <w:pPr>
        <w:spacing w:after="0" w:line="163" w:lineRule="exact"/>
        <w:rPr>
          <w:rFonts w:ascii="Courier New" w:cs="Courier New" w:eastAsia="Courier New" w:hAnsi="Courier New"/>
          <w:sz w:val="14"/>
          <w:szCs w:val="14"/>
          <w:color w:val="auto"/>
        </w:rPr>
      </w:pPr>
    </w:p>
    <w:p>
      <w:pPr>
        <w:ind w:left="180" w:right="3719" w:firstLine="263"/>
        <w:spacing w:after="0" w:line="255" w:lineRule="auto"/>
        <w:tabs>
          <w:tab w:leader="none" w:pos="78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not guaranteed or otherwise directly or indirectly provided credit support for any Indebtedness of Radio One or any of the Restricted Subsidiaries.</w:t>
      </w:r>
    </w:p>
    <w:p>
      <w:pPr>
        <w:spacing w:after="0" w:line="16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Any designation of a Subsidiary of Radio One as an Unrestricted Subsidiary will be evidenced to the trustee by filing with the trustee a certified copy of the Board Resolution giving effect to such designation and an officers' certificate certifying that such designation complied with the preceding conditions and was permitted by the covenant described above under the caption "--Certain Covenants--Restricted Payments." If,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20" w:right="1440" w:bottom="1440" w:gutter="0" w:footer="0" w:header="0"/>
        </w:sectPr>
      </w:pPr>
    </w:p>
    <w:bookmarkStart w:id="91" w:name="page92"/>
    <w:bookmarkEnd w:id="91"/>
    <w:p>
      <w:pPr>
        <w:ind w:right="3379"/>
        <w:spacing w:after="0" w:line="252" w:lineRule="auto"/>
        <w:rPr>
          <w:sz w:val="20"/>
          <w:szCs w:val="20"/>
          <w:color w:val="auto"/>
        </w:rPr>
      </w:pPr>
      <w:r>
        <w:rPr>
          <w:rFonts w:ascii="Courier New" w:cs="Courier New" w:eastAsia="Courier New" w:hAnsi="Courier New"/>
          <w:sz w:val="14"/>
          <w:szCs w:val="14"/>
          <w:color w:val="auto"/>
        </w:rPr>
        <w:t>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as of such date and, if such Indebtedness is not permitted to be incurred as of such date under the covenant described under the caption "--Certain Covenants-- Incurrence of Indebtedness and Issuance of Preferred Stock," Radio One will be in default of such covenant. The Board of Directors of Radio One may at any time designate any Unrestricted Subsidiary to be a Restricted Subsidiary; provided that such designation will be deemed to be an incurrence of Indebtedness by a Restricted Subsidiary of any outstanding Indebtedness of such Unrestricted Subsidiary and such designation will only be permitted if (1) such Indebtedness is permitted under the covenant described under the caption "-- Certain Covenants--Incurrence of Indebtedness and Issuance of Preferred Stock," calculated on a pro forma basis as if such designation had occurred at the beginning of the four-quarter reference period; and (2) no Default or Event of Default would be in existence following such designation.</w:t>
      </w:r>
    </w:p>
    <w:p>
      <w:pPr>
        <w:spacing w:after="0" w:line="173" w:lineRule="exact"/>
        <w:rPr>
          <w:sz w:val="20"/>
          <w:szCs w:val="20"/>
          <w:color w:val="auto"/>
        </w:rPr>
      </w:pPr>
    </w:p>
    <w:p>
      <w:pPr>
        <w:ind w:right="3459" w:firstLine="260"/>
        <w:spacing w:after="0" w:line="255" w:lineRule="auto"/>
        <w:rPr>
          <w:sz w:val="20"/>
          <w:szCs w:val="20"/>
          <w:color w:val="auto"/>
        </w:rPr>
      </w:pPr>
      <w:r>
        <w:rPr>
          <w:rFonts w:ascii="Courier New" w:cs="Courier New" w:eastAsia="Courier New" w:hAnsi="Courier New"/>
          <w:sz w:val="14"/>
          <w:szCs w:val="14"/>
          <w:color w:val="auto"/>
        </w:rPr>
        <w:t>"Voting Stock" of any Person as of any date means the Capital Stock of such Person that is at the time entitled to vote in the election of the Board of Directors of such Person.</w:t>
      </w:r>
    </w:p>
    <w:p>
      <w:pPr>
        <w:spacing w:after="0" w:line="162" w:lineRule="exact"/>
        <w:rPr>
          <w:sz w:val="20"/>
          <w:szCs w:val="20"/>
          <w:color w:val="auto"/>
        </w:rPr>
      </w:pPr>
    </w:p>
    <w:p>
      <w:pPr>
        <w:ind w:right="3459" w:firstLine="260"/>
        <w:spacing w:after="0" w:line="258" w:lineRule="auto"/>
        <w:rPr>
          <w:sz w:val="20"/>
          <w:szCs w:val="20"/>
          <w:color w:val="auto"/>
        </w:rPr>
      </w:pPr>
      <w:r>
        <w:rPr>
          <w:rFonts w:ascii="Courier New" w:cs="Courier New" w:eastAsia="Courier New" w:hAnsi="Courier New"/>
          <w:sz w:val="14"/>
          <w:szCs w:val="14"/>
          <w:color w:val="auto"/>
        </w:rPr>
        <w:t>"Weighted Average Life to Maturity" means, when applied to any Indebtedness at any date, the number of years obtained by dividing:</w:t>
      </w:r>
    </w:p>
    <w:p>
      <w:pPr>
        <w:spacing w:after="0" w:line="160" w:lineRule="exact"/>
        <w:rPr>
          <w:sz w:val="20"/>
          <w:szCs w:val="20"/>
          <w:color w:val="auto"/>
        </w:rPr>
      </w:pPr>
    </w:p>
    <w:p>
      <w:pPr>
        <w:ind w:left="180" w:right="3639" w:firstLine="263"/>
        <w:spacing w:after="0" w:line="253" w:lineRule="auto"/>
        <w:tabs>
          <w:tab w:leader="none" w:pos="788"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165"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then outstanding principal amount of such Indebtedness.</w:t>
      </w:r>
    </w:p>
    <w:p>
      <w:pPr>
        <w:spacing w:after="0" w:line="175" w:lineRule="exact"/>
        <w:rPr>
          <w:sz w:val="20"/>
          <w:szCs w:val="20"/>
          <w:color w:val="auto"/>
        </w:rPr>
      </w:pPr>
    </w:p>
    <w:p>
      <w:pPr>
        <w:ind w:right="3639" w:firstLine="260"/>
        <w:spacing w:after="0" w:line="254" w:lineRule="auto"/>
        <w:rPr>
          <w:sz w:val="20"/>
          <w:szCs w:val="20"/>
          <w:color w:val="auto"/>
        </w:rPr>
      </w:pPr>
      <w:r>
        <w:rPr>
          <w:rFonts w:ascii="Courier New" w:cs="Courier New" w:eastAsia="Courier New" w:hAnsi="Courier New"/>
          <w:sz w:val="14"/>
          <w:szCs w:val="14"/>
          <w:color w:val="auto"/>
        </w:rPr>
        <w:t>"Wholly Owned Restricted Subsidiary"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620" w:right="1440" w:bottom="1440" w:gutter="0" w:footer="0" w:header="0"/>
        </w:sectPr>
      </w:pPr>
    </w:p>
    <w:bookmarkStart w:id="92" w:name="page93"/>
    <w:bookmarkEnd w:id="92"/>
    <w:p>
      <w:pPr>
        <w:ind w:left="1480"/>
        <w:spacing w:after="0"/>
        <w:rPr>
          <w:sz w:val="20"/>
          <w:szCs w:val="20"/>
          <w:color w:val="auto"/>
        </w:rPr>
      </w:pPr>
      <w:r>
        <w:rPr>
          <w:rFonts w:ascii="Courier New" w:cs="Courier New" w:eastAsia="Courier New" w:hAnsi="Courier New"/>
          <w:sz w:val="14"/>
          <w:szCs w:val="14"/>
          <w:color w:val="auto"/>
        </w:rPr>
        <w:t>CERTAIN U.S. FEDERAL INCOME TAX CONSIDERATIONS</w:t>
      </w:r>
    </w:p>
    <w:p>
      <w:pPr>
        <w:spacing w:after="0" w:line="17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The following is a summary of material United States federal income tax consequences of the acquisition, ownership and disposition of the Notes, but does not purport to be a complete analysis of all the potential tax considerations. This summary is limited to the tax consequences of those persons who are original beneficial owners of the Notes, who purchase Notes at their original issue price and who hold such Notes as capital assets within the meaning of Section 1221 of the Code ("Holders"). This summary does not purport to deal with all aspects of United States federal income taxation that might be relevant to particular Holders in light of their particular investment circumstances or status, nor does it address specific tax consequences that may be relevant to particular persons (including, for example, financial institutions, broker-dealers, insurance companies, tax-exempt organizations and persons that have a functional currency other than the U.S. Dollar or persons in special situations, such as those who have elected to mark securities to market, or those who hold Notes as part of a straddle, hedge, conversion transaction, or other integrated investment). In addition, this summary does not address U.S. federal alternative minimum tax consequences or consequences under the tax laws of any state, local or foreign jurisdiction. This summary is based upon the Internal Revenue Code of 1986, as amended (the "Code"), the Treasury Department regulations promulgated or proposed thereunder and administrative and judicial interpretations thereof, all as of the date hereof and all of which are subject to change, possibly on a retroactive basis. We have not sought any ruling from the Internal Revenue Service (the "IRS") with respect to the statements made and the conclusions reached in this summary, and we cannot assure you that the IRS will agree with such statements and conclusions.</w:t>
      </w:r>
    </w:p>
    <w:p>
      <w:pPr>
        <w:spacing w:after="0" w:line="343"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This summary is for general information only. Prospective purchasers of the Notes are urged to consult their tax advisors concerning the United States federal income and other tax consequences to them of acquiring, owning, and disposing of the Notes, as well as the application of state, local and foreign income and other tax laws.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Federal Income Taxation of U.S. Holders</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following summary is limited to the U.S. federal income tax consequences relevant to a Holder that is (i) a citizen or individual resident of the United States; (ii) a corporation or other entity taxable as a corporation created or organized under the laws of the United States or any state thereof or in the District of Columbia; (iii) an estate, the income of which is subject to U.S. federal income tax regardless of the source or (iv) a trust, if a court within the United States is able to exercise primary supervision over the trust's administration and one or more United States persons have the authority to control all its substantial decisions or if a valid election to be treated as a U.S. person is in effect with respect to such trust (a "U.S. Holder").</w:t>
      </w:r>
    </w:p>
    <w:p>
      <w:pPr>
        <w:spacing w:after="0" w:line="164" w:lineRule="exact"/>
        <w:rPr>
          <w:sz w:val="20"/>
          <w:szCs w:val="20"/>
          <w:color w:val="auto"/>
        </w:rPr>
      </w:pPr>
    </w:p>
    <w:p>
      <w:pPr>
        <w:ind w:right="4159" w:firstLine="260"/>
        <w:spacing w:after="0" w:line="258" w:lineRule="auto"/>
        <w:rPr>
          <w:sz w:val="20"/>
          <w:szCs w:val="20"/>
          <w:color w:val="auto"/>
        </w:rPr>
      </w:pPr>
      <w:r>
        <w:rPr>
          <w:rFonts w:ascii="Courier New" w:cs="Courier New" w:eastAsia="Courier New" w:hAnsi="Courier New"/>
          <w:sz w:val="14"/>
          <w:szCs w:val="14"/>
          <w:color w:val="auto"/>
        </w:rPr>
        <w:t>A "Non-U.S. Holder" is a Holder that is neither a U.S. Holder nor a partnership for U.S. federal income tax purposes.</w:t>
      </w:r>
    </w:p>
    <w:p>
      <w:pPr>
        <w:spacing w:after="0" w:line="160"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A partnership for United States federal income tax purposes is not subject to the income tax on income derived from holding the Notes. A partner of the partnership may be subject to tax on such income under rules similar to the rules for U.S. Holders or non-U.S. Holders depending on whether (i) the partner is a United States or a non-U. S. person, and (ii) the partnership is or is not engaged in a United States trade or business to which income or gain from the Notes is effectively connected. If you are a partner of a partnership acquiring the Notes, you should consult your tax advisor about the U.S. tax consequences of holding and disposing of the Notes.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Payments of Interest</w:t>
      </w:r>
    </w:p>
    <w:p>
      <w:pPr>
        <w:spacing w:after="0" w:line="175" w:lineRule="exact"/>
        <w:rPr>
          <w:sz w:val="20"/>
          <w:szCs w:val="20"/>
          <w:color w:val="auto"/>
        </w:rPr>
      </w:pPr>
    </w:p>
    <w:p>
      <w:pPr>
        <w:ind w:right="3539" w:firstLine="260"/>
        <w:spacing w:after="0" w:line="255" w:lineRule="auto"/>
        <w:rPr>
          <w:sz w:val="20"/>
          <w:szCs w:val="20"/>
          <w:color w:val="auto"/>
        </w:rPr>
      </w:pPr>
      <w:r>
        <w:rPr>
          <w:rFonts w:ascii="Courier New" w:cs="Courier New" w:eastAsia="Courier New" w:hAnsi="Courier New"/>
          <w:sz w:val="14"/>
          <w:szCs w:val="14"/>
          <w:color w:val="auto"/>
        </w:rPr>
        <w:t>Interest paid on a Note generally will be taxable to a U.S. Holder as ordinary interest income at the time it accrues or is received, in accordance with the U.S. Holder's method of accounting for federal income tax purposes.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620" w:right="1440" w:bottom="1440" w:gutter="0" w:footer="0" w:header="0"/>
        </w:sectPr>
      </w:pPr>
    </w:p>
    <w:bookmarkStart w:id="93" w:name="page94"/>
    <w:bookmarkEnd w:id="93"/>
    <w:p>
      <w:pPr>
        <w:ind w:right="3539" w:firstLine="260"/>
        <w:spacing w:after="0" w:line="255" w:lineRule="auto"/>
        <w:rPr>
          <w:sz w:val="20"/>
          <w:szCs w:val="20"/>
          <w:color w:val="auto"/>
        </w:rPr>
      </w:pPr>
      <w:r>
        <w:rPr>
          <w:rFonts w:ascii="Courier New" w:cs="Courier New" w:eastAsia="Courier New" w:hAnsi="Courier New"/>
          <w:sz w:val="14"/>
          <w:szCs w:val="14"/>
          <w:color w:val="auto"/>
        </w:rPr>
        <w:t>We are required to furnish to the IRS, and will furnish annually to record holders of Notes, information with respect to interest accruing during the calendar year.</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Disposition of Notes</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Upon the sale, exchange, redemption or other disposition of a Note, a U.S. Holder generally will recognize taxable gain or loss equal to the difference between (i) the sum of cash plus the fair market value of all other property received on such disposition (except to the extent such cash or property is attributable to accrued but unpaid interest, which is treated as interest as described above) and (ii) such Holder's adjusted tax basis in the Note. A U.S. Holder's adjusted tax basis in a Note generally will equal the cost of the Note to such Holder, less any principal payments received by such Holder.</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Gain or loss recognized on the disposition of a Note generally will be capital gain or loss, and will be long-term capital gain or loss if, at the time of such disposition, the U.S. Holder's holding period for the Note is more than 12 months. The maximum federal long-term capital gain rate is 20% for noncorporate U.S. Holders and 35% for corporate U.S. Holders. The deductibility of capital losses by U.S. Holders is subject to limitations.</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Exchange Offer</w:t>
      </w:r>
    </w:p>
    <w:p>
      <w:pPr>
        <w:spacing w:after="0" w:line="175"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The exchange of Notes for registered notes in the exchange offer will not constitute a taxable event for U.S. Holders. Consequently, a U.S. Holder will not recognize gain upon receipt of a registered note in exchange for Notes in the exchange offer, the U.S. Holder's basis in the registered note received in the exchange offer will be the same as its basis in the corresponding Note immediately before the exchange and the U.S. Holder's holding period in the registered note will include its holding period in the original note.</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We are obligated to pay additional interest on the Notes under certain circumstances described under "Exchange Offer; Registration Rights." Although the matter is not free from doubt, such additional interest should be taxable as ordinary income at the time it accrues or is received in accordance with the U.S. Holder's regular method of accounting for federal income tax purposes. It is possible, however, that the IRS may take a different position, in which case the timing and amount of income inclusion may be different from that described above. U.S. Holders should consult their own tax advisors about payments of additional interest.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Federal Income Taxation of Non-U.S. Holders</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Payments of Interest</w:t>
      </w:r>
    </w:p>
    <w:p>
      <w:pPr>
        <w:spacing w:after="0" w:line="175" w:lineRule="exact"/>
        <w:rPr>
          <w:sz w:val="20"/>
          <w:szCs w:val="20"/>
          <w:color w:val="auto"/>
        </w:rPr>
      </w:pPr>
    </w:p>
    <w:p>
      <w:pPr>
        <w:ind w:right="3379" w:firstLine="260"/>
        <w:spacing w:after="0" w:line="255" w:lineRule="auto"/>
        <w:rPr>
          <w:sz w:val="20"/>
          <w:szCs w:val="20"/>
          <w:color w:val="auto"/>
        </w:rPr>
      </w:pPr>
      <w:r>
        <w:rPr>
          <w:rFonts w:ascii="Courier New" w:cs="Courier New" w:eastAsia="Courier New" w:hAnsi="Courier New"/>
          <w:sz w:val="14"/>
          <w:szCs w:val="14"/>
          <w:color w:val="auto"/>
        </w:rPr>
        <w:t>Subject to the discussion of backup withholding below, payments of principal and interest on the Notes by us or any of our agents to a Non-U.S. Holder will not be subject to U.S. federal withholding tax, provided that:</w:t>
      </w:r>
    </w:p>
    <w:p>
      <w:pPr>
        <w:spacing w:after="0" w:line="162" w:lineRule="exact"/>
        <w:rPr>
          <w:sz w:val="20"/>
          <w:szCs w:val="20"/>
          <w:color w:val="auto"/>
        </w:rPr>
      </w:pPr>
    </w:p>
    <w:p>
      <w:pPr>
        <w:ind w:left="180" w:right="3539" w:firstLine="263"/>
        <w:spacing w:after="0" w:line="255" w:lineRule="auto"/>
        <w:tabs>
          <w:tab w:leader="none" w:pos="788"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Non-U.S. Holder does not, directly or indirectly, actually or constructively own 10 percent or more of the total combined voting power of all classes of our stock entitled to vote;</w:t>
      </w:r>
    </w:p>
    <w:p>
      <w:pPr>
        <w:spacing w:after="0" w:line="162" w:lineRule="exact"/>
        <w:rPr>
          <w:rFonts w:ascii="Courier New" w:cs="Courier New" w:eastAsia="Courier New" w:hAnsi="Courier New"/>
          <w:sz w:val="14"/>
          <w:szCs w:val="14"/>
          <w:color w:val="auto"/>
        </w:rPr>
      </w:pPr>
    </w:p>
    <w:p>
      <w:pPr>
        <w:ind w:left="180" w:right="3539" w:firstLine="263"/>
        <w:spacing w:after="0" w:line="258" w:lineRule="auto"/>
        <w:tabs>
          <w:tab w:leader="none" w:pos="788"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Non-U.S. Holder is not a controlled foreign corporation for U.S. federal income tax purposes that is related to us through stock ownership;</w:t>
      </w:r>
    </w:p>
    <w:p>
      <w:pPr>
        <w:spacing w:after="0" w:line="159" w:lineRule="exact"/>
        <w:rPr>
          <w:rFonts w:ascii="Courier New" w:cs="Courier New" w:eastAsia="Courier New" w:hAnsi="Courier New"/>
          <w:sz w:val="14"/>
          <w:szCs w:val="14"/>
          <w:color w:val="auto"/>
        </w:rPr>
      </w:pPr>
    </w:p>
    <w:p>
      <w:pPr>
        <w:ind w:left="180" w:right="3639" w:firstLine="263"/>
        <w:spacing w:after="0" w:line="258" w:lineRule="auto"/>
        <w:tabs>
          <w:tab w:leader="none" w:pos="788"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Non-U.S. Holder is not a bank described in Section 881(c)(3)(A) of the Code; and</w:t>
      </w:r>
    </w:p>
    <w:p>
      <w:pPr>
        <w:spacing w:after="0" w:line="159" w:lineRule="exact"/>
        <w:rPr>
          <w:rFonts w:ascii="Courier New" w:cs="Courier New" w:eastAsia="Courier New" w:hAnsi="Courier New"/>
          <w:sz w:val="14"/>
          <w:szCs w:val="14"/>
          <w:color w:val="auto"/>
        </w:rPr>
      </w:pPr>
    </w:p>
    <w:p>
      <w:pPr>
        <w:ind w:left="180" w:right="3539" w:firstLine="263"/>
        <w:spacing w:after="0" w:line="253" w:lineRule="auto"/>
        <w:tabs>
          <w:tab w:leader="none" w:pos="788"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(A) the beneficial owner of the Notes certifies to us or our agent on IRS Form W-8BEN (or a suitable substitute form or successor form), under penalties of perjury, that it is not a "U.S. person" (as defined in the Code) and provides its name and address, or (B) a securities clearing organization, bank or other financial institution that holds customers' securities in the ordinary course of its trade or business (a "financial institution") and holds the Notes on behalf of the beneficial owner certifies to us or our agent, under penalties of perjury, that such a statement has been received from the beneficial owner by it or by a</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239"/>
          </w:cols>
          <w:pgMar w:left="220" w:top="620" w:right="1440" w:bottom="1440" w:gutter="0" w:footer="0" w:header="0"/>
        </w:sectPr>
      </w:pPr>
    </w:p>
    <w:bookmarkStart w:id="94" w:name="page95"/>
    <w:bookmarkEnd w:id="94"/>
    <w:p>
      <w:pPr>
        <w:ind w:left="180" w:right="3639"/>
        <w:spacing w:after="0" w:line="258" w:lineRule="auto"/>
        <w:rPr>
          <w:sz w:val="20"/>
          <w:szCs w:val="20"/>
          <w:color w:val="auto"/>
        </w:rPr>
      </w:pPr>
      <w:r>
        <w:rPr>
          <w:rFonts w:ascii="Courier New" w:cs="Courier New" w:eastAsia="Courier New" w:hAnsi="Courier New"/>
          <w:sz w:val="14"/>
          <w:szCs w:val="14"/>
          <w:color w:val="auto"/>
        </w:rPr>
        <w:t>financial institution between it and the beneficial owner and furnishes us with a copy thereof (the "Portfolio Interest Exemption").</w:t>
      </w:r>
    </w:p>
    <w:p>
      <w:pPr>
        <w:spacing w:after="0" w:line="160"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If a Non-U.S. Holder cannot satisfy the requirements of the Portfolio Interest Exemption, payments of interest made to such Non-U.S. Holder will be subject to a 30% withholding tax unless the beneficial owner of the Note provides us or our agent, as the case may be, with a properly executed:</w:t>
      </w:r>
    </w:p>
    <w:p>
      <w:pPr>
        <w:spacing w:after="0" w:line="163" w:lineRule="exact"/>
        <w:rPr>
          <w:sz w:val="20"/>
          <w:szCs w:val="20"/>
          <w:color w:val="auto"/>
        </w:rPr>
      </w:pPr>
    </w:p>
    <w:p>
      <w:pPr>
        <w:ind w:left="180" w:right="3899" w:firstLine="263"/>
        <w:spacing w:after="0" w:line="258" w:lineRule="auto"/>
        <w:tabs>
          <w:tab w:leader="none" w:pos="788"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IRS Form W-8BEN (or successor form) claiming an exemption from withholding under the benefit of a tax treaty (a "Treaty Exemption") or</w:t>
      </w:r>
    </w:p>
    <w:p>
      <w:pPr>
        <w:spacing w:after="0" w:line="159" w:lineRule="exact"/>
        <w:rPr>
          <w:rFonts w:ascii="Courier New" w:cs="Courier New" w:eastAsia="Courier New" w:hAnsi="Courier New"/>
          <w:sz w:val="14"/>
          <w:szCs w:val="14"/>
          <w:color w:val="auto"/>
        </w:rPr>
      </w:pPr>
    </w:p>
    <w:p>
      <w:pPr>
        <w:ind w:left="180" w:right="3799" w:firstLine="263"/>
        <w:spacing w:after="0" w:line="255" w:lineRule="auto"/>
        <w:tabs>
          <w:tab w:leader="none" w:pos="788"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IRS Form W-8ECI (or successor form) stating that interest paid on the Note is not subject to withholding tax because it is U.S. trade or business income to the beneficial owner.</w:t>
      </w:r>
    </w:p>
    <w:p>
      <w:pPr>
        <w:spacing w:after="0" w:line="162"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The certification requirement described above also may require a non-U.S. Holder that provides an IRS form, or that claims the benefit of an income tax treaty, to provide its United States taxpayer identification number. The applicable regulations generally also require, in the case of a note held by a foreign partnership, that:</w:t>
      </w:r>
    </w:p>
    <w:p>
      <w:pPr>
        <w:spacing w:after="0" w:line="162" w:lineRule="exact"/>
        <w:rPr>
          <w:sz w:val="20"/>
          <w:szCs w:val="20"/>
          <w:color w:val="auto"/>
        </w:rPr>
      </w:pPr>
    </w:p>
    <w:p>
      <w:pPr>
        <w:ind w:left="800" w:hanging="357"/>
        <w:spacing w:after="0"/>
        <w:tabs>
          <w:tab w:leader="none" w:pos="80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certification described above be provided by the partners and</w:t>
      </w:r>
    </w:p>
    <w:p>
      <w:pPr>
        <w:spacing w:after="0" w:line="175" w:lineRule="exact"/>
        <w:rPr>
          <w:rFonts w:ascii="Courier New" w:cs="Courier New" w:eastAsia="Courier New" w:hAnsi="Courier New"/>
          <w:sz w:val="14"/>
          <w:szCs w:val="14"/>
          <w:color w:val="auto"/>
        </w:rPr>
      </w:pPr>
    </w:p>
    <w:p>
      <w:pPr>
        <w:ind w:left="180" w:right="3979" w:firstLine="263"/>
        <w:spacing w:after="0" w:line="258" w:lineRule="auto"/>
        <w:tabs>
          <w:tab w:leader="none" w:pos="788"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partnership provide certain information, including a United States taxpayer identification number.</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Further, a look-through rule will apply in the case of tiered partnerships.</w:t>
      </w:r>
    </w:p>
    <w:p>
      <w:pPr>
        <w:spacing w:after="0" w:line="175"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We suggest that you consult your tax advisor about the specific methods for satisfying these requirements. A claim for exemption will not be valid if the person receiving the applicable form has actual knowledge that the statements on the form are false.</w:t>
      </w:r>
    </w:p>
    <w:p>
      <w:pPr>
        <w:spacing w:after="0" w:line="163"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If interest on the Note is effectively connected with a U.S. trade or business of the beneficial owner, the Non-U.S. Holder, although exempt from the withholding tax described above, will be subject to United States federal income tax on such interest on a net income basis in the same manner as if it were a U.S. Holder. In addition, if such Holder is a foreign corporation, it may be subject to a branch profits tax equal to 30% of its effectively connected earnings and profits for the taxable year, subject to adjustments. For this purpose, interest on a Note will be included in such foreign corporation's earnings and profits.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Disposition of Notes</w:t>
      </w:r>
    </w:p>
    <w:p>
      <w:pPr>
        <w:spacing w:after="0" w:line="175" w:lineRule="exact"/>
        <w:rPr>
          <w:sz w:val="20"/>
          <w:szCs w:val="20"/>
          <w:color w:val="auto"/>
        </w:rPr>
      </w:pPr>
    </w:p>
    <w:p>
      <w:pPr>
        <w:ind w:right="3719" w:firstLine="260"/>
        <w:spacing w:after="0" w:line="255" w:lineRule="auto"/>
        <w:rPr>
          <w:sz w:val="20"/>
          <w:szCs w:val="20"/>
          <w:color w:val="auto"/>
        </w:rPr>
      </w:pPr>
      <w:r>
        <w:rPr>
          <w:rFonts w:ascii="Courier New" w:cs="Courier New" w:eastAsia="Courier New" w:hAnsi="Courier New"/>
          <w:sz w:val="14"/>
          <w:szCs w:val="14"/>
          <w:color w:val="auto"/>
        </w:rPr>
        <w:t>No withholding of United States federal income tax will be required with respect to any gain or income realized by a Non-U.S. Holder upon the sale, exchange or disposition of a Note.</w:t>
      </w:r>
    </w:p>
    <w:p>
      <w:pPr>
        <w:spacing w:after="0" w:line="16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A Non-U.S. Holder will not be subject to U.S. federal income tax on gain realized on the sale, exchange, or other disposition of a Note unless (a) the Non-U.S. Holder is an individual who is present in the United States for a period or periods aggregating 183 or more days in the taxable year of the disposition and certain other conditions are met, (b) the Non-U.S. Holder is subject to tax pursuant to the provisions of U.S. tax law applicable to certain U.S. expatriates, or (c) such gain or income is effectively connected with a U.S. trade or business.</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Exchange of Notes</w:t>
      </w:r>
    </w:p>
    <w:p>
      <w:pPr>
        <w:spacing w:after="0" w:line="175" w:lineRule="exact"/>
        <w:rPr>
          <w:sz w:val="20"/>
          <w:szCs w:val="20"/>
          <w:color w:val="auto"/>
        </w:rPr>
      </w:pPr>
    </w:p>
    <w:p>
      <w:pPr>
        <w:ind w:right="3639" w:firstLine="260"/>
        <w:spacing w:after="0" w:line="258" w:lineRule="auto"/>
        <w:rPr>
          <w:sz w:val="20"/>
          <w:szCs w:val="20"/>
          <w:color w:val="auto"/>
        </w:rPr>
      </w:pPr>
      <w:r>
        <w:rPr>
          <w:rFonts w:ascii="Courier New" w:cs="Courier New" w:eastAsia="Courier New" w:hAnsi="Courier New"/>
          <w:sz w:val="14"/>
          <w:szCs w:val="14"/>
          <w:color w:val="auto"/>
        </w:rPr>
        <w:t>The exchange of Notes for registered notes in the exchange offer will not constitute a taxable event for a Non-U.S. Holder.</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620"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4"/>
          <w:szCs w:val="14"/>
          <w:color w:val="auto"/>
        </w:rPr>
        <w:t>Information Reporting and Backup Withholding</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U.S. holders</w:t>
      </w:r>
    </w:p>
    <w:p>
      <w:pPr>
        <w:spacing w:after="0" w:line="175"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For each calendar year in which the Notes are outstanding, we are required to provide the IRS with certain information, including the beneficial owner's name, address and taxpayer identification number, the aggregate amount of interest paid to that beneficial owner during the calendar year and the amount of tax withheld, if any. This obligation, however, does not apply with respect to certain payments to U.S. Holders, including corporations and tax-exempt organizations, provided that they establish entitlement to an exemption.</w:t>
      </w:r>
    </w:p>
    <w:p>
      <w:pPr>
        <w:spacing w:after="0" w:line="165"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In the event that a U.S. Holder subject to the reporting requirements described above fails to supply its correct taxpayer identification number in the manner required by applicable law or underreports its tax liability, we, our agents or paying agents or a broker may be required to "backup" withhold a tax equal to 31% of each payment of interest and principal (and premium or liquidated damages, if any) on the Notes. This backup withholding is not an additional tax and may be credited against the U.S. Holder's U.S. federal income tax liability, provided that the required information is furnished to the IRS.</w:t>
      </w:r>
    </w:p>
    <w:p>
      <w:pPr>
        <w:spacing w:after="0" w:line="33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Non-U.S. Holders</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Under current Treasury Regulations, United States information reporting requirements and backup withholding tax will not apply to payments on a Note to a Non-U.S. Holder if the statement described in "U.S. Federal Income Taxation of Non-United States Holders--Payments of Interest" is duly provided by such Holder or the Holder otherwise establishes an exemption, provided that the payor does not have actual knowledge that the Holder is a United States person or that the conditions of any claimed exemption are not satisfied.</w:t>
      </w:r>
    </w:p>
    <w:p>
      <w:pPr>
        <w:spacing w:after="0" w:line="16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Generally, information reporting requirements and backup withholding tax will not apply to any payment of the proceeds of the sale of a Note effected outside the United States by a foreign office of a "broker" (as defined in applicable Treasury regulations), unless the broker is (i) a United States person, (ii) a foreign person that derives 50% or more of its gross income for certain periods from activities that are effectively connected with the conduct of a trade or business in the United States, (iii) a controlled foreign corporation for United States federal income tax purposes or (iv) a foreign partnership more than 50% of the capital or profits of which is owned by one or more U.S. persons or which engages in a U.S. trade or business. Payment of the proceeds of any such sale effected outside the United States by a foreign office of any broker that is described in (i), (ii), (iii), or (iv) of the preceding sentence may be subject to backup withholding tax, and will be subject to information reporting requirements unless such broker has documentary evidence in its records that the beneficial owner is a non-U.S.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note provides the statement described in "U.S. Federal Income Taxation of Non-U.S. Holders--Payments of Interest" or otherwise establishes an exemption.</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620" w:right="1440" w:bottom="1440" w:gutter="0" w:footer="0" w:header="0"/>
        </w:sectPr>
      </w:pPr>
    </w:p>
    <w:bookmarkStart w:id="96" w:name="page97"/>
    <w:bookmarkEnd w:id="96"/>
    <w:p>
      <w:pPr>
        <w:jc w:val="center"/>
        <w:ind w:right="3279"/>
        <w:spacing w:after="0"/>
        <w:rPr>
          <w:sz w:val="20"/>
          <w:szCs w:val="20"/>
          <w:color w:val="auto"/>
        </w:rPr>
      </w:pPr>
      <w:r>
        <w:rPr>
          <w:rFonts w:ascii="Courier New" w:cs="Courier New" w:eastAsia="Courier New" w:hAnsi="Courier New"/>
          <w:sz w:val="14"/>
          <w:szCs w:val="14"/>
          <w:color w:val="auto"/>
        </w:rPr>
        <w:t>PLAN OF DISTRIBUTION</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Each participating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participating broker-dealer in connection with resales of exchange notes received in exchange for outstanding notes where such outstanding notes were acquired as a result of market-making activities or other trading activities. We have agreed that for a period of one year after the expiration date, we will make this prospectus, as amended or supplemented, available to any participating broker-dealer for use in connection with any such resale.</w:t>
      </w:r>
    </w:p>
    <w:p>
      <w:pPr>
        <w:spacing w:after="0" w:line="164"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We will not receive any proceeds from any sales of the exchange notes by participating broker-dealers. Exchange notes received by participating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participating broker-dealer and/or the purchasers of any such exchange notes. Any participating broker-dealer that resells the exchange notes that were received by it for its own account pursuant to the exchange offer and any broker or dealer that participates in a distribution of such exchange notes may be deemed to be an "underwriter" within the meaning of the Securities Act and any profit on any such resale of exchange notes and any commissions or concessions received by any such persons may be deemed to be underwriting compensation under the Securities Act. The letter of transmittal states that by acknowledging that it will deliver and by delivering a prospectus, a participating broker-dealer will not be deemed to admit that it is an "underwriter" within the meaning of the Securities Act.</w:t>
      </w:r>
    </w:p>
    <w:p>
      <w:pPr>
        <w:spacing w:after="0" w:line="17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Prior to the exchange offer, there has not been any public market for the outstanding notes. The outstanding notes have not been registered under the Securities Act and will be subject to restrictions on transferability to the extent that they are not exchanged for exchange notes by holders who are entitled to participate in this exchange offer. The holders of outstanding notes, other than any holder that is our affiliate within the meaning of Rule 405 under the Securities Act, who are not eligible to participate in the exchange offer are entitled to certain registration rights, and we are required to file a shelf registration statement with respect to the outstanding notes. The exchange notes will constitute a new issue of securities with no established trading market. We do not intend to list the exchange notes on any national securities exchange or to seek the admission thereof to trading in the National Association of Securities Dealers Automated Quotation System. In addition, such market making activity will be subject to the limits imposed by the Securities Act and the Exchange Act and may be limited during the exchange offer and the pendency of the shelf registration statements. Accordingly, no assurance can be given that an active public or other market will develop for the exchange notes or as to the liquidity of the trading market for the exchange notes. If a trading market does not develop or is not maintained, holders of the exchange notes may experience difficulty in reselling the exchange notes or may be unable to sell them at all. If a market for the exchange notes develops, any such market may be discontinued at any time.</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The validity of the exchange notes and the guarantees and other legal matters, including the tax-free nature of the exchange, will be passed upon on our behalf by Kirkland &amp; Ellis, a partnership that includes professional corporations, Washington, DC.</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239"/>
          </w:cols>
          <w:pgMar w:left="220" w:top="620" w:right="1440" w:bottom="1440" w:gutter="0" w:footer="0" w:header="0"/>
        </w:sectPr>
      </w:pPr>
    </w:p>
    <w:bookmarkStart w:id="97" w:name="page98"/>
    <w:bookmarkEnd w:id="97"/>
    <w:p>
      <w:pPr>
        <w:jc w:val="center"/>
        <w:ind w:right="3279"/>
        <w:spacing w:after="0"/>
        <w:rPr>
          <w:sz w:val="20"/>
          <w:szCs w:val="20"/>
          <w:color w:val="auto"/>
        </w:rPr>
      </w:pPr>
      <w:r>
        <w:rPr>
          <w:rFonts w:ascii="Courier New" w:cs="Courier New" w:eastAsia="Courier New" w:hAnsi="Courier New"/>
          <w:sz w:val="14"/>
          <w:szCs w:val="14"/>
          <w:color w:val="auto"/>
        </w:rPr>
        <w:t>INDEPENDENT PUBLIC ACCOUNTANTS</w:t>
      </w:r>
    </w:p>
    <w:p>
      <w:pPr>
        <w:spacing w:after="0" w:line="175"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The consolidated financial statements of Radio One, Inc. and subsidiaries as of December 31, 1999 and 2000, and for each of the years in the three-year period ended December 31, 2000, incorporated by reference in this prospectus have been audited by Arthur Andersen LLP, independent public accountants, as stated in their report appearing herein.</w:t>
      </w:r>
    </w:p>
    <w:p>
      <w:pPr>
        <w:spacing w:after="0" w:line="162"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The financial statements of selected operations of Clear Channel Communications as of December 31, 1998 and 1999, and for each of the years in the three-year period ended December 31, 1999 incorporated by reference in this prospectus have been audited by Arthur Andersen, LLP, independent public accountants, as stated in their report appearing herein.</w:t>
      </w:r>
    </w:p>
    <w:p>
      <w:pPr>
        <w:spacing w:after="0" w:line="162"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The financial statements of selected operations of AMFM, Inc. as of December 31, 1998 and 1999, and for each of the years in the three-year period ended December 31, 1999, incorporated by reference in this prospectus have been audited by Arthur Andersen, LLP, independent public accountants, as stated in their report with respect thereto appearing herein.</w:t>
      </w:r>
    </w:p>
    <w:p>
      <w:pPr>
        <w:spacing w:after="0" w:line="162"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financial statements of Blue Chip Broadcasting, Inc. and subsidiaries as of December 31, 2000 and 1999 and for each of the two years in the period ended December 31, 2000 incorporated by reference in this prospectus have been so included in reliance on the report of PricewaterhouseCoopers LLP, independent accountants, given on the authority of said firm as experts in auditing and accounting.</w:t>
      </w:r>
    </w:p>
    <w:p>
      <w:pPr>
        <w:spacing w:after="0" w:line="165"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The financial statements of Blue Chip Broadcasting Company and subsidiary as of December 31, 1998, and for the year then ended incorporated by reference in this prospectus have been audited by Clark, Schaefer, Hackett &amp; Co., independent public accountants, as stated in their report appearing herein.</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INCORPORATION BY REFERENCE</w:t>
      </w:r>
    </w:p>
    <w:p>
      <w:pPr>
        <w:spacing w:after="0" w:line="175"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The SEC permits us to "incorporate by reference" the information in documents we file with them, which means that we can disclose important information to you by referring you to those documents. The information incorporated by reference is considered to be part of this prospectus, and information that we file with the SEC after the initial filing date of the registration statement of which this prospectus is a part, and prior to the effectiveness of that registration statement, will automatically update and supersede this information. We have filed the following documents with the SEC and incorporate in this prospectus by reference:</w:t>
      </w:r>
    </w:p>
    <w:p>
      <w:pPr>
        <w:spacing w:after="0" w:line="164" w:lineRule="exact"/>
        <w:rPr>
          <w:sz w:val="20"/>
          <w:szCs w:val="20"/>
          <w:color w:val="auto"/>
        </w:rPr>
      </w:pPr>
    </w:p>
    <w:p>
      <w:pPr>
        <w:ind w:left="440" w:hanging="257"/>
        <w:spacing w:after="0"/>
        <w:tabs>
          <w:tab w:leader="none" w:pos="44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10-K for the year ended December 31, 2000;</w:t>
      </w:r>
    </w:p>
    <w:p>
      <w:pPr>
        <w:spacing w:after="0" w:line="175" w:lineRule="exact"/>
        <w:rPr>
          <w:sz w:val="20"/>
          <w:szCs w:val="20"/>
          <w:color w:val="auto"/>
        </w:rPr>
      </w:pPr>
    </w:p>
    <w:p>
      <w:pPr>
        <w:ind w:left="440" w:hanging="257"/>
        <w:spacing w:after="0"/>
        <w:tabs>
          <w:tab w:leader="none" w:pos="44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Quarterly Report on Form 10-Q for the quarter ended March 31, 2001;</w:t>
      </w:r>
    </w:p>
    <w:p>
      <w:pPr>
        <w:spacing w:after="0" w:line="175" w:lineRule="exact"/>
        <w:rPr>
          <w:sz w:val="20"/>
          <w:szCs w:val="20"/>
          <w:color w:val="auto"/>
        </w:rPr>
      </w:pPr>
    </w:p>
    <w:p>
      <w:pPr>
        <w:ind w:left="440" w:right="3639" w:hanging="257"/>
        <w:spacing w:after="0" w:line="258" w:lineRule="auto"/>
        <w:tabs>
          <w:tab w:leader="none" w:pos="44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Definitive Proxy Statement on Form DEF 14A filed on April 26, 2001; and</w:t>
      </w:r>
    </w:p>
    <w:p>
      <w:pPr>
        <w:spacing w:after="0" w:line="160" w:lineRule="exact"/>
        <w:rPr>
          <w:sz w:val="20"/>
          <w:szCs w:val="20"/>
          <w:color w:val="auto"/>
        </w:rPr>
      </w:pPr>
    </w:p>
    <w:p>
      <w:pPr>
        <w:ind w:left="440" w:right="3639" w:hanging="257"/>
        <w:spacing w:after="0" w:line="258" w:lineRule="auto"/>
        <w:tabs>
          <w:tab w:leader="none" w:pos="44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Current Reports on Form 8-K filed on April 9, 2001, April 18, 2001, May 4, 2001, and May 16, 2001.</w:t>
      </w:r>
    </w:p>
    <w:p>
      <w:pPr>
        <w:spacing w:after="0" w:line="160"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We also incorporate by reference any future filings made with the SEC under Sections 13(a), 13(c), 14 or 15(d) of the Securities Exchange Act. Statements contained in documents incorporated or deemed to be incorporated by reference after the initial filing date of the registration statement of which this prospectus is a part will modify statements in any other subsequently filed documents to the extent the new information differs from the old information. Any statements modified or superseded will no longer constitute a part of this prospectus in their original form.</w:t>
      </w:r>
    </w:p>
    <w:p>
      <w:pPr>
        <w:spacing w:after="0" w:line="165"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If you request a copy of any or all of the documents incorporated by reference, then we will send to you the copies you requested at no charge. However, we will not send exhibits to such documents, unless such exhibits are specifically incorporated by reference in such documents. You should direct requests for such copies to Investor Relations, Radio One, Inc., 5900 Princess Garden Parkway, 7th Floor, Lanham, MD 20706, or to our e-mail address: invest@radio-one.com. Our telephone number is (301) 306-1111.</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620" w:right="1440" w:bottom="1440" w:gutter="0" w:footer="0" w:header="0"/>
        </w:sectPr>
      </w:pPr>
    </w:p>
    <w:bookmarkStart w:id="98" w:name="page99"/>
    <w:bookmarkEnd w:id="98"/>
    <w:p>
      <w:pPr>
        <w:ind w:right="3379" w:firstLine="260"/>
        <w:spacing w:after="0" w:line="253" w:lineRule="auto"/>
        <w:rPr>
          <w:sz w:val="20"/>
          <w:szCs w:val="20"/>
          <w:color w:val="auto"/>
        </w:rPr>
      </w:pPr>
      <w:r>
        <w:rPr>
          <w:rFonts w:ascii="Courier New" w:cs="Courier New" w:eastAsia="Courier New" w:hAnsi="Courier New"/>
          <w:sz w:val="14"/>
          <w:szCs w:val="14"/>
          <w:color w:val="auto"/>
        </w:rPr>
        <w:t>We have filed with the SEC a registration statement on Form S-4 under the Securities Act, covering the securities described in this prospectus. This prospectus does not contain all of the information included in the registration statement, some of which is contained in exhibits to the registration statement. The registration statement, including the exhibits, can be read at the SEC web site or at the SEC offices referred to above. Any statement made in this prospectus concerning the contents of any contract, agreement or other document is only a summary of the actual contract, agreement or other document. If we have filed any contract, agreement or other document as an exhibit to the registration statement, you should read the exhibit for a more complete understanding of the document or matter involved.</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620" w:right="1440" w:bottom="1440" w:gutter="0" w:footer="0" w:header="0"/>
        </w:sectPr>
      </w:pPr>
    </w:p>
    <w:bookmarkStart w:id="99" w:name="page100"/>
    <w:bookmarkEnd w:id="99"/>
    <w:p>
      <w:pPr>
        <w:ind w:left="2180"/>
        <w:spacing w:after="0"/>
        <w:rPr>
          <w:sz w:val="20"/>
          <w:szCs w:val="20"/>
          <w:color w:val="auto"/>
        </w:rPr>
      </w:pPr>
      <w:r>
        <w:rPr>
          <w:rFonts w:ascii="Courier New" w:cs="Courier New" w:eastAsia="Courier New" w:hAnsi="Courier New"/>
          <w:sz w:val="14"/>
          <w:szCs w:val="14"/>
          <w:color w:val="auto"/>
        </w:rPr>
        <w:t>INDEX TO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Blue Chip Broadcasting, Inc. and Subsidiaries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Condensed</w:t>
            </w:r>
          </w:p>
        </w:tc>
        <w:tc>
          <w:tcPr>
            <w:tcW w:w="5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Consolidated Balance Sheets as of March 31, 2001 (unaudited) and</w:t>
            </w:r>
          </w:p>
        </w:tc>
        <w:tc>
          <w:tcPr>
            <w:tcW w:w="340" w:type="dxa"/>
            <w:vAlign w:val="bottom"/>
          </w:tcPr>
          <w:p>
            <w:pPr>
              <w:spacing w:after="0"/>
              <w:rPr>
                <w:sz w:val="14"/>
                <w:szCs w:val="14"/>
                <w:color w:val="auto"/>
              </w:rPr>
            </w:pP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5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31, 2000........................................................</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F-2</w:t>
            </w:r>
          </w:p>
        </w:tc>
      </w:tr>
      <w:tr>
        <w:trPr>
          <w:trHeight w:val="334"/>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Condensed</w:t>
            </w:r>
          </w:p>
        </w:tc>
        <w:tc>
          <w:tcPr>
            <w:tcW w:w="5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Consolidated Statements of Operations for the Three Months Ended</w:t>
            </w:r>
          </w:p>
        </w:tc>
        <w:tc>
          <w:tcPr>
            <w:tcW w:w="340" w:type="dxa"/>
            <w:vAlign w:val="bottom"/>
          </w:tcPr>
          <w:p>
            <w:pPr>
              <w:spacing w:after="0"/>
              <w:rPr>
                <w:sz w:val="24"/>
                <w:szCs w:val="24"/>
                <w:color w:val="auto"/>
              </w:rPr>
            </w:pPr>
          </w:p>
        </w:tc>
      </w:tr>
      <w:tr>
        <w:trPr>
          <w:trHeight w:val="167"/>
        </w:trPr>
        <w:tc>
          <w:tcPr>
            <w:tcW w:w="6520" w:type="dxa"/>
            <w:vAlign w:val="bottom"/>
            <w:gridSpan w:val="2"/>
          </w:tcPr>
          <w:p>
            <w:pPr>
              <w:jc w:val="right"/>
              <w:ind w:right="4788"/>
              <w:spacing w:after="0"/>
              <w:rPr>
                <w:sz w:val="20"/>
                <w:szCs w:val="20"/>
                <w:color w:val="auto"/>
              </w:rPr>
            </w:pPr>
            <w:r>
              <w:rPr>
                <w:rFonts w:ascii="Courier New" w:cs="Courier New" w:eastAsia="Courier New" w:hAnsi="Courier New"/>
                <w:sz w:val="14"/>
                <w:szCs w:val="14"/>
                <w:color w:val="auto"/>
              </w:rPr>
              <w:t>March 31, 2001 and</w:t>
            </w:r>
          </w:p>
        </w:tc>
        <w:tc>
          <w:tcPr>
            <w:tcW w:w="340" w:type="dxa"/>
            <w:vAlign w:val="bottom"/>
          </w:tcPr>
          <w:p>
            <w:pPr>
              <w:spacing w:after="0"/>
              <w:rPr>
                <w:sz w:val="14"/>
                <w:szCs w:val="14"/>
                <w:color w:val="auto"/>
              </w:rPr>
            </w:pPr>
          </w:p>
        </w:tc>
      </w:tr>
      <w:tr>
        <w:trPr>
          <w:trHeight w:val="167"/>
        </w:trPr>
        <w:tc>
          <w:tcPr>
            <w:tcW w:w="6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2000 (unaudited).........................................................</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F-3</w:t>
            </w:r>
          </w:p>
        </w:tc>
      </w:tr>
      <w:tr>
        <w:trPr>
          <w:trHeight w:val="334"/>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Condensed</w:t>
            </w:r>
          </w:p>
        </w:tc>
        <w:tc>
          <w:tcPr>
            <w:tcW w:w="5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Consolidated Statements of Cash Flows for the Three Months Ended</w:t>
            </w:r>
          </w:p>
        </w:tc>
        <w:tc>
          <w:tcPr>
            <w:tcW w:w="340" w:type="dxa"/>
            <w:vAlign w:val="bottom"/>
          </w:tcPr>
          <w:p>
            <w:pPr>
              <w:spacing w:after="0"/>
              <w:rPr>
                <w:sz w:val="24"/>
                <w:szCs w:val="24"/>
                <w:color w:val="auto"/>
              </w:rPr>
            </w:pPr>
          </w:p>
        </w:tc>
      </w:tr>
      <w:tr>
        <w:trPr>
          <w:trHeight w:val="167"/>
        </w:trPr>
        <w:tc>
          <w:tcPr>
            <w:tcW w:w="6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March 31, 2001 and 2000 (unaudited)......................................</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F-4</w:t>
            </w:r>
          </w:p>
        </w:tc>
      </w:tr>
      <w:tr>
        <w:trPr>
          <w:trHeight w:val="334"/>
        </w:trPr>
        <w:tc>
          <w:tcPr>
            <w:tcW w:w="65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Notes to Condensed Consolidated Financial Statements......................</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F-5</w:t>
            </w:r>
          </w:p>
        </w:tc>
      </w:tr>
      <w:tr>
        <w:trPr>
          <w:trHeight w:val="501"/>
        </w:trPr>
        <w:tc>
          <w:tcPr>
            <w:tcW w:w="840" w:type="dxa"/>
            <w:vAlign w:val="bottom"/>
          </w:tcPr>
          <w:p>
            <w:pPr>
              <w:spacing w:after="0"/>
              <w:rPr>
                <w:sz w:val="24"/>
                <w:szCs w:val="24"/>
                <w:color w:val="auto"/>
              </w:rPr>
            </w:pPr>
          </w:p>
        </w:tc>
        <w:tc>
          <w:tcPr>
            <w:tcW w:w="5680" w:type="dxa"/>
            <w:vAlign w:val="bottom"/>
          </w:tcPr>
          <w:p>
            <w:pPr>
              <w:jc w:val="right"/>
              <w:ind w:right="2888"/>
              <w:spacing w:after="0"/>
              <w:rPr>
                <w:sz w:val="20"/>
                <w:szCs w:val="20"/>
                <w:color w:val="auto"/>
              </w:rPr>
            </w:pPr>
            <w:r>
              <w:rPr>
                <w:rFonts w:ascii="Courier New" w:cs="Courier New" w:eastAsia="Courier New" w:hAnsi="Courier New"/>
                <w:sz w:val="14"/>
                <w:szCs w:val="14"/>
                <w:color w:val="auto"/>
              </w:rPr>
              <w:t>F-1</w:t>
            </w:r>
          </w:p>
        </w:tc>
        <w:tc>
          <w:tcPr>
            <w:tcW w:w="3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100" w:name="page101"/>
    <w:bookmarkEnd w:id="100"/>
    <w:p>
      <w:pPr>
        <w:jc w:val="center"/>
        <w:ind w:right="3359"/>
        <w:spacing w:after="0"/>
        <w:rPr>
          <w:sz w:val="20"/>
          <w:szCs w:val="20"/>
          <w:color w:val="auto"/>
        </w:rPr>
      </w:pPr>
      <w:r>
        <w:rPr>
          <w:rFonts w:ascii="Courier New" w:cs="Courier New" w:eastAsia="Courier New" w:hAnsi="Courier New"/>
          <w:sz w:val="14"/>
          <w:szCs w:val="14"/>
          <w:color w:val="auto"/>
        </w:rPr>
        <w:t>BLUE CHIP BROADCASTING, INC. AND SUBSIDIARIES</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CONDENSED CONSOLIDATED BALANCE SHEETS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March 31,</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December</w:t>
            </w:r>
          </w:p>
        </w:tc>
      </w:tr>
      <w:tr>
        <w:trPr>
          <w:trHeight w:val="167"/>
        </w:trPr>
        <w:tc>
          <w:tcPr>
            <w:tcW w:w="456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31, 2000</w:t>
            </w:r>
          </w:p>
        </w:tc>
      </w:tr>
      <w:tr>
        <w:trPr>
          <w:trHeight w:val="167"/>
        </w:trPr>
        <w:tc>
          <w:tcPr>
            <w:tcW w:w="456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Unaudited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$ 1,064,690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893,474</w:t>
            </w: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less allowance for doubtful</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accounts of $406,000 and $352,000, respectively..</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6,011,099</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6,602,909</w:t>
            </w: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612,692</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248,310</w:t>
            </w:r>
          </w:p>
        </w:tc>
      </w:tr>
      <w:tr>
        <w:trPr>
          <w:trHeight w:val="167"/>
        </w:trPr>
        <w:tc>
          <w:tcPr>
            <w:tcW w:w="456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Total current assets............................</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7,688,481</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7,744,693</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Property and equipment, net.......................</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8,413,966</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8,829,222</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Intangible assets, net............................</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77,431,628</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80,889,744</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1,276,716</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1,271,254</w:t>
            </w:r>
          </w:p>
        </w:tc>
      </w:tr>
      <w:tr>
        <w:trPr>
          <w:trHeight w:val="167"/>
        </w:trPr>
        <w:tc>
          <w:tcPr>
            <w:tcW w:w="456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Total assets....................................</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$ 94,810,791</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$98,734,913</w:t>
            </w:r>
          </w:p>
        </w:tc>
      </w:tr>
      <w:tr>
        <w:trPr>
          <w:trHeight w:val="167"/>
        </w:trPr>
        <w:tc>
          <w:tcPr>
            <w:tcW w:w="456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Current portion of long-term debt.................</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2,953,379</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$ 2,934,836</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Accounts payable, trade...........................</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778,113</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724,512</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Accrued expenses..................................</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1,828,022</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1,548,640</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Accrued interest..................................</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383,661</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56,168</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173,563</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20,079</w:t>
            </w:r>
          </w:p>
        </w:tc>
      </w:tr>
      <w:tr>
        <w:trPr>
          <w:trHeight w:val="167"/>
        </w:trPr>
        <w:tc>
          <w:tcPr>
            <w:tcW w:w="456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Total current liabilities.......................</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6,116,738</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5,284,235</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Long-term debt....................................</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46,286,637</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48,245,242</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Accrued interest, subordinated debt...............</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3,343,556</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3,113,759</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67,586</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73,260</w:t>
            </w:r>
          </w:p>
        </w:tc>
      </w:tr>
      <w:tr>
        <w:trPr>
          <w:trHeight w:val="167"/>
        </w:trPr>
        <w:tc>
          <w:tcPr>
            <w:tcW w:w="456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Total liabilities...............................</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55,814,517</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56,716,496</w:t>
            </w:r>
          </w:p>
        </w:tc>
      </w:tr>
      <w:tr>
        <w:trPr>
          <w:trHeight w:val="334"/>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Commitments and contingencies</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4"/>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Series B redeemable common stock, $.01 par value,</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776,962 shares authorized, issued and</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outstanding; liquidation value of $40,000,000....</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40,000,000</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40,000,000</w:t>
            </w: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Series D redeemable common stock, $.01 par value,</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398,794 shares authorized, issued and</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outstanding; liquidation value of $31,823,836 and</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$31,306,027 at March 31, 2001 and December 31,</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2000, respectively...............................</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31,823,836</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31,306,027</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STOCKHOLDERS' DEFICIT:</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Series A common stock, $.01 par value, 1,031,429</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60" w:type="dxa"/>
            <w:vAlign w:val="bottom"/>
          </w:tcPr>
          <w:p>
            <w:pPr>
              <w:ind w:left="260"/>
              <w:spacing w:after="0"/>
              <w:rPr>
                <w:sz w:val="20"/>
                <w:szCs w:val="20"/>
                <w:color w:val="auto"/>
              </w:rPr>
            </w:pPr>
            <w:r>
              <w:rPr>
                <w:rFonts w:ascii="Courier New" w:cs="Courier New" w:eastAsia="Courier New" w:hAnsi="Courier New"/>
                <w:sz w:val="14"/>
                <w:szCs w:val="14"/>
                <w:color w:val="auto"/>
              </w:rPr>
              <w:t>shares authorized, 1,015,063 issued and</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outstanding......................................</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10,151</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10,151</w:t>
            </w: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Series C common stock, $.01 par value, 199,114</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shares authorized, none issued or outstanding....</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Accumulated deficit...............................</w:t>
            </w:r>
          </w:p>
        </w:tc>
        <w:tc>
          <w:tcPr>
            <w:tcW w:w="2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(32,837,713) (29,297,761)</w:t>
            </w:r>
          </w:p>
        </w:tc>
      </w:tr>
      <w:tr>
        <w:trPr>
          <w:trHeight w:val="167"/>
        </w:trPr>
        <w:tc>
          <w:tcPr>
            <w:tcW w:w="456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Total stochholders' deficit.....................</w:t>
            </w:r>
          </w:p>
        </w:tc>
        <w:tc>
          <w:tcPr>
            <w:tcW w:w="2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(32,827,562) (29,287,610)</w:t>
            </w:r>
          </w:p>
        </w:tc>
      </w:tr>
      <w:tr>
        <w:trPr>
          <w:trHeight w:val="167"/>
        </w:trPr>
        <w:tc>
          <w:tcPr>
            <w:tcW w:w="456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 liabilities, redeemable preferred stock</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60" w:type="dxa"/>
            <w:vAlign w:val="bottom"/>
          </w:tcPr>
          <w:p>
            <w:pPr>
              <w:jc w:val="right"/>
              <w:spacing w:after="0"/>
              <w:rPr>
                <w:sz w:val="20"/>
                <w:szCs w:val="20"/>
                <w:color w:val="auto"/>
              </w:rPr>
            </w:pPr>
            <w:r>
              <w:rPr>
                <w:rFonts w:ascii="Courier New" w:cs="Courier New" w:eastAsia="Courier New" w:hAnsi="Courier New"/>
                <w:sz w:val="14"/>
                <w:szCs w:val="14"/>
                <w:color w:val="auto"/>
              </w:rPr>
              <w:t>and stockholders' deficit......................</w:t>
            </w: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$ 94,810,791</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$98,734,913</w:t>
            </w:r>
          </w:p>
        </w:tc>
      </w:tr>
      <w:tr>
        <w:trPr>
          <w:trHeight w:val="167"/>
        </w:trPr>
        <w:tc>
          <w:tcPr>
            <w:tcW w:w="4560" w:type="dxa"/>
            <w:vAlign w:val="bottom"/>
          </w:tcPr>
          <w:p>
            <w:pPr>
              <w:spacing w:after="0"/>
              <w:rPr>
                <w:sz w:val="14"/>
                <w:szCs w:val="14"/>
                <w:color w:val="auto"/>
              </w:rPr>
            </w:pPr>
          </w:p>
        </w:tc>
        <w:tc>
          <w:tcPr>
            <w:tcW w:w="1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 condensed consolidated</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financial statements.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20" w:right="1440" w:bottom="1440" w:gutter="0" w:footer="0" w:header="0"/>
        </w:sectPr>
      </w:pPr>
    </w:p>
    <w:bookmarkStart w:id="101" w:name="page102"/>
    <w:bookmarkEnd w:id="101"/>
    <w:p>
      <w:pPr>
        <w:jc w:val="center"/>
        <w:ind w:right="3359"/>
        <w:spacing w:after="0"/>
        <w:rPr>
          <w:sz w:val="20"/>
          <w:szCs w:val="20"/>
          <w:color w:val="auto"/>
        </w:rPr>
      </w:pPr>
      <w:r>
        <w:rPr>
          <w:rFonts w:ascii="Courier New" w:cs="Courier New" w:eastAsia="Courier New" w:hAnsi="Courier New"/>
          <w:sz w:val="14"/>
          <w:szCs w:val="14"/>
          <w:color w:val="auto"/>
        </w:rPr>
        <w:t>BLUE CHIP BROADCASTING, INC. AND SUBSIDIARIES</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CONDENSED CONSOLIDATED STATEMENTS OF OPERATIONS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the three months ended March 31, 2001 and 2000</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2001</w:t>
            </w:r>
          </w:p>
        </w:tc>
        <w:tc>
          <w:tcPr>
            <w:tcW w:w="1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Broadcast revenue..................................</w:t>
            </w: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$ 7,202,276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6,546,185</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Barter revenue.....................................</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222,468</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170,857</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revenues.....................................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565,981</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467,534</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Less agency commissions............................</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(887,244)</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(893,229)</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revenue......................................</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7,103,481</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6,291,347</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Broadcast operating expenses.......................</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5,326,944</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4,440,699</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Barter expense.....................................</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228,363</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170,857</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1,954,964</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1,566,625</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Corporate general and administrative...............</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684,077</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422,358</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Terminated acquisition costs.......................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339,611</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loss...................................</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(1,090,867)</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(648,803)</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(1,498,155)</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(1,549,817)</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7,595</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gain on sale of radio station...............</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(433,121)</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(3,022,143)</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(2,191,025)</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Series D redeemable stock dividends................</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(517,809)</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Accretion of increased redemption value of Series B</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redeemable common stock...........................</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(10,500,000)</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 applicable to common stock...............</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$(3,539,952)</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$(12,691,025)</w:t>
            </w:r>
          </w:p>
        </w:tc>
      </w:tr>
      <w:tr>
        <w:trPr>
          <w:trHeight w:val="167"/>
        </w:trPr>
        <w:tc>
          <w:tcPr>
            <w:tcW w:w="452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Basic and Diluted Loss Per Common Share............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loss per common share.........................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(7.08)</w:t>
            </w: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Basic and Diluted.................................</w:t>
            </w:r>
          </w:p>
        </w:tc>
        <w:tc>
          <w:tcPr>
            <w:tcW w:w="1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2,190,819</w:t>
            </w: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1,792,025</w:t>
            </w:r>
          </w:p>
        </w:tc>
      </w:tr>
    </w:tbl>
    <w:p>
      <w:pPr>
        <w:spacing w:after="0" w:line="200" w:lineRule="exact"/>
        <w:rPr>
          <w:sz w:val="20"/>
          <w:szCs w:val="20"/>
          <w:color w:val="auto"/>
        </w:rPr>
      </w:pPr>
    </w:p>
    <w:p>
      <w:pPr>
        <w:spacing w:after="0" w:line="30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 condensed consolidated</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financial statements.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620" w:right="1440" w:bottom="1440" w:gutter="0" w:footer="0" w:header="0"/>
        </w:sectPr>
      </w:pPr>
    </w:p>
    <w:bookmarkStart w:id="102" w:name="page103"/>
    <w:bookmarkEnd w:id="102"/>
    <w:p>
      <w:pPr>
        <w:jc w:val="center"/>
        <w:ind w:right="3379"/>
        <w:spacing w:after="0"/>
        <w:rPr>
          <w:sz w:val="20"/>
          <w:szCs w:val="20"/>
          <w:color w:val="auto"/>
        </w:rPr>
      </w:pPr>
      <w:r>
        <w:rPr>
          <w:rFonts w:ascii="Courier New" w:cs="Courier New" w:eastAsia="Courier New" w:hAnsi="Courier New"/>
          <w:sz w:val="14"/>
          <w:szCs w:val="14"/>
          <w:color w:val="auto"/>
        </w:rPr>
        <w:t>BLUE CHIP BROADCASTING, INC. AND SUBSIDIARIES</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CONDENSED CONSOLIDATED STATEMENTS OF CASH FLOWS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the three months ended March 31, 2001 and 2000</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236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Cash flows from operating</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activities: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Net cash provided by</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operating activities...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611,498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427,167</w:t>
            </w:r>
          </w:p>
        </w:tc>
      </w:tr>
      <w:tr>
        <w:trPr>
          <w:trHeight w:val="167"/>
        </w:trPr>
        <w:tc>
          <w:tcPr>
            <w:tcW w:w="236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Cash flows from investing</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activities: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Capital expenditures....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(90,946)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(216,033)</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Cash paid for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acquisitions...........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(2,077,600)</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Purchase of intangible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asset..................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(60,000)</w:t>
            </w:r>
          </w:p>
        </w:tc>
        <w:tc>
          <w:tcPr>
            <w:tcW w:w="108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Cash receipts from sale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assets..............</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1,750,000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9,000</w:t>
            </w: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Deposits and other......</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(5,462)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(1,650,000)</w:t>
            </w:r>
          </w:p>
        </w:tc>
      </w:tr>
      <w:tr>
        <w:trPr>
          <w:trHeight w:val="167"/>
        </w:trPr>
        <w:tc>
          <w:tcPr>
            <w:tcW w:w="236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cash provided by (used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in) investing</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activities...............</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1,593,592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(3,934,633)</w:t>
            </w:r>
          </w:p>
        </w:tc>
      </w:tr>
      <w:tr>
        <w:trPr>
          <w:trHeight w:val="167"/>
        </w:trPr>
        <w:tc>
          <w:tcPr>
            <w:tcW w:w="236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Cash flows from financing</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activities: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Issuance of long-term</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debt...................</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4,000,000</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Repayment of long-term</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debt...................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(2,939,646)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(338,136)</w:t>
            </w: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Payment of debt issuance</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costs..................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(88,767)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(108,122)</w:t>
            </w: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Payment of equity</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issuance costs.........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(20,849)</w:t>
            </w: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(5,461)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(14,863)</w:t>
            </w:r>
          </w:p>
        </w:tc>
      </w:tr>
      <w:tr>
        <w:trPr>
          <w:trHeight w:val="167"/>
        </w:trPr>
        <w:tc>
          <w:tcPr>
            <w:tcW w:w="236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Net cash (used in)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provided by financing</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activities...............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(2,033,874)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3,518,030</w:t>
            </w:r>
          </w:p>
        </w:tc>
      </w:tr>
      <w:tr>
        <w:trPr>
          <w:trHeight w:val="167"/>
        </w:trPr>
        <w:tc>
          <w:tcPr>
            <w:tcW w:w="236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increase in cash......</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171,216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10,564</w:t>
            </w: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Cash and cash equivalents,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beginning of year........</w:t>
            </w:r>
          </w:p>
        </w:tc>
        <w:tc>
          <w:tcPr>
            <w:tcW w:w="1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893,474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1,612,105</w:t>
            </w:r>
          </w:p>
        </w:tc>
      </w:tr>
      <w:tr>
        <w:trPr>
          <w:trHeight w:val="167"/>
        </w:trPr>
        <w:tc>
          <w:tcPr>
            <w:tcW w:w="236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Cash and cash equivalents,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end of year..............</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1,064,690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$ 1,622,669</w:t>
            </w:r>
          </w:p>
        </w:tc>
      </w:tr>
      <w:tr>
        <w:trPr>
          <w:trHeight w:val="167"/>
        </w:trPr>
        <w:tc>
          <w:tcPr>
            <w:tcW w:w="236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The accompanying notes are an integral part of the condensed consolidated</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financial statements.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620" w:right="1440" w:bottom="1440" w:gutter="0" w:footer="0" w:header="0"/>
        </w:sectPr>
      </w:pPr>
    </w:p>
    <w:bookmarkStart w:id="103" w:name="page104"/>
    <w:bookmarkEnd w:id="103"/>
    <w:p>
      <w:pPr>
        <w:ind w:left="1480"/>
        <w:spacing w:after="0"/>
        <w:rPr>
          <w:sz w:val="20"/>
          <w:szCs w:val="20"/>
          <w:color w:val="auto"/>
        </w:rPr>
      </w:pPr>
      <w:r>
        <w:rPr>
          <w:rFonts w:ascii="Courier New" w:cs="Courier New" w:eastAsia="Courier New" w:hAnsi="Courier New"/>
          <w:sz w:val="14"/>
          <w:szCs w:val="14"/>
          <w:color w:val="auto"/>
        </w:rPr>
        <w:t>BLUE CHIP BROADCASTING, INC. AND SUBSIDIARIES</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NOTES TO CONDENSED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Financial Statements</w:t>
      </w:r>
    </w:p>
    <w:p>
      <w:pPr>
        <w:spacing w:after="0" w:line="17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The December 31, 2000 condensed consolidated balance sheet data was derived from audited financial statements, but does not include all disclosures required by generally accepted accounting principles. The financial statements included herein have been prepared by the Company, without audit, pursuant to the rules and regulations of the Securities and Exchange Commission. Although certain information and footnote disclosures normally included in financial statements prepared in accordance with generally accepted accounting principles have been condensed or omitted pursuant to such rules and regulations, the Company believes that the disclosures are adequate to make the information presented not misleading and reflect all adjustments (consisting only of normal recurring adjustments) which are necessary for a fair presentation of results of operations for such periods. Results for interim periods may not be indicative of results for the full year. It is suggested that these condensed consolidated financial statements be read in conjunction with the consolidated financial statements for the year ended December 31, 2000 and the notes thereto, included in the Radio One Form 8-K dated April 9, 2001 incorporated by reference herein.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Radio One Merger</w:t>
      </w:r>
    </w:p>
    <w:p>
      <w:pPr>
        <w:spacing w:after="0" w:line="17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On February 7, 2001, the Company and the Company's stockholders entered into a definitive merger agreement with Radio One, Inc. ("Radio One") providing for the merger of the Company with and into a wholly owned subsidiary of Radio One. All of the Company's subsidiaries will become wholly owned subsidiaries of Radio One subsequent to the merger. The Company's stockholders will receive aggregate consideration of $190,000,000 less the consolidated liabilities of the Company and other adjustments as defined in the merger agreement. The net proceeds payable to the Company's stockholders will consist of a minimum of $25,000,000 in cash and a maximum of $50,000,000 in cash, with the balance consisting of Radio One Class D common stock valued at $14 per share. In June 2001, the Company received the necessary regulatory approvals to consummate the merger with Radio One. Subsequent to receiving these approvals, Radio One exercised their right per the merger agreement to extend the closing date of the transaction to no later than August 15, 2001. The merger is intended to constitute a reorganization under Section 368(a) of the Internal Revenue Code; therefore, any gain attributable to the stock consideration received by the Company's stockholders will not be immediately subject to federal income taxes.</w:t>
      </w:r>
    </w:p>
    <w:p>
      <w:pPr>
        <w:spacing w:after="0" w:line="173"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The Company has incurred approximately $350,000 in legal and accounting fees related to the merger, of which approximately $225,000 were incurred in the first quarter of 2001. These costs have been expensed as incurred as corporate expenses.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Dispositions</w:t>
      </w:r>
    </w:p>
    <w:p>
      <w:pPr>
        <w:spacing w:after="0" w:line="175" w:lineRule="exact"/>
        <w:rPr>
          <w:sz w:val="20"/>
          <w:szCs w:val="20"/>
          <w:color w:val="auto"/>
        </w:rPr>
      </w:pPr>
    </w:p>
    <w:p>
      <w:pPr>
        <w:ind w:right="3639" w:firstLine="260"/>
        <w:spacing w:after="0" w:line="255" w:lineRule="auto"/>
        <w:rPr>
          <w:sz w:val="20"/>
          <w:szCs w:val="20"/>
          <w:color w:val="auto"/>
        </w:rPr>
      </w:pPr>
      <w:r>
        <w:rPr>
          <w:rFonts w:ascii="Courier New" w:cs="Courier New" w:eastAsia="Courier New" w:hAnsi="Courier New"/>
          <w:sz w:val="14"/>
          <w:szCs w:val="14"/>
          <w:color w:val="auto"/>
        </w:rPr>
        <w:t>On March 16, 2001, the Company sold the FCC license and certain broadcast assets of WFIA-AM in Louisville, Kentucky for $1,750,000. The Company recognized a loss of approximately $433,000 related to the sale.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Subsequent Events</w:t>
      </w:r>
    </w:p>
    <w:p>
      <w:pPr>
        <w:spacing w:after="0" w:line="175"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In June 2001, the Company sold the FCC license and certain broadcast assets of WBTF-FM in Lexington, Kentucky for $1,100,000 in cash at closing and a promissory note in the amount of $1,500,000. The Company expects to close on the sale of WLXD-FM for $400,000 in cash sometime in the fourth quarter of 2001.</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620" w:right="1440" w:bottom="1440" w:gutter="0" w:footer="0" w:header="0"/>
        </w:sectPr>
      </w:pPr>
    </w:p>
    <w:bookmarkStart w:id="104" w:name="page105"/>
    <w:bookmarkEnd w:id="104"/>
    <w:p>
      <w:pPr>
        <w:ind w:left="180" w:hanging="171"/>
        <w:spacing w:after="0"/>
        <w:tabs>
          <w:tab w:leader="none" w:pos="1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$300,000,000</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[LOGO]</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Offer to Exchange $300,000,000</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8 7/8% Senior Subordinated Notes due 2011, Series B</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for any and all outstanding</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8 7/8% Senior Subordinated Notes due 2011</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PROSPECTUS</w:t>
      </w:r>
    </w:p>
    <w:p>
      <w:pPr>
        <w:spacing w:after="0" w:line="8" w:lineRule="exact"/>
        <w:rPr>
          <w:sz w:val="20"/>
          <w:szCs w:val="20"/>
          <w:color w:val="auto"/>
        </w:rPr>
      </w:pPr>
    </w:p>
    <w:p>
      <w:pPr>
        <w:ind w:left="3300" w:hanging="166"/>
        <w:spacing w:after="0"/>
        <w:tabs>
          <w:tab w:leader="none" w:pos="3300"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2001</w:t>
      </w:r>
    </w:p>
    <w:p>
      <w:pPr>
        <w:spacing w:after="0" w:line="34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bookmarkStart w:id="105" w:name="page106"/>
    <w:bookmarkEnd w:id="105"/>
    <w:p>
      <w:pPr>
        <w:ind w:left="1220"/>
        <w:spacing w:after="0"/>
        <w:rPr>
          <w:sz w:val="20"/>
          <w:szCs w:val="20"/>
          <w:color w:val="auto"/>
        </w:rPr>
      </w:pPr>
      <w:r>
        <w:rPr>
          <w:rFonts w:ascii="Courier New" w:cs="Courier New" w:eastAsia="Courier New" w:hAnsi="Courier New"/>
          <w:sz w:val="14"/>
          <w:szCs w:val="14"/>
          <w:color w:val="auto"/>
        </w:rPr>
        <w:t>PART II: INFORMATION NOT REQUIRED IN THE 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20. Indemnification of Directors and Officers.</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Registrants Incorporated Under Delaware Law</w:t>
      </w:r>
    </w:p>
    <w:p>
      <w:pPr>
        <w:spacing w:after="0" w:line="175" w:lineRule="exact"/>
        <w:rPr>
          <w:sz w:val="20"/>
          <w:szCs w:val="20"/>
          <w:color w:val="auto"/>
        </w:rPr>
      </w:pPr>
    </w:p>
    <w:p>
      <w:pPr>
        <w:ind w:right="3539" w:firstLine="260"/>
        <w:spacing w:after="0" w:line="253" w:lineRule="auto"/>
        <w:rPr>
          <w:sz w:val="20"/>
          <w:szCs w:val="20"/>
          <w:color w:val="auto"/>
        </w:rPr>
      </w:pPr>
      <w:r>
        <w:rPr>
          <w:rFonts w:ascii="Courier New" w:cs="Courier New" w:eastAsia="Courier New" w:hAnsi="Courier New"/>
          <w:sz w:val="14"/>
          <w:szCs w:val="14"/>
          <w:color w:val="auto"/>
        </w:rPr>
        <w:t>All Registrants, other than Broadcast Holdings, Inc. and Bell Broadcasting Company, are incorporated under the laws of the State of Delaware. Section 102(b)(7) of the General Corporation Law of the State of Delaware permits a Delaware corporation to limit the personal liability of its directors in accordance with the provisions set forth therein. The Restated Certificate of Incorporation of the Registrant provides that the personal liability of its directors shall be limited to the fullest extent permitted by applicable law.</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Section 145 of the General Corporation Law of the State of Delaware contains provisions permitting corporations organized thereunder to indemnify directors, officers, employees or agents against expenses, judgments and fines reasonably incurred and against certain other liabilities in connection with any threatened, pending or completed action, suit or proceeding, whether civil, criminal, administrative or investigative, by reason of the fact that such person was or is a director, officer, employee or agent of the corporation. The Amended and Restated Certificate of Incorporation of the Registrants, other than Broadcast Holdings, Inc. and Bell Broadcasting Company, provides for indemnification of its directors and officers to the fullest extent permitted by applicable law.</w:t>
      </w:r>
    </w:p>
    <w:p>
      <w:pPr>
        <w:spacing w:after="0" w:line="33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Registrant Incorporated Under District of Columbia Law</w:t>
      </w:r>
    </w:p>
    <w:p>
      <w:pPr>
        <w:spacing w:after="0" w:line="17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Broadcast Holdings, Inc. ("BHI") is incorporated under the laws of the District of Columbia. Section 29-304 of the District of Columbia Business Corporations Act provides that a District of Columbia corporation shall have the power to indemnify any and all of its directors or officers or former directors or officers or any person who may have served at its request as a director or officer of another corporation in which it owns shares of capital stock or of which it is a creditor against expenses actually and necessarily incurred by them in connection with the defense of any action, suit or proceeding in which they, or any of them, are made parties, or a party, by reason of being or having been directors or officers or a director or officer of the corporation, or of such other corporation, except in relation to matters as to which any such director or officer or former director or officer or person shall be adjudged in such action, suit or proceeding to be liable for negligence or misconduct in the performance of duty. Such indemnification shall not be deemed exclusive of any other rights to which those indemnified may be entitled, under any bylaw, agreement, vote of stockholders, or otherwise. BHI's By-Laws generally provide that BHI shall indemnify any person who was or is a party or is threatened to be made a party to any threatened, pending or completed action, suit or proceeding, whether civil, criminal, administrative or investigative (other than an action by or in the right of BHI) by reason of the fact that he is or was a BHI director, officer, employee or agent or is or was serving at BHI's request as a director, officer, employee or agent of another corporation, partnership, joint venture, trust or other enterprise.</w:t>
      </w:r>
    </w:p>
    <w:p>
      <w:pPr>
        <w:spacing w:after="0" w:line="17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Registrant Incorporated Under Michigan Law</w:t>
      </w:r>
    </w:p>
    <w:p>
      <w:pPr>
        <w:spacing w:after="0" w:line="175"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Bell Broadcasting Company ("BBC") is incorporated under the laws of the State of Michigan. Under Sections 561-571 of the Michigan Business Corporation Act, directors and officers of a Michigan corporation may be entitled to indemnification by the corporation against judgments, expenses, fines and amounts paid by the director or officer in settlement of claims brought against them by third persons or by or in the right of the corporation if those directors and officers acted in good faith and in a manner reasonably believed to be in, or not opposed to, the best interests of the corporation or its shareholders. BBC's Restated Articles of Incorporation provide that its directors shall not be personally liable to BBC or its shareholders for monetary damages for breach of the director's fiduciary duty. However, BBC's Restated Articles of Incorporation do not eliminate or limit the liability of a director for any of the following: (i) a breach of the director's duty of loyalty to us or our shareholders; (ii) acts or omissions not in good faith or that involve intentional misconduct or knowing violation of law; (iii) a violation of Section 551(1) of the Michigan Business Corporation Act;</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620" w:right="1440" w:bottom="1440" w:gutter="0" w:footer="0" w:header="0"/>
        </w:sectPr>
      </w:pPr>
    </w:p>
    <w:bookmarkStart w:id="106" w:name="page107"/>
    <w:bookmarkEnd w:id="106"/>
    <w:p>
      <w:pPr>
        <w:ind w:right="3379" w:firstLine="9"/>
        <w:spacing w:after="0" w:line="253" w:lineRule="auto"/>
        <w:tabs>
          <w:tab w:leader="none" w:pos="434"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from which the director derived an improper personal benefit; or (v) an act or omission occurring before the effective date of the Restated Articles of Incorporation. In addition, BBC's By-Laws generally provide that BBC shall indemnify any person who was or is a party or is threatened to be made a party to any threatened, pending or completed action, suit or proceeding, whether civil, criminal, administrative or investigative (other than an action by or in the right of BBC) by reason of the fact that he is or was a BBC director, officer, employee or agent or is or was serving at BBC's request as a director, officer, employee or agent of another corporation, partnership, joint venture, trust or other enterprise.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21. Exhibits.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 The following exhibits are filed as part of this Registration Statement:</w:t>
      </w:r>
    </w:p>
    <w:p>
      <w:pPr>
        <w:spacing w:after="0" w:line="200" w:lineRule="exact"/>
        <w:rPr>
          <w:sz w:val="20"/>
          <w:szCs w:val="20"/>
          <w:color w:val="auto"/>
        </w:rPr>
      </w:pP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Exhibit</w:t>
            </w:r>
          </w:p>
        </w:tc>
        <w:tc>
          <w:tcPr>
            <w:tcW w:w="6040" w:type="dxa"/>
            <w:vAlign w:val="bottom"/>
          </w:tcPr>
          <w:p>
            <w:pPr>
              <w:spacing w:after="0"/>
              <w:rPr>
                <w:sz w:val="14"/>
                <w:szCs w:val="14"/>
                <w:color w:val="auto"/>
              </w:rPr>
            </w:pPr>
          </w:p>
        </w:tc>
      </w:tr>
      <w:tr>
        <w:trPr>
          <w:trHeight w:val="167"/>
        </w:trPr>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No.</w:t>
            </w:r>
          </w:p>
        </w:tc>
        <w:tc>
          <w:tcPr>
            <w:tcW w:w="6040" w:type="dxa"/>
            <w:vAlign w:val="bottom"/>
          </w:tcPr>
          <w:p>
            <w:pPr>
              <w:ind w:left="25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r>
      <w:tr>
        <w:trPr>
          <w:trHeight w:val="334"/>
        </w:trPr>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4.14</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Indenture, dated May 18, 2001, between Radio One, Inc. and United</w:t>
            </w:r>
          </w:p>
        </w:tc>
      </w:tr>
      <w:tr>
        <w:trPr>
          <w:trHeight w:val="167"/>
        </w:trPr>
        <w:tc>
          <w:tcPr>
            <w:tcW w:w="640" w:type="dxa"/>
            <w:vAlign w:val="bottom"/>
          </w:tcPr>
          <w:p>
            <w:pPr>
              <w:spacing w:after="0"/>
              <w:rPr>
                <w:sz w:val="14"/>
                <w:szCs w:val="14"/>
                <w:color w:val="auto"/>
              </w:rPr>
            </w:pP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States Trust Company of New York, as trustee.</w:t>
            </w:r>
          </w:p>
        </w:tc>
      </w:tr>
      <w:tr>
        <w:trPr>
          <w:trHeight w:val="167"/>
        </w:trPr>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4.15</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Form of 8 7/8% Senior Subordinated Notes, due 2011.</w:t>
            </w:r>
          </w:p>
        </w:tc>
      </w:tr>
      <w:tr>
        <w:trPr>
          <w:trHeight w:val="167"/>
        </w:trPr>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4.16</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Registration Rights Agreement, dated May 18, 2001, by and among Radio</w:t>
            </w:r>
          </w:p>
        </w:tc>
      </w:tr>
      <w:tr>
        <w:trPr>
          <w:trHeight w:val="167"/>
        </w:trPr>
        <w:tc>
          <w:tcPr>
            <w:tcW w:w="640" w:type="dxa"/>
            <w:vAlign w:val="bottom"/>
          </w:tcPr>
          <w:p>
            <w:pPr>
              <w:spacing w:after="0"/>
              <w:rPr>
                <w:sz w:val="14"/>
                <w:szCs w:val="14"/>
                <w:color w:val="auto"/>
              </w:rPr>
            </w:pP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One, Inc., the Guarantors and the initial purchasers.</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Opinion of Kirkland &amp; Ellis regarding the validity of the securities</w:t>
            </w:r>
          </w:p>
        </w:tc>
      </w:tr>
      <w:tr>
        <w:trPr>
          <w:trHeight w:val="167"/>
        </w:trPr>
        <w:tc>
          <w:tcPr>
            <w:tcW w:w="640" w:type="dxa"/>
            <w:vAlign w:val="bottom"/>
          </w:tcPr>
          <w:p>
            <w:pPr>
              <w:spacing w:after="0"/>
              <w:rPr>
                <w:sz w:val="14"/>
                <w:szCs w:val="14"/>
                <w:color w:val="auto"/>
              </w:rPr>
            </w:pP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offered hereby.</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Opinion of Kirkland &amp; Ellis regarding federal income tax</w:t>
            </w:r>
          </w:p>
        </w:tc>
      </w:tr>
      <w:tr>
        <w:trPr>
          <w:trHeight w:val="167"/>
        </w:trPr>
        <w:tc>
          <w:tcPr>
            <w:tcW w:w="640" w:type="dxa"/>
            <w:vAlign w:val="bottom"/>
          </w:tcPr>
          <w:p>
            <w:pPr>
              <w:spacing w:after="0"/>
              <w:rPr>
                <w:sz w:val="14"/>
                <w:szCs w:val="14"/>
                <w:color w:val="auto"/>
              </w:rPr>
            </w:pP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considerations.</w:t>
            </w:r>
          </w:p>
        </w:tc>
      </w:tr>
      <w:tr>
        <w:trPr>
          <w:trHeight w:val="167"/>
        </w:trPr>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10.64</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Purchase Agreement dated May 4, 2001 among Radio One, Inc., the</w:t>
            </w:r>
          </w:p>
        </w:tc>
      </w:tr>
      <w:tr>
        <w:trPr>
          <w:trHeight w:val="167"/>
        </w:trPr>
        <w:tc>
          <w:tcPr>
            <w:tcW w:w="640" w:type="dxa"/>
            <w:vAlign w:val="bottom"/>
          </w:tcPr>
          <w:p>
            <w:pPr>
              <w:spacing w:after="0"/>
              <w:rPr>
                <w:sz w:val="14"/>
                <w:szCs w:val="14"/>
                <w:color w:val="auto"/>
              </w:rPr>
            </w:pP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initial purchasers and the Guarantors.</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21.1</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Subsidiaries of Radio One, Inc.</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Consent of Arthur Andersen LLP.</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Consent of PricewaterhouseCoopers, LLP</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Consent of Clark, Schaefer, Hackett &amp; Co.</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Consents of Kirkland &amp; Ellis (included in Exhibits 5.1 and 8.1).</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Power of Attorney (included on the signature pages hereto).</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Statement of Eligibility of Trustee on Form T-1 under the Trust</w:t>
            </w:r>
          </w:p>
        </w:tc>
      </w:tr>
      <w:tr>
        <w:trPr>
          <w:trHeight w:val="167"/>
        </w:trPr>
        <w:tc>
          <w:tcPr>
            <w:tcW w:w="640" w:type="dxa"/>
            <w:vAlign w:val="bottom"/>
          </w:tcPr>
          <w:p>
            <w:pPr>
              <w:spacing w:after="0"/>
              <w:rPr>
                <w:sz w:val="14"/>
                <w:szCs w:val="14"/>
                <w:color w:val="auto"/>
              </w:rPr>
            </w:pP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Indenture Act of 1939 of United States Trust Company of New York.</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99.1</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Form of Letter of Transmittal.</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99.2</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Form of Tender Instructions.</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99.3</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Form of Notice of Guaranteed Delivery.</w:t>
            </w:r>
          </w:p>
        </w:tc>
      </w:tr>
    </w:tbl>
    <w:p>
      <w:pPr>
        <w:spacing w:after="0" w:line="338" w:lineRule="exact"/>
        <w:rPr>
          <w:sz w:val="20"/>
          <w:szCs w:val="20"/>
          <w:color w:val="auto"/>
        </w:rPr>
      </w:pPr>
    </w:p>
    <w:p>
      <w:pPr>
        <w:ind w:right="3899" w:firstLine="269"/>
        <w:spacing w:after="0" w:line="258" w:lineRule="auto"/>
        <w:tabs>
          <w:tab w:leader="none" w:pos="608"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financial statement schedules are required to be filed herewith pursuant to this Item.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22. Undertakings.</w:t>
      </w:r>
    </w:p>
    <w:p>
      <w:pPr>
        <w:spacing w:after="0" w:line="175" w:lineRule="exact"/>
        <w:rPr>
          <w:sz w:val="20"/>
          <w:szCs w:val="20"/>
          <w:color w:val="auto"/>
        </w:rPr>
      </w:pPr>
    </w:p>
    <w:p>
      <w:pPr>
        <w:ind w:right="3379" w:firstLine="269"/>
        <w:spacing w:after="0" w:line="252" w:lineRule="auto"/>
        <w:tabs>
          <w:tab w:leader="none" w:pos="608"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provisions described in Item 20,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directors,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rFonts w:ascii="Courier New" w:cs="Courier New" w:eastAsia="Courier New" w:hAnsi="Courier New"/>
          <w:sz w:val="14"/>
          <w:szCs w:val="14"/>
          <w:color w:val="auto"/>
        </w:rPr>
      </w:pPr>
    </w:p>
    <w:p>
      <w:pPr>
        <w:ind w:right="3459" w:firstLine="269"/>
        <w:spacing w:after="0" w:line="253" w:lineRule="auto"/>
        <w:tabs>
          <w:tab w:leader="none" w:pos="608"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the information omitted from the form of prospectus filed as a part of this Registration Statement in reliance on Rule 430A and contained in a form of prospectus filed by the registrant pursuant to Rule 424(b)(1) or (4) or 497(h) under the Securities Act shall be deemed to be a part of this registration statement as of the time it was declared effective.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620" w:right="1440" w:bottom="1440" w:gutter="0" w:footer="0" w:header="0"/>
        </w:sectPr>
      </w:pPr>
    </w:p>
    <w:bookmarkStart w:id="107" w:name="page108"/>
    <w:bookmarkEnd w:id="107"/>
    <w:p>
      <w:pPr>
        <w:ind w:left="-269" w:right="3379" w:firstLine="269"/>
        <w:spacing w:after="0" w:line="254" w:lineRule="auto"/>
        <w:tabs>
          <w:tab w:leader="none" w:pos="338"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2" w:lineRule="exact"/>
        <w:rPr>
          <w:rFonts w:ascii="Courier New" w:cs="Courier New" w:eastAsia="Courier New" w:hAnsi="Courier New"/>
          <w:sz w:val="14"/>
          <w:szCs w:val="14"/>
          <w:color w:val="auto"/>
        </w:rPr>
      </w:pPr>
    </w:p>
    <w:p>
      <w:pPr>
        <w:ind w:left="-269" w:right="3379" w:firstLine="269"/>
        <w:spacing w:after="0" w:line="253" w:lineRule="auto"/>
        <w:tabs>
          <w:tab w:leader="none" w:pos="338"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date of the registration statement through the date of responding to the request.</w:t>
      </w:r>
    </w:p>
    <w:p>
      <w:pPr>
        <w:spacing w:after="0" w:line="332" w:lineRule="exact"/>
        <w:rPr>
          <w:rFonts w:ascii="Courier New" w:cs="Courier New" w:eastAsia="Courier New" w:hAnsi="Courier New"/>
          <w:sz w:val="14"/>
          <w:szCs w:val="14"/>
          <w:color w:val="auto"/>
        </w:rPr>
      </w:pPr>
    </w:p>
    <w:p>
      <w:pPr>
        <w:ind w:left="-269" w:right="3719" w:firstLine="269"/>
        <w:spacing w:after="0" w:line="254" w:lineRule="auto"/>
        <w:tabs>
          <w:tab w:leader="none" w:pos="338"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63" w:lineRule="exact"/>
        <w:rPr>
          <w:sz w:val="20"/>
          <w:szCs w:val="20"/>
          <w:color w:val="auto"/>
        </w:rPr>
      </w:pPr>
    </w:p>
    <w:p>
      <w:pPr>
        <w:ind w:left="3031"/>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9970"/>
          </w:cols>
          <w:pgMar w:left="489" w:top="620" w:right="1440" w:bottom="1440" w:gutter="0" w:footer="0" w:header="0"/>
        </w:sectPr>
      </w:pPr>
    </w:p>
    <w:bookmarkStart w:id="108" w:name="page109"/>
    <w:bookmarkEnd w:id="108"/>
    <w:p>
      <w:pPr>
        <w:jc w:val="center"/>
        <w:ind w:right="3279"/>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Pursuant to the requirements of the Securities Act of 1933, as amended, each of the Registrants have duly caused this Registration Statement on Form S-4 to be signed on its behalf by the undersigned, thereunto duly authorized, in Lanham, Maryland on June 27, 2001.</w:t>
      </w:r>
    </w:p>
    <w:p>
      <w:pPr>
        <w:spacing w:after="0" w:line="163"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Radio One, Inc.</w:t>
      </w:r>
    </w:p>
    <w:p>
      <w:pPr>
        <w:spacing w:after="0" w:line="175"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/s/ Alfred C. Liggins, III</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By___________________________________</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 Alfred C. Liggins, III</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Title: President and Chief</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Executive Officer</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RADIO ONE LICENSES, 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WYCB ACQUISITION CORPORATION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BROADCAST HOLDINGS, 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BELL BROADCASTING COMPANY</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RADIO ONE OF DETROIT, 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ALLUR-DETROIT, 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ALLUR LICENSES, 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RADIO ONE OF ATLANTA, 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ROA LICENSES, 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DOGWOOD COMMUNICATIONS, 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DOGWOOD LICENSES, 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RADIO ONE OF CHARLOTTE, LLC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RADIO ONE OF AUGUSTA, 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DAVIS BROADCASTING OF CHARLOTTE,</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RADIO ONE OF NORTH CAROLINA, 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RADIO ONE OF BOSTON, 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RADIO ONE OF BOSTON LICENSES, INC.</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BLUE CHIP MERGER SUBSIDIARY, INC.</w:t>
      </w:r>
    </w:p>
    <w:p>
      <w:pPr>
        <w:spacing w:after="0" w:line="175"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/s/ Alfred C. Liggins, III</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By___________________________________</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 Alfred C. Liggins, III</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Title: President and Chief</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Executive Officer</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620" w:right="1440" w:bottom="1440" w:gutter="0" w:footer="0" w:header="0"/>
        </w:sectPr>
      </w:pPr>
    </w:p>
    <w:bookmarkStart w:id="109" w:name="page110"/>
    <w:bookmarkEnd w:id="109"/>
    <w:p>
      <w:pPr>
        <w:jc w:val="center"/>
        <w:ind w:right="3279"/>
        <w:spacing w:after="0"/>
        <w:rPr>
          <w:sz w:val="20"/>
          <w:szCs w:val="20"/>
          <w:color w:val="auto"/>
        </w:rPr>
      </w:pPr>
      <w:r>
        <w:rPr>
          <w:rFonts w:ascii="Courier New" w:cs="Courier New" w:eastAsia="Courier New" w:hAnsi="Courier New"/>
          <w:sz w:val="14"/>
          <w:szCs w:val="14"/>
          <w:color w:val="auto"/>
        </w:rPr>
        <w:t>POWER OF ATTORNEY AND SIGNATURES</w:t>
      </w:r>
    </w:p>
    <w:p>
      <w:pPr>
        <w:spacing w:after="0" w:line="17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Registration Statement has been signed by the following persons on the date and in the capacity indicated. We, the undersigned officers and directors of Registrants, hereby severally constitute and appoint Alfred C. Liggins, III, Scott R. Royster and Linda J. Eckard Vilardo, and each of them singly, our true and lawful attorneys, with full power to them and each of them singly, to sign for us in our names in the capacities indicated below, all pre-effective and post-effective amendments to this Registration Statement (or any other registration statement for the same offering that is to be effective upon filing pursuant to Rule 462(b) under the Securities Act), and generally to do all things in our names and on our behalf in such capacities to enable Radio One, Inc. to comply with the provisions of the Securities Act, as amended, and all requirements of the SEC.</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gridSpan w:val="2"/>
          </w:tcPr>
          <w:p>
            <w:pPr>
              <w:ind w:left="2960"/>
              <w:spacing w:after="0"/>
              <w:rPr>
                <w:sz w:val="20"/>
                <w:szCs w:val="20"/>
                <w:color w:val="auto"/>
              </w:rPr>
            </w:pPr>
            <w:r>
              <w:rPr>
                <w:rFonts w:ascii="Courier New" w:cs="Courier New" w:eastAsia="Courier New" w:hAnsi="Courier New"/>
                <w:sz w:val="14"/>
                <w:szCs w:val="14"/>
                <w:color w:val="auto"/>
              </w:rPr>
              <w:t>Registrants</w:t>
            </w:r>
          </w:p>
        </w:tc>
        <w:tc>
          <w:tcPr>
            <w:tcW w:w="1300" w:type="dxa"/>
            <w:vAlign w:val="bottom"/>
          </w:tcPr>
          <w:p>
            <w:pPr>
              <w:spacing w:after="0"/>
              <w:rPr>
                <w:sz w:val="14"/>
                <w:szCs w:val="14"/>
                <w:color w:val="auto"/>
              </w:rPr>
            </w:pPr>
          </w:p>
        </w:tc>
      </w:tr>
      <w:tr>
        <w:trPr>
          <w:trHeight w:val="668"/>
        </w:trPr>
        <w:tc>
          <w:tcPr>
            <w:tcW w:w="3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Signature</w:t>
            </w:r>
          </w:p>
        </w:tc>
        <w:tc>
          <w:tcPr>
            <w:tcW w:w="2460" w:type="dxa"/>
            <w:vAlign w:val="bottom"/>
          </w:tcPr>
          <w:p>
            <w:pPr>
              <w:ind w:left="820"/>
              <w:spacing w:after="0"/>
              <w:rPr>
                <w:sz w:val="20"/>
                <w:szCs w:val="20"/>
                <w:color w:val="auto"/>
              </w:rPr>
            </w:pPr>
            <w:r>
              <w:rPr>
                <w:rFonts w:ascii="Courier New" w:cs="Courier New" w:eastAsia="Courier New" w:hAnsi="Courier New"/>
                <w:sz w:val="14"/>
                <w:szCs w:val="14"/>
                <w:color w:val="auto"/>
              </w:rPr>
              <w:t>Title(s)</w:t>
            </w:r>
          </w:p>
        </w:tc>
        <w:tc>
          <w:tcPr>
            <w:tcW w:w="1300" w:type="dxa"/>
            <w:vAlign w:val="bottom"/>
          </w:tcPr>
          <w:p>
            <w:pPr>
              <w:ind w:left="520"/>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3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501"/>
        </w:trPr>
        <w:tc>
          <w:tcPr>
            <w:tcW w:w="3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/s/ Catherine L. Hughes</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Chairperson of the Board</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June 27, 2001</w:t>
            </w:r>
          </w:p>
        </w:tc>
      </w:tr>
      <w:tr>
        <w:trPr>
          <w:trHeight w:val="167"/>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______________________________________</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of Directors (1)</w:t>
            </w:r>
          </w:p>
        </w:tc>
        <w:tc>
          <w:tcPr>
            <w:tcW w:w="1300" w:type="dxa"/>
            <w:vAlign w:val="bottom"/>
          </w:tcPr>
          <w:p>
            <w:pPr>
              <w:spacing w:after="0"/>
              <w:rPr>
                <w:sz w:val="14"/>
                <w:szCs w:val="14"/>
                <w:color w:val="auto"/>
              </w:rPr>
            </w:pPr>
          </w:p>
        </w:tc>
      </w:tr>
      <w:tr>
        <w:trPr>
          <w:trHeight w:val="167"/>
        </w:trPr>
        <w:tc>
          <w:tcPr>
            <w:tcW w:w="33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Catherine L. Hughes</w:t>
            </w:r>
          </w:p>
        </w:tc>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336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Director (1)</w:t>
            </w:r>
          </w:p>
        </w:tc>
        <w:tc>
          <w:tcPr>
            <w:tcW w:w="1300" w:type="dxa"/>
            <w:vAlign w:val="bottom"/>
          </w:tcPr>
          <w:p>
            <w:pPr>
              <w:spacing w:after="0"/>
              <w:rPr>
                <w:sz w:val="24"/>
                <w:szCs w:val="24"/>
                <w:color w:val="auto"/>
              </w:rPr>
            </w:pPr>
          </w:p>
        </w:tc>
      </w:tr>
      <w:tr>
        <w:trPr>
          <w:trHeight w:val="167"/>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______________________________________</w:t>
            </w:r>
          </w:p>
        </w:tc>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Terry L. Jones</w:t>
            </w:r>
          </w:p>
        </w:tc>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/s/ Brian W. McNeill</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Director (1)</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June 27, 2001</w:t>
            </w:r>
          </w:p>
        </w:tc>
      </w:tr>
      <w:tr>
        <w:trPr>
          <w:trHeight w:val="167"/>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______________________________________</w:t>
            </w:r>
          </w:p>
        </w:tc>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Brian W. McNeill</w:t>
            </w:r>
          </w:p>
        </w:tc>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3360" w:type="dxa"/>
            <w:vAlign w:val="bottom"/>
          </w:tcPr>
          <w:p>
            <w:pPr>
              <w:spacing w:after="0"/>
              <w:rPr>
                <w:sz w:val="24"/>
                <w:szCs w:val="24"/>
                <w:color w:val="auto"/>
              </w:rPr>
            </w:pP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Director (2)</w:t>
            </w:r>
          </w:p>
        </w:tc>
        <w:tc>
          <w:tcPr>
            <w:tcW w:w="1300" w:type="dxa"/>
            <w:vAlign w:val="bottom"/>
          </w:tcPr>
          <w:p>
            <w:pPr>
              <w:spacing w:after="0"/>
              <w:rPr>
                <w:sz w:val="24"/>
                <w:szCs w:val="24"/>
                <w:color w:val="auto"/>
              </w:rPr>
            </w:pPr>
          </w:p>
        </w:tc>
      </w:tr>
      <w:tr>
        <w:trPr>
          <w:trHeight w:val="167"/>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______________________________________</w:t>
            </w:r>
          </w:p>
        </w:tc>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Larry D. Marcus</w:t>
            </w:r>
          </w:p>
        </w:tc>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/s/ Alfred C. Liggins, III</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President and Chief</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June 27, 2001</w:t>
            </w:r>
          </w:p>
        </w:tc>
      </w:tr>
      <w:tr>
        <w:trPr>
          <w:trHeight w:val="167"/>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______________________________________</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Executive Officer</w:t>
            </w:r>
          </w:p>
        </w:tc>
        <w:tc>
          <w:tcPr>
            <w:tcW w:w="1300" w:type="dxa"/>
            <w:vAlign w:val="bottom"/>
          </w:tcPr>
          <w:p>
            <w:pPr>
              <w:spacing w:after="0"/>
              <w:rPr>
                <w:sz w:val="14"/>
                <w:szCs w:val="14"/>
                <w:color w:val="auto"/>
              </w:rPr>
            </w:pPr>
          </w:p>
        </w:tc>
      </w:tr>
      <w:tr>
        <w:trPr>
          <w:trHeight w:val="167"/>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Alfred C. Liggins, III</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(Principal Executive</w:t>
            </w:r>
          </w:p>
        </w:tc>
        <w:tc>
          <w:tcPr>
            <w:tcW w:w="1300" w:type="dxa"/>
            <w:vAlign w:val="bottom"/>
          </w:tcPr>
          <w:p>
            <w:pPr>
              <w:spacing w:after="0"/>
              <w:rPr>
                <w:sz w:val="14"/>
                <w:szCs w:val="14"/>
                <w:color w:val="auto"/>
              </w:rPr>
            </w:pPr>
          </w:p>
        </w:tc>
      </w:tr>
      <w:tr>
        <w:trPr>
          <w:trHeight w:val="167"/>
        </w:trPr>
        <w:tc>
          <w:tcPr>
            <w:tcW w:w="336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Officer) and Director (3)</w:t>
            </w:r>
          </w:p>
        </w:tc>
        <w:tc>
          <w:tcPr>
            <w:tcW w:w="1300" w:type="dxa"/>
            <w:vAlign w:val="bottom"/>
          </w:tcPr>
          <w:p>
            <w:pPr>
              <w:spacing w:after="0"/>
              <w:rPr>
                <w:sz w:val="14"/>
                <w:szCs w:val="14"/>
                <w:color w:val="auto"/>
              </w:rPr>
            </w:pPr>
          </w:p>
        </w:tc>
      </w:tr>
      <w:tr>
        <w:trPr>
          <w:trHeight w:val="334"/>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/s/ Scott R. Royster</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Executive Vice President</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June 27, 2001</w:t>
            </w:r>
          </w:p>
        </w:tc>
      </w:tr>
      <w:tr>
        <w:trPr>
          <w:trHeight w:val="167"/>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______________________________________</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and Chief Financial</w:t>
            </w:r>
          </w:p>
        </w:tc>
        <w:tc>
          <w:tcPr>
            <w:tcW w:w="1300" w:type="dxa"/>
            <w:vAlign w:val="bottom"/>
          </w:tcPr>
          <w:p>
            <w:pPr>
              <w:spacing w:after="0"/>
              <w:rPr>
                <w:sz w:val="14"/>
                <w:szCs w:val="14"/>
                <w:color w:val="auto"/>
              </w:rPr>
            </w:pPr>
          </w:p>
        </w:tc>
      </w:tr>
      <w:tr>
        <w:trPr>
          <w:trHeight w:val="167"/>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Scott R. Royster</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Officer (Principal</w:t>
            </w:r>
          </w:p>
        </w:tc>
        <w:tc>
          <w:tcPr>
            <w:tcW w:w="1300" w:type="dxa"/>
            <w:vAlign w:val="bottom"/>
          </w:tcPr>
          <w:p>
            <w:pPr>
              <w:spacing w:after="0"/>
              <w:rPr>
                <w:sz w:val="14"/>
                <w:szCs w:val="14"/>
                <w:color w:val="auto"/>
              </w:rPr>
            </w:pPr>
          </w:p>
        </w:tc>
      </w:tr>
      <w:tr>
        <w:trPr>
          <w:trHeight w:val="167"/>
        </w:trPr>
        <w:tc>
          <w:tcPr>
            <w:tcW w:w="336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Financial and Accounting</w:t>
            </w:r>
          </w:p>
        </w:tc>
        <w:tc>
          <w:tcPr>
            <w:tcW w:w="1300" w:type="dxa"/>
            <w:vAlign w:val="bottom"/>
          </w:tcPr>
          <w:p>
            <w:pPr>
              <w:spacing w:after="0"/>
              <w:rPr>
                <w:sz w:val="14"/>
                <w:szCs w:val="14"/>
                <w:color w:val="auto"/>
              </w:rPr>
            </w:pPr>
          </w:p>
        </w:tc>
      </w:tr>
      <w:tr>
        <w:trPr>
          <w:trHeight w:val="167"/>
        </w:trPr>
        <w:tc>
          <w:tcPr>
            <w:tcW w:w="336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Officer) (3)</w:t>
            </w:r>
          </w:p>
        </w:tc>
        <w:tc>
          <w:tcPr>
            <w:tcW w:w="1300" w:type="dxa"/>
            <w:vAlign w:val="bottom"/>
          </w:tcPr>
          <w:p>
            <w:pPr>
              <w:spacing w:after="0"/>
              <w:rPr>
                <w:sz w:val="14"/>
                <w:szCs w:val="14"/>
                <w:color w:val="auto"/>
              </w:rPr>
            </w:pPr>
          </w:p>
        </w:tc>
      </w:tr>
      <w:tr>
        <w:trPr>
          <w:trHeight w:val="334"/>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/s/ L. Ross Love</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Director (4)</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June 27, 2001</w:t>
            </w:r>
          </w:p>
        </w:tc>
      </w:tr>
      <w:tr>
        <w:trPr>
          <w:trHeight w:val="167"/>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______________________________________</w:t>
            </w:r>
          </w:p>
        </w:tc>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L. Ross Love</w:t>
            </w:r>
          </w:p>
        </w:tc>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3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 D. Geoffrey Armstrong</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Director (4)</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June 27, 2001</w:t>
            </w:r>
          </w:p>
        </w:tc>
      </w:tr>
      <w:tr>
        <w:trPr>
          <w:trHeight w:val="167"/>
        </w:trPr>
        <w:tc>
          <w:tcPr>
            <w:tcW w:w="3360" w:type="dxa"/>
            <w:vAlign w:val="bottom"/>
          </w:tcPr>
          <w:p>
            <w:pPr>
              <w:jc w:val="center"/>
              <w:spacing w:after="0"/>
              <w:rPr>
                <w:sz w:val="20"/>
                <w:szCs w:val="20"/>
                <w:color w:val="auto"/>
              </w:rPr>
            </w:pPr>
            <w:r>
              <w:rPr>
                <w:rFonts w:ascii="Courier New" w:cs="Courier New" w:eastAsia="Courier New" w:hAnsi="Courier New"/>
                <w:sz w:val="14"/>
                <w:szCs w:val="14"/>
                <w:color w:val="auto"/>
              </w:rPr>
              <w:t>______________________________________</w:t>
            </w:r>
          </w:p>
        </w:tc>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3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D. Geoffrey Armstrong</w:t>
            </w:r>
          </w:p>
        </w:tc>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hanging="351"/>
        <w:spacing w:after="0"/>
        <w:tabs>
          <w:tab w:leader="none" w:pos="36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Registrants, other than Dogwood Communications, Inc.</w:t>
      </w:r>
    </w:p>
    <w:p>
      <w:pPr>
        <w:spacing w:after="0" w:line="8" w:lineRule="exact"/>
        <w:rPr>
          <w:rFonts w:ascii="Courier New" w:cs="Courier New" w:eastAsia="Courier New" w:hAnsi="Courier New"/>
          <w:sz w:val="14"/>
          <w:szCs w:val="14"/>
          <w:color w:val="auto"/>
        </w:rPr>
      </w:pPr>
    </w:p>
    <w:p>
      <w:pPr>
        <w:ind w:left="360" w:right="3539" w:hanging="351"/>
        <w:spacing w:after="0" w:line="252" w:lineRule="auto"/>
        <w:tabs>
          <w:tab w:leader="none" w:pos="36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Inc., Radio One Licenses, Inc., Radio One of Augusta, Inc., Davis Broadcasting, Inc., Radio One of North Carolina, Inc., Radio One of Boston, Inc., Radio One of Boston Licenses, Inc., and Blue Chip Merger Subsidiary, Inc.</w:t>
      </w:r>
    </w:p>
    <w:p>
      <w:pPr>
        <w:spacing w:after="0" w:line="1"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Registrants.</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Radio One, Inc.</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620" w:right="1440"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2"/>
        </w:trPr>
        <w:tc>
          <w:tcPr>
            <w:tcW w:w="640" w:type="dxa"/>
            <w:vAlign w:val="bottom"/>
          </w:tcPr>
          <w:p>
            <w:pPr>
              <w:spacing w:after="0"/>
              <w:rPr>
                <w:sz w:val="14"/>
                <w:szCs w:val="14"/>
                <w:color w:val="auto"/>
              </w:rPr>
            </w:pPr>
          </w:p>
        </w:tc>
        <w:tc>
          <w:tcPr>
            <w:tcW w:w="6040" w:type="dxa"/>
            <w:vAlign w:val="bottom"/>
          </w:tcPr>
          <w:p>
            <w:pPr>
              <w:ind w:left="2140"/>
              <w:spacing w:after="0"/>
              <w:rPr>
                <w:sz w:val="20"/>
                <w:szCs w:val="20"/>
                <w:color w:val="auto"/>
              </w:rPr>
            </w:pPr>
            <w:r>
              <w:rPr>
                <w:rFonts w:ascii="Courier New" w:cs="Courier New" w:eastAsia="Courier New" w:hAnsi="Courier New"/>
                <w:sz w:val="14"/>
                <w:szCs w:val="14"/>
                <w:color w:val="auto"/>
              </w:rPr>
              <w:t>EXHIBIT INDEX</w:t>
            </w:r>
          </w:p>
        </w:tc>
      </w:tr>
      <w:tr>
        <w:trPr>
          <w:trHeight w:val="668"/>
        </w:trPr>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Exhibit</w:t>
            </w:r>
          </w:p>
        </w:tc>
        <w:tc>
          <w:tcPr>
            <w:tcW w:w="6040" w:type="dxa"/>
            <w:vAlign w:val="bottom"/>
          </w:tcPr>
          <w:p>
            <w:pPr>
              <w:spacing w:after="0"/>
              <w:rPr>
                <w:sz w:val="24"/>
                <w:szCs w:val="24"/>
                <w:color w:val="auto"/>
              </w:rPr>
            </w:pPr>
          </w:p>
        </w:tc>
      </w:tr>
      <w:tr>
        <w:trPr>
          <w:trHeight w:val="167"/>
        </w:trPr>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No.</w:t>
            </w:r>
          </w:p>
        </w:tc>
        <w:tc>
          <w:tcPr>
            <w:tcW w:w="6040" w:type="dxa"/>
            <w:vAlign w:val="bottom"/>
          </w:tcPr>
          <w:p>
            <w:pPr>
              <w:ind w:left="25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r>
      <w:tr>
        <w:trPr>
          <w:trHeight w:val="334"/>
        </w:trPr>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4.14</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Indenture, dated May 18, 2001, between Radio One, Inc. and United</w:t>
            </w:r>
          </w:p>
        </w:tc>
      </w:tr>
      <w:tr>
        <w:trPr>
          <w:trHeight w:val="167"/>
        </w:trPr>
        <w:tc>
          <w:tcPr>
            <w:tcW w:w="640" w:type="dxa"/>
            <w:vAlign w:val="bottom"/>
          </w:tcPr>
          <w:p>
            <w:pPr>
              <w:spacing w:after="0"/>
              <w:rPr>
                <w:sz w:val="14"/>
                <w:szCs w:val="14"/>
                <w:color w:val="auto"/>
              </w:rPr>
            </w:pP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States Trust Company of New York, as trustee.</w:t>
            </w:r>
          </w:p>
        </w:tc>
      </w:tr>
      <w:tr>
        <w:trPr>
          <w:trHeight w:val="167"/>
        </w:trPr>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4.15</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Form of 8 7/8% Senior Subordinated Notes, due 2011.</w:t>
            </w:r>
          </w:p>
        </w:tc>
      </w:tr>
      <w:tr>
        <w:trPr>
          <w:trHeight w:val="167"/>
        </w:trPr>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4.16</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Registration Rights Agreement, dated May 18, 2001, by and among Radio</w:t>
            </w:r>
          </w:p>
        </w:tc>
      </w:tr>
      <w:tr>
        <w:trPr>
          <w:trHeight w:val="167"/>
        </w:trPr>
        <w:tc>
          <w:tcPr>
            <w:tcW w:w="640" w:type="dxa"/>
            <w:vAlign w:val="bottom"/>
          </w:tcPr>
          <w:p>
            <w:pPr>
              <w:spacing w:after="0"/>
              <w:rPr>
                <w:sz w:val="14"/>
                <w:szCs w:val="14"/>
                <w:color w:val="auto"/>
              </w:rPr>
            </w:pP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One, Inc., the Guarantors and the initial purchasers.</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Opinion of Kirkland &amp; Ellis regarding the validity of the securities</w:t>
            </w:r>
          </w:p>
        </w:tc>
      </w:tr>
      <w:tr>
        <w:trPr>
          <w:trHeight w:val="167"/>
        </w:trPr>
        <w:tc>
          <w:tcPr>
            <w:tcW w:w="640" w:type="dxa"/>
            <w:vAlign w:val="bottom"/>
          </w:tcPr>
          <w:p>
            <w:pPr>
              <w:spacing w:after="0"/>
              <w:rPr>
                <w:sz w:val="14"/>
                <w:szCs w:val="14"/>
                <w:color w:val="auto"/>
              </w:rPr>
            </w:pP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offered hereby.</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Opinion of Kirkland &amp; Ellis regarding federal income tax</w:t>
            </w:r>
          </w:p>
        </w:tc>
      </w:tr>
      <w:tr>
        <w:trPr>
          <w:trHeight w:val="167"/>
        </w:trPr>
        <w:tc>
          <w:tcPr>
            <w:tcW w:w="640" w:type="dxa"/>
            <w:vAlign w:val="bottom"/>
          </w:tcPr>
          <w:p>
            <w:pPr>
              <w:spacing w:after="0"/>
              <w:rPr>
                <w:sz w:val="14"/>
                <w:szCs w:val="14"/>
                <w:color w:val="auto"/>
              </w:rPr>
            </w:pP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considerations.</w:t>
            </w:r>
          </w:p>
        </w:tc>
      </w:tr>
      <w:tr>
        <w:trPr>
          <w:trHeight w:val="167"/>
        </w:trPr>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10.64</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Purchase Agreement dated May 4, 2001 among Radio One, Inc., the</w:t>
            </w:r>
          </w:p>
        </w:tc>
      </w:tr>
      <w:tr>
        <w:trPr>
          <w:trHeight w:val="167"/>
        </w:trPr>
        <w:tc>
          <w:tcPr>
            <w:tcW w:w="640" w:type="dxa"/>
            <w:vAlign w:val="bottom"/>
          </w:tcPr>
          <w:p>
            <w:pPr>
              <w:spacing w:after="0"/>
              <w:rPr>
                <w:sz w:val="14"/>
                <w:szCs w:val="14"/>
                <w:color w:val="auto"/>
              </w:rPr>
            </w:pP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initial purchasers and the Guarantors.</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21.1</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Subsidiaries of Radio One, Inc.</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Consent of Arthur Andersen LLP.</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Consent of PricewaterhouseCoopers, LLP</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Consent of Clark, Schaefer, Hackett &amp; Co.</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Consents of Kirkland &amp; Ellis (included in Exhibits 5.1 and 8.1).</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Power of Attorney (included on the signature pages hereto).</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Statement of Eligibility of Trustee on Form T-1 under the Trust</w:t>
            </w:r>
          </w:p>
        </w:tc>
      </w:tr>
      <w:tr>
        <w:trPr>
          <w:trHeight w:val="167"/>
        </w:trPr>
        <w:tc>
          <w:tcPr>
            <w:tcW w:w="640" w:type="dxa"/>
            <w:vAlign w:val="bottom"/>
          </w:tcPr>
          <w:p>
            <w:pPr>
              <w:spacing w:after="0"/>
              <w:rPr>
                <w:sz w:val="14"/>
                <w:szCs w:val="14"/>
                <w:color w:val="auto"/>
              </w:rPr>
            </w:pP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Indenture Act of 1939 of United States Trust Company of New York.</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99.1</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Form of Letter of Transmittal.</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99.2</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Form of Tender Instructions.</w:t>
            </w:r>
          </w:p>
        </w:tc>
      </w:tr>
      <w:tr>
        <w:trPr>
          <w:trHeight w:val="167"/>
        </w:trPr>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99.3</w:t>
            </w:r>
          </w:p>
        </w:tc>
        <w:tc>
          <w:tcPr>
            <w:tcW w:w="6040" w:type="dxa"/>
            <w:vAlign w:val="bottom"/>
          </w:tcPr>
          <w:p>
            <w:pPr>
              <w:ind w:left="60"/>
              <w:spacing w:after="0"/>
              <w:rPr>
                <w:sz w:val="20"/>
                <w:szCs w:val="20"/>
                <w:color w:val="auto"/>
              </w:rPr>
            </w:pPr>
            <w:r>
              <w:rPr>
                <w:rFonts w:ascii="Courier New" w:cs="Courier New" w:eastAsia="Courier New" w:hAnsi="Courier New"/>
                <w:sz w:val="14"/>
                <w:szCs w:val="14"/>
                <w:color w:val="auto"/>
              </w:rPr>
              <w:t>Form of Notice of Guaranteed Delivery.</w:t>
            </w:r>
          </w:p>
        </w:tc>
      </w:tr>
    </w:tbl>
    <w:p>
      <w:pPr>
        <w:sectPr>
          <w:pgSz w:w="11900" w:h="16838" w:orient="portrait"/>
          <w:cols w:equalWidth="0" w:num="1">
            <w:col w:w="10139"/>
          </w:cols>
          <w:pgMar w:left="320" w:top="620" w:right="1440" w:bottom="1440" w:gutter="0" w:footer="0" w:header="0"/>
        </w:sectPr>
      </w:pPr>
    </w:p>
    <w:bookmarkStart w:id="111" w:name="page112"/>
    <w:bookmarkEnd w:id="111"/>
    <w:p>
      <w:pPr>
        <w:jc w:val="right"/>
        <w:ind w:right="3279"/>
        <w:spacing w:after="0"/>
        <w:rPr>
          <w:sz w:val="20"/>
          <w:szCs w:val="20"/>
          <w:color w:val="auto"/>
        </w:rPr>
      </w:pPr>
      <w:r>
        <w:rPr>
          <w:rFonts w:ascii="Courier New" w:cs="Courier New" w:eastAsia="Courier New" w:hAnsi="Courier New"/>
          <w:sz w:val="14"/>
          <w:szCs w:val="14"/>
          <w:color w:val="auto"/>
        </w:rPr>
        <w:t>Exhibit 4.14</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RADIO ONE, INC.</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INDENTURE</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Dated as of May 18, 2001</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United States Trust Company of New York</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Trustee</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75"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5980" w:type="dxa"/>
            <w:vAlign w:val="bottom"/>
          </w:tcPr>
          <w:p>
            <w:pPr>
              <w:jc w:val="right"/>
              <w:ind w:right="4008"/>
              <w:spacing w:after="0"/>
              <w:rPr>
                <w:sz w:val="20"/>
                <w:szCs w:val="20"/>
                <w:color w:val="auto"/>
              </w:rPr>
            </w:pPr>
            <w:r>
              <w:rPr>
                <w:rFonts w:ascii="Courier New" w:cs="Courier New" w:eastAsia="Courier New" w:hAnsi="Courier New"/>
                <w:sz w:val="14"/>
                <w:szCs w:val="14"/>
                <w:color w:val="auto"/>
              </w:rPr>
              <w:t>CROSS-REFERENCE TABLE*</w:t>
            </w:r>
          </w:p>
        </w:tc>
      </w:tr>
      <w:tr>
        <w:trPr>
          <w:trHeight w:val="835"/>
        </w:trPr>
        <w:tc>
          <w:tcPr>
            <w:tcW w:w="2440" w:type="dxa"/>
            <w:vAlign w:val="bottom"/>
          </w:tcPr>
          <w:p>
            <w:pPr>
              <w:spacing w:after="0"/>
              <w:rPr>
                <w:sz w:val="20"/>
                <w:szCs w:val="20"/>
                <w:color w:val="auto"/>
              </w:rPr>
            </w:pPr>
            <w:r>
              <w:rPr>
                <w:rFonts w:ascii="Courier New" w:cs="Courier New" w:eastAsia="Courier New" w:hAnsi="Courier New"/>
                <w:sz w:val="14"/>
                <w:szCs w:val="14"/>
                <w:color w:val="auto"/>
              </w:rPr>
              <w:t>Trust Indenture</w:t>
            </w:r>
          </w:p>
        </w:tc>
        <w:tc>
          <w:tcPr>
            <w:tcW w:w="5980" w:type="dxa"/>
            <w:vAlign w:val="bottom"/>
          </w:tcPr>
          <w:p>
            <w:pPr>
              <w:jc w:val="right"/>
              <w:spacing w:after="0"/>
              <w:rPr>
                <w:sz w:val="20"/>
                <w:szCs w:val="20"/>
                <w:color w:val="auto"/>
              </w:rPr>
            </w:pPr>
            <w:r>
              <w:rPr>
                <w:rFonts w:ascii="Courier New" w:cs="Courier New" w:eastAsia="Courier New" w:hAnsi="Courier New"/>
                <w:sz w:val="14"/>
                <w:szCs w:val="14"/>
                <w:color w:val="auto"/>
              </w:rPr>
              <w:t>Indenture Section</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Act Section</w:t>
            </w:r>
          </w:p>
        </w:tc>
        <w:tc>
          <w:tcPr>
            <w:tcW w:w="5980" w:type="dxa"/>
            <w:vAlign w:val="bottom"/>
          </w:tcPr>
          <w:p>
            <w:pPr>
              <w:spacing w:after="0"/>
              <w:rPr>
                <w:sz w:val="14"/>
                <w:szCs w:val="14"/>
                <w:color w:val="auto"/>
              </w:rPr>
            </w:pPr>
          </w:p>
        </w:tc>
      </w:tr>
      <w:tr>
        <w:trPr>
          <w:trHeight w:val="501"/>
        </w:trPr>
        <w:tc>
          <w:tcPr>
            <w:tcW w:w="2440" w:type="dxa"/>
            <w:vAlign w:val="bottom"/>
          </w:tcPr>
          <w:p>
            <w:pPr>
              <w:jc w:val="right"/>
              <w:spacing w:after="0"/>
              <w:rPr>
                <w:sz w:val="20"/>
                <w:szCs w:val="20"/>
                <w:color w:val="auto"/>
              </w:rPr>
            </w:pPr>
            <w:r>
              <w:rPr>
                <w:rFonts w:ascii="Courier New" w:cs="Courier New" w:eastAsia="Courier New" w:hAnsi="Courier New"/>
                <w:sz w:val="7"/>
                <w:szCs w:val="7"/>
                <w:color w:val="auto"/>
                <w:w w:val="76"/>
              </w:rPr>
              <w:t>310(a)(1)..................................................................</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7.10</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(a)(2)..................................................................</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7.10</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(a)(3)..................................................................</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N.A.</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(a)(4)..................................................................</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N.A.</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(a)(5)..................................................................</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7.10</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(b).....................................................................</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7.10</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(c).....................................................................</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N.A.</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7"/>
                <w:szCs w:val="7"/>
                <w:color w:val="auto"/>
                <w:w w:val="76"/>
              </w:rPr>
              <w:t>311(a).....................................................................</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7.11</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(b).....................................................................</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7.11</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(c).....................................................................</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N.A.</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7"/>
                <w:szCs w:val="7"/>
                <w:color w:val="auto"/>
                <w:w w:val="76"/>
              </w:rPr>
              <w:t>312(a).....................................................................</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2.05</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(b).....................................................................</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12.03</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(c).....................................................................</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12.03</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7"/>
                <w:szCs w:val="7"/>
                <w:color w:val="auto"/>
                <w:w w:val="76"/>
              </w:rPr>
              <w:t>313(a).....................................................................</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7.06</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(b)(1)..................................................................</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10.03</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(b)(2)..................................................................</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7.07</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(c).....................................................................</w:t>
            </w:r>
          </w:p>
        </w:tc>
        <w:tc>
          <w:tcPr>
            <w:tcW w:w="5980" w:type="dxa"/>
            <w:vAlign w:val="bottom"/>
          </w:tcPr>
          <w:p>
            <w:pPr>
              <w:jc w:val="center"/>
              <w:ind w:left="4528"/>
              <w:spacing w:after="0"/>
              <w:rPr>
                <w:sz w:val="20"/>
                <w:szCs w:val="20"/>
                <w:color w:val="auto"/>
              </w:rPr>
            </w:pPr>
            <w:r>
              <w:rPr>
                <w:rFonts w:ascii="Courier New" w:cs="Courier New" w:eastAsia="Courier New" w:hAnsi="Courier New"/>
                <w:sz w:val="14"/>
                <w:szCs w:val="14"/>
                <w:color w:val="auto"/>
              </w:rPr>
              <w:t>7.06;12.02</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(d).....................................................................</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7.06</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7"/>
                <w:szCs w:val="7"/>
                <w:color w:val="auto"/>
                <w:w w:val="76"/>
              </w:rPr>
              <w:t>314(a).....................................................................</w:t>
            </w:r>
          </w:p>
        </w:tc>
        <w:tc>
          <w:tcPr>
            <w:tcW w:w="5980" w:type="dxa"/>
            <w:vAlign w:val="bottom"/>
          </w:tcPr>
          <w:p>
            <w:pPr>
              <w:jc w:val="center"/>
              <w:ind w:left="4528"/>
              <w:spacing w:after="0"/>
              <w:rPr>
                <w:sz w:val="20"/>
                <w:szCs w:val="20"/>
                <w:color w:val="auto"/>
              </w:rPr>
            </w:pPr>
            <w:r>
              <w:rPr>
                <w:rFonts w:ascii="Courier New" w:cs="Courier New" w:eastAsia="Courier New" w:hAnsi="Courier New"/>
                <w:sz w:val="14"/>
                <w:szCs w:val="14"/>
                <w:color w:val="auto"/>
              </w:rPr>
              <w:t>4.03;12.02</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(b).....................................................................</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10.02</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(c)(1)..................................................................</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12.04</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(c)(2)..................................................................</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12.04</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(c)(3)..................................................................</w:t>
            </w:r>
          </w:p>
        </w:tc>
        <w:tc>
          <w:tcPr>
            <w:tcW w:w="5980" w:type="dxa"/>
            <w:vAlign w:val="bottom"/>
          </w:tcPr>
          <w:p>
            <w:pPr>
              <w:jc w:val="center"/>
              <w:ind w:left="4528"/>
              <w:spacing w:after="0"/>
              <w:rPr>
                <w:sz w:val="20"/>
                <w:szCs w:val="20"/>
                <w:color w:val="auto"/>
              </w:rPr>
            </w:pPr>
            <w:r>
              <w:rPr>
                <w:rFonts w:ascii="Courier New" w:cs="Courier New" w:eastAsia="Courier New" w:hAnsi="Courier New"/>
                <w:sz w:val="14"/>
                <w:szCs w:val="14"/>
                <w:color w:val="auto"/>
              </w:rPr>
              <w:t>N.A.</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(e).....................................................................</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12.05</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(f).....................................................................</w:t>
            </w:r>
          </w:p>
        </w:tc>
        <w:tc>
          <w:tcPr>
            <w:tcW w:w="5980" w:type="dxa"/>
            <w:vAlign w:val="bottom"/>
          </w:tcPr>
          <w:p>
            <w:pPr>
              <w:jc w:val="center"/>
              <w:ind w:left="4528"/>
              <w:spacing w:after="0"/>
              <w:rPr>
                <w:sz w:val="20"/>
                <w:szCs w:val="20"/>
                <w:color w:val="auto"/>
              </w:rPr>
            </w:pPr>
            <w:r>
              <w:rPr>
                <w:rFonts w:ascii="Courier New" w:cs="Courier New" w:eastAsia="Courier New" w:hAnsi="Courier New"/>
                <w:sz w:val="14"/>
                <w:szCs w:val="14"/>
                <w:color w:val="auto"/>
              </w:rPr>
              <w:t>N.A.</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7"/>
                <w:szCs w:val="7"/>
                <w:color w:val="auto"/>
                <w:w w:val="76"/>
              </w:rPr>
              <w:t>315(a).....................................................................</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7.01</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(b).....................................................................</w:t>
            </w:r>
          </w:p>
        </w:tc>
        <w:tc>
          <w:tcPr>
            <w:tcW w:w="5980" w:type="dxa"/>
            <w:vAlign w:val="bottom"/>
          </w:tcPr>
          <w:p>
            <w:pPr>
              <w:jc w:val="center"/>
              <w:ind w:left="4528"/>
              <w:spacing w:after="0"/>
              <w:rPr>
                <w:sz w:val="20"/>
                <w:szCs w:val="20"/>
                <w:color w:val="auto"/>
              </w:rPr>
            </w:pPr>
            <w:r>
              <w:rPr>
                <w:rFonts w:ascii="Courier New" w:cs="Courier New" w:eastAsia="Courier New" w:hAnsi="Courier New"/>
                <w:sz w:val="14"/>
                <w:szCs w:val="14"/>
                <w:color w:val="auto"/>
              </w:rPr>
              <w:t>7.05,12.02</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(c).....................................................................</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7.01</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(d).....................................................................</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7.01</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(e).....................................................................</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6.11</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7"/>
                <w:szCs w:val="7"/>
                <w:color w:val="auto"/>
                <w:w w:val="76"/>
              </w:rPr>
              <w:t>316(a) (last sentence).....................................................</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2.09</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(a)(1)(A)...............................................................</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6.05</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(a)(1)(B)...............................................................</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6.04</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(a)(2)..................................................................</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N.A.</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(b).....................................................................</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6.07</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(c).....................................................................</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2.12</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7"/>
                <w:szCs w:val="7"/>
                <w:color w:val="auto"/>
                <w:w w:val="76"/>
              </w:rPr>
              <w:t>317(a)(1)..................................................................</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6.08</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(a)(2)..................................................................</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6.09</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(b).....................................................................</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2.04</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7"/>
                <w:szCs w:val="7"/>
                <w:color w:val="auto"/>
                <w:w w:val="76"/>
              </w:rPr>
              <w:t>318(a).....................................................................</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12.01</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(b).....................................................................</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N.A.</w:t>
            </w:r>
          </w:p>
        </w:tc>
      </w:tr>
      <w:tr>
        <w:trPr>
          <w:trHeight w:val="167"/>
        </w:trPr>
        <w:tc>
          <w:tcPr>
            <w:tcW w:w="2440" w:type="dxa"/>
            <w:vAlign w:val="bottom"/>
          </w:tcPr>
          <w:p>
            <w:pPr>
              <w:jc w:val="right"/>
              <w:spacing w:after="0"/>
              <w:rPr>
                <w:sz w:val="20"/>
                <w:szCs w:val="20"/>
                <w:color w:val="auto"/>
              </w:rPr>
            </w:pPr>
            <w:r>
              <w:rPr>
                <w:rFonts w:ascii="Courier New" w:cs="Courier New" w:eastAsia="Courier New" w:hAnsi="Courier New"/>
                <w:sz w:val="8"/>
                <w:szCs w:val="8"/>
                <w:color w:val="auto"/>
                <w:w w:val="70"/>
              </w:rPr>
              <w:t>(c).....................................................................</w:t>
            </w:r>
          </w:p>
        </w:tc>
        <w:tc>
          <w:tcPr>
            <w:tcW w:w="5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12.01</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 means not applicable.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Cross Reference Table is not part of the Indenture.</w:t>
      </w:r>
    </w:p>
    <w:p>
      <w:pPr>
        <w:sectPr>
          <w:pgSz w:w="11900" w:h="16838" w:orient="portrait"/>
          <w:cols w:equalWidth="0" w:num="1">
            <w:col w:w="10239"/>
          </w:cols>
          <w:pgMar w:left="220" w:top="620" w:right="1440" w:bottom="1440" w:gutter="0" w:footer="0" w:header="0"/>
        </w:sectPr>
      </w:pPr>
    </w:p>
    <w:bookmarkStart w:id="113" w:name="page114"/>
    <w:bookmarkEnd w:id="113"/>
    <w:p>
      <w:pPr>
        <w:ind w:left="3120"/>
        <w:spacing w:after="0"/>
        <w:rPr>
          <w:sz w:val="20"/>
          <w:szCs w:val="20"/>
          <w:color w:val="auto"/>
        </w:rPr>
      </w:pPr>
      <w:r>
        <w:rPr>
          <w:rFonts w:ascii="Courier New" w:cs="Courier New" w:eastAsia="Courier New" w:hAnsi="Courier New"/>
          <w:sz w:val="14"/>
          <w:szCs w:val="14"/>
          <w:color w:val="auto"/>
        </w:rPr>
        <w:t>TABLE OF CONTENTS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ARTICLE 1.</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DEFINITIONS AND INCORPORATION</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BY REFERENCE</w:t>
      </w:r>
    </w:p>
    <w:p>
      <w:pPr>
        <w:spacing w:after="0" w:line="342" w:lineRule="exact"/>
        <w:rPr>
          <w:sz w:val="20"/>
          <w:szCs w:val="20"/>
          <w:color w:val="auto"/>
        </w:rPr>
      </w:pPr>
    </w:p>
    <w:p>
      <w:pPr>
        <w:jc w:val="right"/>
        <w:ind w:right="1559"/>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ind w:right="1559"/>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1460" w:val="left"/>
          <w:tab w:leader="dot" w:pos="8300" w:val="left"/>
        </w:tabs>
        <w:rPr>
          <w:sz w:val="20"/>
          <w:szCs w:val="20"/>
          <w:color w:val="auto"/>
        </w:rPr>
      </w:pPr>
      <w:r>
        <w:rPr>
          <w:rFonts w:ascii="Courier New" w:cs="Courier New" w:eastAsia="Courier New" w:hAnsi="Courier New"/>
          <w:sz w:val="14"/>
          <w:szCs w:val="14"/>
          <w:color w:val="auto"/>
        </w:rPr>
        <w:t>Section 1.01.</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1.02.</w:t>
      </w:r>
      <w:r>
        <w:rPr>
          <w:sz w:val="20"/>
          <w:szCs w:val="20"/>
          <w:color w:val="auto"/>
        </w:rPr>
        <w:tab/>
      </w:r>
      <w:r>
        <w:rPr>
          <w:rFonts w:ascii="Courier New" w:cs="Courier New" w:eastAsia="Courier New" w:hAnsi="Courier New"/>
          <w:sz w:val="14"/>
          <w:szCs w:val="14"/>
          <w:color w:val="auto"/>
        </w:rPr>
        <w:t>Other Definitions</w:t>
      </w:r>
      <w:r>
        <w:rPr>
          <w:sz w:val="20"/>
          <w:szCs w:val="20"/>
          <w:color w:val="auto"/>
        </w:rPr>
        <w:tab/>
      </w:r>
      <w:r>
        <w:rPr>
          <w:rFonts w:ascii="Courier New" w:cs="Courier New" w:eastAsia="Courier New" w:hAnsi="Courier New"/>
          <w:sz w:val="14"/>
          <w:szCs w:val="14"/>
          <w:color w:val="auto"/>
        </w:rPr>
        <w:t>19</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1.03.</w:t>
      </w:r>
      <w:r>
        <w:rPr>
          <w:sz w:val="20"/>
          <w:szCs w:val="20"/>
          <w:color w:val="auto"/>
        </w:rPr>
        <w:tab/>
      </w:r>
      <w:r>
        <w:rPr>
          <w:rFonts w:ascii="Courier New" w:cs="Courier New" w:eastAsia="Courier New" w:hAnsi="Courier New"/>
          <w:sz w:val="14"/>
          <w:szCs w:val="14"/>
          <w:color w:val="auto"/>
        </w:rPr>
        <w:t>Incorporation by Reference of Trust Indenture Act</w:t>
      </w:r>
      <w:r>
        <w:rPr>
          <w:sz w:val="20"/>
          <w:szCs w:val="20"/>
          <w:color w:val="auto"/>
        </w:rPr>
        <w:tab/>
      </w:r>
      <w:r>
        <w:rPr>
          <w:rFonts w:ascii="Courier New" w:cs="Courier New" w:eastAsia="Courier New" w:hAnsi="Courier New"/>
          <w:sz w:val="14"/>
          <w:szCs w:val="14"/>
          <w:color w:val="auto"/>
        </w:rPr>
        <w:t>20</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1.04.</w:t>
      </w:r>
      <w:r>
        <w:rPr>
          <w:sz w:val="20"/>
          <w:szCs w:val="20"/>
          <w:color w:val="auto"/>
        </w:rPr>
        <w:tab/>
      </w:r>
      <w:r>
        <w:rPr>
          <w:rFonts w:ascii="Courier New" w:cs="Courier New" w:eastAsia="Courier New" w:hAnsi="Courier New"/>
          <w:sz w:val="14"/>
          <w:szCs w:val="14"/>
          <w:color w:val="auto"/>
        </w:rPr>
        <w:t>Rules of Construction</w:t>
      </w:r>
      <w:r>
        <w:rPr>
          <w:sz w:val="20"/>
          <w:szCs w:val="20"/>
          <w:color w:val="auto"/>
        </w:rPr>
        <w:tab/>
      </w:r>
      <w:r>
        <w:rPr>
          <w:rFonts w:ascii="Courier New" w:cs="Courier New" w:eastAsia="Courier New" w:hAnsi="Courier New"/>
          <w:sz w:val="14"/>
          <w:szCs w:val="14"/>
          <w:color w:val="auto"/>
        </w:rPr>
        <w:t>20</w:t>
      </w:r>
    </w:p>
    <w:p>
      <w:pPr>
        <w:spacing w:after="0" w:line="342"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ARTICLE 2.</w:t>
      </w:r>
    </w:p>
    <w:p>
      <w:pPr>
        <w:spacing w:after="0" w:line="8"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THE NOTES</w:t>
      </w:r>
    </w:p>
    <w:p>
      <w:pPr>
        <w:spacing w:after="0" w:line="175"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2.01.</w:t>
      </w:r>
      <w:r>
        <w:rPr>
          <w:sz w:val="20"/>
          <w:szCs w:val="20"/>
          <w:color w:val="auto"/>
        </w:rPr>
        <w:tab/>
      </w:r>
      <w:r>
        <w:rPr>
          <w:rFonts w:ascii="Courier New" w:cs="Courier New" w:eastAsia="Courier New" w:hAnsi="Courier New"/>
          <w:sz w:val="14"/>
          <w:szCs w:val="14"/>
          <w:color w:val="auto"/>
        </w:rPr>
        <w:t>Form and Dating</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2.02.</w:t>
      </w:r>
      <w:r>
        <w:rPr>
          <w:sz w:val="20"/>
          <w:szCs w:val="20"/>
          <w:color w:val="auto"/>
        </w:rPr>
        <w:tab/>
      </w:r>
      <w:r>
        <w:rPr>
          <w:rFonts w:ascii="Courier New" w:cs="Courier New" w:eastAsia="Courier New" w:hAnsi="Courier New"/>
          <w:sz w:val="14"/>
          <w:szCs w:val="14"/>
          <w:color w:val="auto"/>
        </w:rPr>
        <w:t>Execution and Authentication</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2.03.</w:t>
      </w:r>
      <w:r>
        <w:rPr>
          <w:sz w:val="20"/>
          <w:szCs w:val="20"/>
          <w:color w:val="auto"/>
        </w:rPr>
        <w:tab/>
      </w:r>
      <w:r>
        <w:rPr>
          <w:rFonts w:ascii="Courier New" w:cs="Courier New" w:eastAsia="Courier New" w:hAnsi="Courier New"/>
          <w:sz w:val="14"/>
          <w:szCs w:val="14"/>
          <w:color w:val="auto"/>
        </w:rPr>
        <w:t>Registrar and Paying Agent</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2.04.</w:t>
      </w:r>
      <w:r>
        <w:rPr>
          <w:sz w:val="20"/>
          <w:szCs w:val="20"/>
          <w:color w:val="auto"/>
        </w:rPr>
        <w:tab/>
      </w:r>
      <w:r>
        <w:rPr>
          <w:rFonts w:ascii="Courier New" w:cs="Courier New" w:eastAsia="Courier New" w:hAnsi="Courier New"/>
          <w:sz w:val="14"/>
          <w:szCs w:val="14"/>
          <w:color w:val="auto"/>
        </w:rPr>
        <w:t>Paying Agent to Hold Money in Trust</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2.05.</w:t>
      </w:r>
      <w:r>
        <w:rPr>
          <w:sz w:val="20"/>
          <w:szCs w:val="20"/>
          <w:color w:val="auto"/>
        </w:rPr>
        <w:tab/>
      </w:r>
      <w:r>
        <w:rPr>
          <w:rFonts w:ascii="Courier New" w:cs="Courier New" w:eastAsia="Courier New" w:hAnsi="Courier New"/>
          <w:sz w:val="14"/>
          <w:szCs w:val="14"/>
          <w:color w:val="auto"/>
        </w:rPr>
        <w:t>Holder Lists</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2.06.</w:t>
      </w:r>
      <w:r>
        <w:rPr>
          <w:sz w:val="20"/>
          <w:szCs w:val="20"/>
          <w:color w:val="auto"/>
        </w:rPr>
        <w:tab/>
      </w:r>
      <w:r>
        <w:rPr>
          <w:rFonts w:ascii="Courier New" w:cs="Courier New" w:eastAsia="Courier New" w:hAnsi="Courier New"/>
          <w:sz w:val="14"/>
          <w:szCs w:val="14"/>
          <w:color w:val="auto"/>
        </w:rPr>
        <w:t>Transfer and Exchange</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2.07.</w:t>
      </w:r>
      <w:r>
        <w:rPr>
          <w:sz w:val="20"/>
          <w:szCs w:val="20"/>
          <w:color w:val="auto"/>
        </w:rPr>
        <w:tab/>
      </w:r>
      <w:r>
        <w:rPr>
          <w:rFonts w:ascii="Courier New" w:cs="Courier New" w:eastAsia="Courier New" w:hAnsi="Courier New"/>
          <w:sz w:val="14"/>
          <w:szCs w:val="14"/>
          <w:color w:val="auto"/>
        </w:rPr>
        <w:t>Replacement Notes</w:t>
      </w:r>
      <w:r>
        <w:rPr>
          <w:sz w:val="20"/>
          <w:szCs w:val="20"/>
          <w:color w:val="auto"/>
        </w:rPr>
        <w:tab/>
      </w:r>
      <w:r>
        <w:rPr>
          <w:rFonts w:ascii="Courier New" w:cs="Courier New" w:eastAsia="Courier New" w:hAnsi="Courier New"/>
          <w:sz w:val="14"/>
          <w:szCs w:val="14"/>
          <w:color w:val="auto"/>
        </w:rPr>
        <w:t>34</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2.08.</w:t>
      </w:r>
      <w:r>
        <w:rPr>
          <w:sz w:val="20"/>
          <w:szCs w:val="20"/>
          <w:color w:val="auto"/>
        </w:rPr>
        <w:tab/>
      </w:r>
      <w:r>
        <w:rPr>
          <w:rFonts w:ascii="Courier New" w:cs="Courier New" w:eastAsia="Courier New" w:hAnsi="Courier New"/>
          <w:sz w:val="14"/>
          <w:szCs w:val="14"/>
          <w:color w:val="auto"/>
        </w:rPr>
        <w:t>Outstanding Notes</w:t>
      </w:r>
      <w:r>
        <w:rPr>
          <w:sz w:val="20"/>
          <w:szCs w:val="20"/>
          <w:color w:val="auto"/>
        </w:rPr>
        <w:tab/>
      </w:r>
      <w:r>
        <w:rPr>
          <w:rFonts w:ascii="Courier New" w:cs="Courier New" w:eastAsia="Courier New" w:hAnsi="Courier New"/>
          <w:sz w:val="14"/>
          <w:szCs w:val="14"/>
          <w:color w:val="auto"/>
        </w:rPr>
        <w:t>34</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2.09.</w:t>
      </w:r>
      <w:r>
        <w:rPr>
          <w:sz w:val="20"/>
          <w:szCs w:val="20"/>
          <w:color w:val="auto"/>
        </w:rPr>
        <w:tab/>
      </w:r>
      <w:r>
        <w:rPr>
          <w:rFonts w:ascii="Courier New" w:cs="Courier New" w:eastAsia="Courier New" w:hAnsi="Courier New"/>
          <w:sz w:val="14"/>
          <w:szCs w:val="14"/>
          <w:color w:val="auto"/>
        </w:rPr>
        <w:t>Treasury Notes</w:t>
      </w:r>
      <w:r>
        <w:rPr>
          <w:sz w:val="20"/>
          <w:szCs w:val="20"/>
          <w:color w:val="auto"/>
        </w:rPr>
        <w:tab/>
      </w:r>
      <w:r>
        <w:rPr>
          <w:rFonts w:ascii="Courier New" w:cs="Courier New" w:eastAsia="Courier New" w:hAnsi="Courier New"/>
          <w:sz w:val="14"/>
          <w:szCs w:val="14"/>
          <w:color w:val="auto"/>
        </w:rPr>
        <w:t>35</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2.10.</w:t>
      </w:r>
      <w:r>
        <w:rPr>
          <w:sz w:val="20"/>
          <w:szCs w:val="20"/>
          <w:color w:val="auto"/>
        </w:rPr>
        <w:tab/>
      </w:r>
      <w:r>
        <w:rPr>
          <w:rFonts w:ascii="Courier New" w:cs="Courier New" w:eastAsia="Courier New" w:hAnsi="Courier New"/>
          <w:sz w:val="14"/>
          <w:szCs w:val="14"/>
          <w:color w:val="auto"/>
        </w:rPr>
        <w:t>Temporary Notes</w:t>
      </w:r>
      <w:r>
        <w:rPr>
          <w:sz w:val="20"/>
          <w:szCs w:val="20"/>
          <w:color w:val="auto"/>
        </w:rPr>
        <w:tab/>
      </w:r>
      <w:r>
        <w:rPr>
          <w:rFonts w:ascii="Courier New" w:cs="Courier New" w:eastAsia="Courier New" w:hAnsi="Courier New"/>
          <w:sz w:val="14"/>
          <w:szCs w:val="14"/>
          <w:color w:val="auto"/>
        </w:rPr>
        <w:t>35</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2.11.</w:t>
      </w:r>
      <w:r>
        <w:rPr>
          <w:sz w:val="20"/>
          <w:szCs w:val="20"/>
          <w:color w:val="auto"/>
        </w:rPr>
        <w:tab/>
      </w:r>
      <w:r>
        <w:rPr>
          <w:rFonts w:ascii="Courier New" w:cs="Courier New" w:eastAsia="Courier New" w:hAnsi="Courier New"/>
          <w:sz w:val="14"/>
          <w:szCs w:val="14"/>
          <w:color w:val="auto"/>
        </w:rPr>
        <w:t>Cancellation</w:t>
      </w:r>
      <w:r>
        <w:rPr>
          <w:sz w:val="20"/>
          <w:szCs w:val="20"/>
          <w:color w:val="auto"/>
        </w:rPr>
        <w:tab/>
      </w:r>
      <w:r>
        <w:rPr>
          <w:rFonts w:ascii="Courier New" w:cs="Courier New" w:eastAsia="Courier New" w:hAnsi="Courier New"/>
          <w:sz w:val="14"/>
          <w:szCs w:val="14"/>
          <w:color w:val="auto"/>
        </w:rPr>
        <w:t>35</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2.12.</w:t>
      </w:r>
      <w:r>
        <w:rPr>
          <w:sz w:val="20"/>
          <w:szCs w:val="20"/>
          <w:color w:val="auto"/>
        </w:rPr>
        <w:tab/>
      </w:r>
      <w:r>
        <w:rPr>
          <w:rFonts w:ascii="Courier New" w:cs="Courier New" w:eastAsia="Courier New" w:hAnsi="Courier New"/>
          <w:sz w:val="14"/>
          <w:szCs w:val="14"/>
          <w:color w:val="auto"/>
        </w:rPr>
        <w:t>Defaulted Interest</w:t>
      </w:r>
      <w:r>
        <w:rPr>
          <w:sz w:val="20"/>
          <w:szCs w:val="20"/>
          <w:color w:val="auto"/>
        </w:rPr>
        <w:tab/>
      </w:r>
      <w:r>
        <w:rPr>
          <w:rFonts w:ascii="Courier New" w:cs="Courier New" w:eastAsia="Courier New" w:hAnsi="Courier New"/>
          <w:sz w:val="14"/>
          <w:szCs w:val="14"/>
          <w:color w:val="auto"/>
        </w:rPr>
        <w:t>35</w:t>
      </w:r>
    </w:p>
    <w:p>
      <w:pPr>
        <w:spacing w:after="0" w:line="342"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ARTICLE 3.</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REDEMPTION AND PREPAYMENT</w:t>
      </w:r>
    </w:p>
    <w:p>
      <w:pPr>
        <w:spacing w:after="0" w:line="175"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3.01.</w:t>
      </w:r>
      <w:r>
        <w:rPr>
          <w:sz w:val="20"/>
          <w:szCs w:val="20"/>
          <w:color w:val="auto"/>
        </w:rPr>
        <w:tab/>
      </w:r>
      <w:r>
        <w:rPr>
          <w:rFonts w:ascii="Courier New" w:cs="Courier New" w:eastAsia="Courier New" w:hAnsi="Courier New"/>
          <w:sz w:val="14"/>
          <w:szCs w:val="14"/>
          <w:color w:val="auto"/>
        </w:rPr>
        <w:t>Notices to Trustee</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3.02.</w:t>
      </w:r>
      <w:r>
        <w:rPr>
          <w:sz w:val="20"/>
          <w:szCs w:val="20"/>
          <w:color w:val="auto"/>
        </w:rPr>
        <w:tab/>
      </w:r>
      <w:r>
        <w:rPr>
          <w:rFonts w:ascii="Courier New" w:cs="Courier New" w:eastAsia="Courier New" w:hAnsi="Courier New"/>
          <w:sz w:val="14"/>
          <w:szCs w:val="14"/>
          <w:color w:val="auto"/>
        </w:rPr>
        <w:t>Selection of Notes to Be Redeemed</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3.03.</w:t>
      </w:r>
      <w:r>
        <w:rPr>
          <w:sz w:val="20"/>
          <w:szCs w:val="20"/>
          <w:color w:val="auto"/>
        </w:rPr>
        <w:tab/>
      </w:r>
      <w:r>
        <w:rPr>
          <w:rFonts w:ascii="Courier New" w:cs="Courier New" w:eastAsia="Courier New" w:hAnsi="Courier New"/>
          <w:sz w:val="14"/>
          <w:szCs w:val="14"/>
          <w:color w:val="auto"/>
        </w:rPr>
        <w:t>Notice of Redemption</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3.04.</w:t>
      </w:r>
      <w:r>
        <w:rPr>
          <w:sz w:val="20"/>
          <w:szCs w:val="20"/>
          <w:color w:val="auto"/>
        </w:rPr>
        <w:tab/>
      </w:r>
      <w:r>
        <w:rPr>
          <w:rFonts w:ascii="Courier New" w:cs="Courier New" w:eastAsia="Courier New" w:hAnsi="Courier New"/>
          <w:sz w:val="14"/>
          <w:szCs w:val="14"/>
          <w:color w:val="auto"/>
        </w:rPr>
        <w:t>Effect of Notice of Redemption</w:t>
      </w:r>
      <w:r>
        <w:rPr>
          <w:sz w:val="20"/>
          <w:szCs w:val="20"/>
          <w:color w:val="auto"/>
        </w:rPr>
        <w:tab/>
      </w:r>
      <w:r>
        <w:rPr>
          <w:rFonts w:ascii="Courier New" w:cs="Courier New" w:eastAsia="Courier New" w:hAnsi="Courier New"/>
          <w:sz w:val="14"/>
          <w:szCs w:val="14"/>
          <w:color w:val="auto"/>
        </w:rPr>
        <w:t>37</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3.05.</w:t>
      </w:r>
      <w:r>
        <w:rPr>
          <w:sz w:val="20"/>
          <w:szCs w:val="20"/>
          <w:color w:val="auto"/>
        </w:rPr>
        <w:tab/>
      </w:r>
      <w:r>
        <w:rPr>
          <w:rFonts w:ascii="Courier New" w:cs="Courier New" w:eastAsia="Courier New" w:hAnsi="Courier New"/>
          <w:sz w:val="14"/>
          <w:szCs w:val="14"/>
          <w:color w:val="auto"/>
        </w:rPr>
        <w:t>Deposit of Redemption Price</w:t>
      </w:r>
      <w:r>
        <w:rPr>
          <w:sz w:val="20"/>
          <w:szCs w:val="20"/>
          <w:color w:val="auto"/>
        </w:rPr>
        <w:tab/>
      </w:r>
      <w:r>
        <w:rPr>
          <w:rFonts w:ascii="Courier New" w:cs="Courier New" w:eastAsia="Courier New" w:hAnsi="Courier New"/>
          <w:sz w:val="14"/>
          <w:szCs w:val="14"/>
          <w:color w:val="auto"/>
        </w:rPr>
        <w:t>37</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3.06.</w:t>
      </w:r>
      <w:r>
        <w:rPr>
          <w:sz w:val="20"/>
          <w:szCs w:val="20"/>
          <w:color w:val="auto"/>
        </w:rPr>
        <w:tab/>
      </w:r>
      <w:r>
        <w:rPr>
          <w:rFonts w:ascii="Courier New" w:cs="Courier New" w:eastAsia="Courier New" w:hAnsi="Courier New"/>
          <w:sz w:val="14"/>
          <w:szCs w:val="14"/>
          <w:color w:val="auto"/>
        </w:rPr>
        <w:t>Notes Redeemed in Part</w:t>
      </w:r>
      <w:r>
        <w:rPr>
          <w:sz w:val="20"/>
          <w:szCs w:val="20"/>
          <w:color w:val="auto"/>
        </w:rPr>
        <w:tab/>
      </w:r>
      <w:r>
        <w:rPr>
          <w:rFonts w:ascii="Courier New" w:cs="Courier New" w:eastAsia="Courier New" w:hAnsi="Courier New"/>
          <w:sz w:val="14"/>
          <w:szCs w:val="14"/>
          <w:color w:val="auto"/>
        </w:rPr>
        <w:t>37</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3.07.</w:t>
      </w:r>
      <w:r>
        <w:rPr>
          <w:sz w:val="20"/>
          <w:szCs w:val="20"/>
          <w:color w:val="auto"/>
        </w:rPr>
        <w:tab/>
      </w:r>
      <w:r>
        <w:rPr>
          <w:rFonts w:ascii="Courier New" w:cs="Courier New" w:eastAsia="Courier New" w:hAnsi="Courier New"/>
          <w:sz w:val="14"/>
          <w:szCs w:val="14"/>
          <w:color w:val="auto"/>
        </w:rPr>
        <w:t>Optional Redemption</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3.08.</w:t>
      </w:r>
      <w:r>
        <w:rPr>
          <w:sz w:val="20"/>
          <w:szCs w:val="20"/>
          <w:color w:val="auto"/>
        </w:rPr>
        <w:tab/>
      </w:r>
      <w:r>
        <w:rPr>
          <w:rFonts w:ascii="Courier New" w:cs="Courier New" w:eastAsia="Courier New" w:hAnsi="Courier New"/>
          <w:sz w:val="14"/>
          <w:szCs w:val="14"/>
          <w:color w:val="auto"/>
        </w:rPr>
        <w:t>Mandatory Redemption</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3.09.</w:t>
      </w:r>
      <w:r>
        <w:rPr>
          <w:sz w:val="20"/>
          <w:szCs w:val="20"/>
          <w:color w:val="auto"/>
        </w:rPr>
        <w:tab/>
      </w:r>
      <w:r>
        <w:rPr>
          <w:rFonts w:ascii="Courier New" w:cs="Courier New" w:eastAsia="Courier New" w:hAnsi="Courier New"/>
          <w:sz w:val="14"/>
          <w:szCs w:val="14"/>
          <w:color w:val="auto"/>
        </w:rPr>
        <w:t>Offer to Purchase by Application of Excess Proceeds</w:t>
      </w:r>
      <w:r>
        <w:rPr>
          <w:sz w:val="20"/>
          <w:szCs w:val="20"/>
          <w:color w:val="auto"/>
        </w:rPr>
        <w:tab/>
      </w:r>
      <w:r>
        <w:rPr>
          <w:rFonts w:ascii="Courier New" w:cs="Courier New" w:eastAsia="Courier New" w:hAnsi="Courier New"/>
          <w:sz w:val="14"/>
          <w:szCs w:val="14"/>
          <w:color w:val="auto"/>
        </w:rPr>
        <w:t>38</w:t>
      </w:r>
    </w:p>
    <w:p>
      <w:pPr>
        <w:spacing w:after="0" w:line="342"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ARTICLE 4.</w:t>
      </w:r>
    </w:p>
    <w:p>
      <w:pPr>
        <w:spacing w:after="0" w:line="8"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COVENANTS</w:t>
      </w:r>
    </w:p>
    <w:p>
      <w:pPr>
        <w:spacing w:after="0" w:line="175"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4.01.</w:t>
      </w:r>
      <w:r>
        <w:rPr>
          <w:sz w:val="20"/>
          <w:szCs w:val="20"/>
          <w:color w:val="auto"/>
        </w:rPr>
        <w:tab/>
      </w:r>
      <w:r>
        <w:rPr>
          <w:rFonts w:ascii="Courier New" w:cs="Courier New" w:eastAsia="Courier New" w:hAnsi="Courier New"/>
          <w:sz w:val="14"/>
          <w:szCs w:val="14"/>
          <w:color w:val="auto"/>
        </w:rPr>
        <w:t>Payment of Notes</w:t>
      </w:r>
      <w:r>
        <w:rPr>
          <w:sz w:val="20"/>
          <w:szCs w:val="20"/>
          <w:color w:val="auto"/>
        </w:rPr>
        <w:tab/>
      </w:r>
      <w:r>
        <w:rPr>
          <w:rFonts w:ascii="Courier New" w:cs="Courier New" w:eastAsia="Courier New" w:hAnsi="Courier New"/>
          <w:sz w:val="14"/>
          <w:szCs w:val="14"/>
          <w:color w:val="auto"/>
        </w:rPr>
        <w:t>40</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4.02.</w:t>
      </w:r>
      <w:r>
        <w:rPr>
          <w:sz w:val="20"/>
          <w:szCs w:val="20"/>
          <w:color w:val="auto"/>
        </w:rPr>
        <w:tab/>
      </w:r>
      <w:r>
        <w:rPr>
          <w:rFonts w:ascii="Courier New" w:cs="Courier New" w:eastAsia="Courier New" w:hAnsi="Courier New"/>
          <w:sz w:val="14"/>
          <w:szCs w:val="14"/>
          <w:color w:val="auto"/>
        </w:rPr>
        <w:t>Maintenance of Office or Agency</w:t>
      </w:r>
      <w:r>
        <w:rPr>
          <w:sz w:val="20"/>
          <w:szCs w:val="20"/>
          <w:color w:val="auto"/>
        </w:rPr>
        <w:tab/>
      </w:r>
      <w:r>
        <w:rPr>
          <w:rFonts w:ascii="Courier New" w:cs="Courier New" w:eastAsia="Courier New" w:hAnsi="Courier New"/>
          <w:sz w:val="14"/>
          <w:szCs w:val="14"/>
          <w:color w:val="auto"/>
        </w:rPr>
        <w:t>40</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4.03.</w:t>
      </w:r>
      <w:r>
        <w:rPr>
          <w:sz w:val="20"/>
          <w:szCs w:val="20"/>
          <w:color w:val="auto"/>
        </w:rPr>
        <w:tab/>
      </w:r>
      <w:r>
        <w:rPr>
          <w:rFonts w:ascii="Courier New" w:cs="Courier New" w:eastAsia="Courier New" w:hAnsi="Courier New"/>
          <w:sz w:val="14"/>
          <w:szCs w:val="14"/>
          <w:color w:val="auto"/>
        </w:rPr>
        <w:t>Reports</w:t>
      </w:r>
      <w:r>
        <w:rPr>
          <w:sz w:val="20"/>
          <w:szCs w:val="20"/>
          <w:color w:val="auto"/>
        </w:rPr>
        <w:tab/>
      </w:r>
      <w:r>
        <w:rPr>
          <w:rFonts w:ascii="Courier New" w:cs="Courier New" w:eastAsia="Courier New" w:hAnsi="Courier New"/>
          <w:sz w:val="14"/>
          <w:szCs w:val="14"/>
          <w:color w:val="auto"/>
        </w:rPr>
        <w:t>40</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4.04.</w:t>
      </w:r>
      <w:r>
        <w:rPr>
          <w:sz w:val="20"/>
          <w:szCs w:val="20"/>
          <w:color w:val="auto"/>
        </w:rPr>
        <w:tab/>
      </w:r>
      <w:r>
        <w:rPr>
          <w:rFonts w:ascii="Courier New" w:cs="Courier New" w:eastAsia="Courier New" w:hAnsi="Courier New"/>
          <w:sz w:val="14"/>
          <w:szCs w:val="14"/>
          <w:color w:val="auto"/>
        </w:rPr>
        <w:t>Compliance Certificate</w:t>
      </w:r>
      <w:r>
        <w:rPr>
          <w:sz w:val="20"/>
          <w:szCs w:val="20"/>
          <w:color w:val="auto"/>
        </w:rPr>
        <w:tab/>
      </w:r>
      <w:r>
        <w:rPr>
          <w:rFonts w:ascii="Courier New" w:cs="Courier New" w:eastAsia="Courier New" w:hAnsi="Courier New"/>
          <w:sz w:val="14"/>
          <w:szCs w:val="14"/>
          <w:color w:val="auto"/>
        </w:rPr>
        <w:t>41</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4.05.</w:t>
      </w:r>
      <w:r>
        <w:rPr>
          <w:sz w:val="20"/>
          <w:szCs w:val="20"/>
          <w:color w:val="auto"/>
        </w:rPr>
        <w:tab/>
      </w:r>
      <w:r>
        <w:rPr>
          <w:rFonts w:ascii="Courier New" w:cs="Courier New" w:eastAsia="Courier New" w:hAnsi="Courier New"/>
          <w:sz w:val="14"/>
          <w:szCs w:val="14"/>
          <w:color w:val="auto"/>
        </w:rPr>
        <w:t>Taxes</w:t>
      </w:r>
      <w:r>
        <w:rPr>
          <w:sz w:val="20"/>
          <w:szCs w:val="20"/>
          <w:color w:val="auto"/>
        </w:rPr>
        <w:tab/>
      </w:r>
      <w:r>
        <w:rPr>
          <w:rFonts w:ascii="Courier New" w:cs="Courier New" w:eastAsia="Courier New" w:hAnsi="Courier New"/>
          <w:sz w:val="14"/>
          <w:szCs w:val="14"/>
          <w:color w:val="auto"/>
        </w:rPr>
        <w:t>42</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4.06.</w:t>
      </w:r>
      <w:r>
        <w:rPr>
          <w:sz w:val="20"/>
          <w:szCs w:val="20"/>
          <w:color w:val="auto"/>
        </w:rPr>
        <w:tab/>
      </w:r>
      <w:r>
        <w:rPr>
          <w:rFonts w:ascii="Courier New" w:cs="Courier New" w:eastAsia="Courier New" w:hAnsi="Courier New"/>
          <w:sz w:val="14"/>
          <w:szCs w:val="14"/>
          <w:color w:val="auto"/>
        </w:rPr>
        <w:t>Stay, Extension and Usury Laws</w:t>
      </w:r>
      <w:r>
        <w:rPr>
          <w:sz w:val="20"/>
          <w:szCs w:val="20"/>
          <w:color w:val="auto"/>
        </w:rPr>
        <w:tab/>
      </w:r>
      <w:r>
        <w:rPr>
          <w:rFonts w:ascii="Courier New" w:cs="Courier New" w:eastAsia="Courier New" w:hAnsi="Courier New"/>
          <w:sz w:val="14"/>
          <w:szCs w:val="14"/>
          <w:color w:val="auto"/>
        </w:rPr>
        <w:t>42</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4.07.</w:t>
      </w:r>
      <w:r>
        <w:rPr>
          <w:sz w:val="20"/>
          <w:szCs w:val="20"/>
          <w:color w:val="auto"/>
        </w:rPr>
        <w:tab/>
      </w:r>
      <w:r>
        <w:rPr>
          <w:rFonts w:ascii="Courier New" w:cs="Courier New" w:eastAsia="Courier New" w:hAnsi="Courier New"/>
          <w:sz w:val="14"/>
          <w:szCs w:val="14"/>
          <w:color w:val="auto"/>
        </w:rPr>
        <w:t>Restricted Payments</w:t>
      </w:r>
      <w:r>
        <w:rPr>
          <w:sz w:val="20"/>
          <w:szCs w:val="20"/>
          <w:color w:val="auto"/>
        </w:rPr>
        <w:tab/>
      </w:r>
      <w:r>
        <w:rPr>
          <w:rFonts w:ascii="Courier New" w:cs="Courier New" w:eastAsia="Courier New" w:hAnsi="Courier New"/>
          <w:sz w:val="14"/>
          <w:szCs w:val="14"/>
          <w:color w:val="auto"/>
        </w:rPr>
        <w:t>42</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4.08.</w:t>
      </w:r>
      <w:r>
        <w:rPr>
          <w:sz w:val="20"/>
          <w:szCs w:val="20"/>
          <w:color w:val="auto"/>
        </w:rPr>
        <w:tab/>
      </w:r>
      <w:r>
        <w:rPr>
          <w:rFonts w:ascii="Courier New" w:cs="Courier New" w:eastAsia="Courier New" w:hAnsi="Courier New"/>
          <w:sz w:val="14"/>
          <w:szCs w:val="14"/>
          <w:color w:val="auto"/>
        </w:rPr>
        <w:t>Dividend and Other Payment Restrictions Affecting Subsidiaries</w:t>
      </w:r>
      <w:r>
        <w:rPr>
          <w:sz w:val="20"/>
          <w:szCs w:val="20"/>
          <w:color w:val="auto"/>
        </w:rPr>
        <w:tab/>
      </w:r>
      <w:r>
        <w:rPr>
          <w:rFonts w:ascii="Courier New" w:cs="Courier New" w:eastAsia="Courier New" w:hAnsi="Courier New"/>
          <w:sz w:val="14"/>
          <w:szCs w:val="14"/>
          <w:color w:val="auto"/>
        </w:rPr>
        <w:t>45</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4.09.</w:t>
      </w:r>
      <w:r>
        <w:rPr>
          <w:sz w:val="20"/>
          <w:szCs w:val="20"/>
          <w:color w:val="auto"/>
        </w:rPr>
        <w:tab/>
      </w:r>
      <w:r>
        <w:rPr>
          <w:rFonts w:ascii="Courier New" w:cs="Courier New" w:eastAsia="Courier New" w:hAnsi="Courier New"/>
          <w:sz w:val="14"/>
          <w:szCs w:val="14"/>
          <w:color w:val="auto"/>
        </w:rPr>
        <w:t>Incurrence of Indebtedness and Issuance of Preferred Stock</w:t>
      </w:r>
      <w:r>
        <w:rPr>
          <w:sz w:val="20"/>
          <w:szCs w:val="20"/>
          <w:color w:val="auto"/>
        </w:rPr>
        <w:tab/>
      </w:r>
      <w:r>
        <w:rPr>
          <w:rFonts w:ascii="Courier New" w:cs="Courier New" w:eastAsia="Courier New" w:hAnsi="Courier New"/>
          <w:sz w:val="14"/>
          <w:szCs w:val="14"/>
          <w:color w:val="auto"/>
        </w:rPr>
        <w:t>46</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4.10.</w:t>
      </w:r>
      <w:r>
        <w:rPr>
          <w:sz w:val="20"/>
          <w:szCs w:val="20"/>
          <w:color w:val="auto"/>
        </w:rPr>
        <w:tab/>
      </w:r>
      <w:r>
        <w:rPr>
          <w:rFonts w:ascii="Courier New" w:cs="Courier New" w:eastAsia="Courier New" w:hAnsi="Courier New"/>
          <w:sz w:val="14"/>
          <w:szCs w:val="14"/>
          <w:color w:val="auto"/>
        </w:rPr>
        <w:t>Asset Sales</w:t>
      </w:r>
      <w:r>
        <w:rPr>
          <w:sz w:val="20"/>
          <w:szCs w:val="20"/>
          <w:color w:val="auto"/>
        </w:rPr>
        <w:tab/>
      </w:r>
      <w:r>
        <w:rPr>
          <w:rFonts w:ascii="Courier New" w:cs="Courier New" w:eastAsia="Courier New" w:hAnsi="Courier New"/>
          <w:sz w:val="14"/>
          <w:szCs w:val="14"/>
          <w:color w:val="auto"/>
        </w:rPr>
        <w:t>49</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139"/>
          </w:cols>
          <w:pgMar w:left="320" w:top="620" w:right="1440" w:bottom="1440" w:gutter="0" w:footer="0" w:header="0"/>
        </w:sectPr>
      </w:pPr>
    </w:p>
    <w:bookmarkStart w:id="114" w:name="page115"/>
    <w:bookmarkEnd w:id="114"/>
    <w:p>
      <w:pPr>
        <w:jc w:val="right"/>
        <w:ind w:right="1559"/>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ind w:right="1559"/>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4.11.</w:t>
      </w:r>
      <w:r>
        <w:rPr>
          <w:sz w:val="20"/>
          <w:szCs w:val="20"/>
          <w:color w:val="auto"/>
        </w:rPr>
        <w:tab/>
      </w:r>
      <w:r>
        <w:rPr>
          <w:rFonts w:ascii="Courier New" w:cs="Courier New" w:eastAsia="Courier New" w:hAnsi="Courier New"/>
          <w:sz w:val="14"/>
          <w:szCs w:val="14"/>
          <w:color w:val="auto"/>
        </w:rPr>
        <w:t>Transactions with Affiliates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4.12.</w:t>
      </w:r>
      <w:r>
        <w:rPr>
          <w:sz w:val="20"/>
          <w:szCs w:val="20"/>
          <w:color w:val="auto"/>
        </w:rPr>
        <w:tab/>
      </w:r>
      <w:r>
        <w:rPr>
          <w:rFonts w:ascii="Courier New" w:cs="Courier New" w:eastAsia="Courier New" w:hAnsi="Courier New"/>
          <w:sz w:val="14"/>
          <w:szCs w:val="14"/>
          <w:color w:val="auto"/>
        </w:rPr>
        <w:t>Liens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4.13.</w:t>
      </w:r>
      <w:r>
        <w:rPr>
          <w:sz w:val="20"/>
          <w:szCs w:val="20"/>
          <w:color w:val="auto"/>
        </w:rPr>
        <w:tab/>
      </w:r>
      <w:r>
        <w:rPr>
          <w:rFonts w:ascii="Courier New" w:cs="Courier New" w:eastAsia="Courier New" w:hAnsi="Courier New"/>
          <w:sz w:val="14"/>
          <w:szCs w:val="14"/>
          <w:color w:val="auto"/>
        </w:rPr>
        <w:t>Corporate Existence</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4.14.</w:t>
      </w:r>
      <w:r>
        <w:rPr>
          <w:sz w:val="20"/>
          <w:szCs w:val="20"/>
          <w:color w:val="auto"/>
        </w:rPr>
        <w:tab/>
      </w:r>
      <w:r>
        <w:rPr>
          <w:rFonts w:ascii="Courier New" w:cs="Courier New" w:eastAsia="Courier New" w:hAnsi="Courier New"/>
          <w:sz w:val="14"/>
          <w:szCs w:val="14"/>
          <w:color w:val="auto"/>
        </w:rPr>
        <w:t>[Intentionally Omitted]</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4.15.</w:t>
      </w:r>
      <w:r>
        <w:rPr>
          <w:sz w:val="20"/>
          <w:szCs w:val="20"/>
          <w:color w:val="auto"/>
        </w:rPr>
        <w:tab/>
      </w:r>
      <w:r>
        <w:rPr>
          <w:rFonts w:ascii="Courier New" w:cs="Courier New" w:eastAsia="Courier New" w:hAnsi="Courier New"/>
          <w:sz w:val="14"/>
          <w:szCs w:val="14"/>
          <w:color w:val="auto"/>
        </w:rPr>
        <w:t>Offer to Repurchase Upon Change of Control</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4.16.</w:t>
      </w:r>
      <w:r>
        <w:rPr>
          <w:sz w:val="20"/>
          <w:szCs w:val="20"/>
          <w:color w:val="auto"/>
        </w:rPr>
        <w:tab/>
      </w:r>
      <w:r>
        <w:rPr>
          <w:rFonts w:ascii="Courier New" w:cs="Courier New" w:eastAsia="Courier New" w:hAnsi="Courier New"/>
          <w:sz w:val="14"/>
          <w:szCs w:val="14"/>
          <w:color w:val="auto"/>
        </w:rPr>
        <w:t>No Senior Subordinated Debt</w:t>
      </w:r>
      <w:r>
        <w:rPr>
          <w:sz w:val="20"/>
          <w:szCs w:val="20"/>
          <w:color w:val="auto"/>
        </w:rPr>
        <w:tab/>
      </w:r>
      <w:r>
        <w:rPr>
          <w:rFonts w:ascii="Courier New" w:cs="Courier New" w:eastAsia="Courier New" w:hAnsi="Courier New"/>
          <w:sz w:val="14"/>
          <w:szCs w:val="14"/>
          <w:color w:val="auto"/>
        </w:rPr>
        <w:t>53</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4.17.</w:t>
      </w:r>
      <w:r>
        <w:rPr>
          <w:sz w:val="20"/>
          <w:szCs w:val="20"/>
          <w:color w:val="auto"/>
        </w:rPr>
        <w:tab/>
      </w:r>
      <w:r>
        <w:rPr>
          <w:rFonts w:ascii="Courier New" w:cs="Courier New" w:eastAsia="Courier New" w:hAnsi="Courier New"/>
          <w:sz w:val="14"/>
          <w:szCs w:val="14"/>
          <w:color w:val="auto"/>
        </w:rPr>
        <w:t>Additional Subsidiary Guarantees</w:t>
      </w:r>
      <w:r>
        <w:rPr>
          <w:sz w:val="20"/>
          <w:szCs w:val="20"/>
          <w:color w:val="auto"/>
        </w:rPr>
        <w:tab/>
      </w:r>
      <w:r>
        <w:rPr>
          <w:rFonts w:ascii="Courier New" w:cs="Courier New" w:eastAsia="Courier New" w:hAnsi="Courier New"/>
          <w:sz w:val="14"/>
          <w:szCs w:val="14"/>
          <w:color w:val="auto"/>
        </w:rPr>
        <w:t>53</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4.18.</w:t>
      </w:r>
      <w:r>
        <w:rPr>
          <w:sz w:val="20"/>
          <w:szCs w:val="20"/>
          <w:color w:val="auto"/>
        </w:rPr>
        <w:tab/>
      </w:r>
      <w:r>
        <w:rPr>
          <w:rFonts w:ascii="Courier New" w:cs="Courier New" w:eastAsia="Courier New" w:hAnsi="Courier New"/>
          <w:sz w:val="14"/>
          <w:szCs w:val="14"/>
          <w:color w:val="auto"/>
        </w:rPr>
        <w:t>Limitation on Issuances of Equity Interests in Wholly Owned Subsidiaries</w:t>
      </w:r>
      <w:r>
        <w:rPr>
          <w:sz w:val="20"/>
          <w:szCs w:val="20"/>
          <w:color w:val="auto"/>
        </w:rPr>
        <w:tab/>
      </w:r>
      <w:r>
        <w:rPr>
          <w:rFonts w:ascii="Courier New" w:cs="Courier New" w:eastAsia="Courier New" w:hAnsi="Courier New"/>
          <w:sz w:val="14"/>
          <w:szCs w:val="14"/>
          <w:color w:val="auto"/>
        </w:rPr>
        <w:t>53</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4.19.</w:t>
      </w:r>
      <w:r>
        <w:rPr>
          <w:sz w:val="20"/>
          <w:szCs w:val="20"/>
          <w:color w:val="auto"/>
        </w:rPr>
        <w:tab/>
      </w:r>
      <w:r>
        <w:rPr>
          <w:rFonts w:ascii="Courier New" w:cs="Courier New" w:eastAsia="Courier New" w:hAnsi="Courier New"/>
          <w:sz w:val="14"/>
          <w:szCs w:val="14"/>
          <w:color w:val="auto"/>
        </w:rPr>
        <w:t>Payments for Consent</w:t>
      </w:r>
      <w:r>
        <w:rPr>
          <w:sz w:val="20"/>
          <w:szCs w:val="20"/>
          <w:color w:val="auto"/>
        </w:rPr>
        <w:tab/>
      </w:r>
      <w:r>
        <w:rPr>
          <w:rFonts w:ascii="Courier New" w:cs="Courier New" w:eastAsia="Courier New" w:hAnsi="Courier New"/>
          <w:sz w:val="14"/>
          <w:szCs w:val="14"/>
          <w:color w:val="auto"/>
        </w:rPr>
        <w:t>54</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4.20.</w:t>
      </w:r>
      <w:r>
        <w:rPr>
          <w:sz w:val="20"/>
          <w:szCs w:val="20"/>
          <w:color w:val="auto"/>
        </w:rPr>
        <w:tab/>
      </w:r>
      <w:r>
        <w:rPr>
          <w:rFonts w:ascii="Courier New" w:cs="Courier New" w:eastAsia="Courier New" w:hAnsi="Courier New"/>
          <w:sz w:val="14"/>
          <w:szCs w:val="14"/>
          <w:color w:val="auto"/>
        </w:rPr>
        <w:t>Designation of Restricted and Unrestricted Subsidiaries</w:t>
      </w:r>
      <w:r>
        <w:rPr>
          <w:sz w:val="20"/>
          <w:szCs w:val="20"/>
          <w:color w:val="auto"/>
        </w:rPr>
        <w:tab/>
      </w:r>
      <w:r>
        <w:rPr>
          <w:rFonts w:ascii="Courier New" w:cs="Courier New" w:eastAsia="Courier New" w:hAnsi="Courier New"/>
          <w:sz w:val="14"/>
          <w:szCs w:val="14"/>
          <w:color w:val="auto"/>
        </w:rPr>
        <w:t>54</w:t>
      </w:r>
    </w:p>
    <w:p>
      <w:pPr>
        <w:spacing w:after="0" w:line="342"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ARTICLE 5.</w:t>
      </w:r>
    </w:p>
    <w:p>
      <w:pPr>
        <w:spacing w:after="0" w:line="8"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SUCCESSORS</w:t>
      </w:r>
    </w:p>
    <w:p>
      <w:pPr>
        <w:spacing w:after="0" w:line="175" w:lineRule="exact"/>
        <w:rPr>
          <w:sz w:val="20"/>
          <w:szCs w:val="20"/>
          <w:color w:val="auto"/>
        </w:rPr>
      </w:pPr>
    </w:p>
    <w:p>
      <w:pPr>
        <w:spacing w:after="0"/>
        <w:tabs>
          <w:tab w:leader="none" w:pos="1280" w:val="left"/>
          <w:tab w:leader="dot" w:pos="8220" w:val="left"/>
        </w:tabs>
        <w:rPr>
          <w:sz w:val="20"/>
          <w:szCs w:val="20"/>
          <w:color w:val="auto"/>
        </w:rPr>
      </w:pPr>
      <w:r>
        <w:rPr>
          <w:rFonts w:ascii="Courier New" w:cs="Courier New" w:eastAsia="Courier New" w:hAnsi="Courier New"/>
          <w:sz w:val="14"/>
          <w:szCs w:val="14"/>
          <w:color w:val="auto"/>
        </w:rPr>
        <w:t>Section 5.01.</w:t>
        <w:tab/>
        <w:t>Merger, Consolidation, or Sale of Assets</w:t>
      </w:r>
      <w:r>
        <w:rPr>
          <w:sz w:val="20"/>
          <w:szCs w:val="20"/>
          <w:color w:val="auto"/>
        </w:rPr>
        <w:tab/>
      </w:r>
      <w:r>
        <w:rPr>
          <w:rFonts w:ascii="Courier New" w:cs="Courier New" w:eastAsia="Courier New" w:hAnsi="Courier New"/>
          <w:sz w:val="14"/>
          <w:szCs w:val="14"/>
          <w:color w:val="auto"/>
        </w:rPr>
        <w:t>54</w:t>
      </w:r>
    </w:p>
    <w:p>
      <w:pPr>
        <w:spacing w:after="0" w:line="8" w:lineRule="exact"/>
        <w:rPr>
          <w:sz w:val="20"/>
          <w:szCs w:val="20"/>
          <w:color w:val="auto"/>
        </w:rPr>
      </w:pPr>
    </w:p>
    <w:p>
      <w:pPr>
        <w:spacing w:after="0"/>
        <w:tabs>
          <w:tab w:leader="none" w:pos="1280" w:val="left"/>
          <w:tab w:leader="dot" w:pos="8220" w:val="left"/>
        </w:tabs>
        <w:rPr>
          <w:sz w:val="20"/>
          <w:szCs w:val="20"/>
          <w:color w:val="auto"/>
        </w:rPr>
      </w:pPr>
      <w:r>
        <w:rPr>
          <w:rFonts w:ascii="Courier New" w:cs="Courier New" w:eastAsia="Courier New" w:hAnsi="Courier New"/>
          <w:sz w:val="14"/>
          <w:szCs w:val="14"/>
          <w:color w:val="auto"/>
        </w:rPr>
        <w:t>Section 5.02.</w:t>
        <w:tab/>
        <w:t>Successor Corporation Substituted</w:t>
      </w:r>
      <w:r>
        <w:rPr>
          <w:sz w:val="20"/>
          <w:szCs w:val="20"/>
          <w:color w:val="auto"/>
        </w:rPr>
        <w:tab/>
      </w:r>
      <w:r>
        <w:rPr>
          <w:rFonts w:ascii="Courier New" w:cs="Courier New" w:eastAsia="Courier New" w:hAnsi="Courier New"/>
          <w:sz w:val="14"/>
          <w:szCs w:val="14"/>
          <w:color w:val="auto"/>
        </w:rPr>
        <w:t>55</w:t>
      </w:r>
    </w:p>
    <w:p>
      <w:pPr>
        <w:spacing w:after="0" w:line="342"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ARTICLE 6.</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DEFAULTS AND REMEDIES</w:t>
      </w:r>
    </w:p>
    <w:p>
      <w:pPr>
        <w:spacing w:after="0" w:line="175"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6.01.</w:t>
      </w:r>
      <w:r>
        <w:rPr>
          <w:sz w:val="20"/>
          <w:szCs w:val="20"/>
          <w:color w:val="auto"/>
        </w:rPr>
        <w:tab/>
      </w:r>
      <w:r>
        <w:rPr>
          <w:rFonts w:ascii="Courier New" w:cs="Courier New" w:eastAsia="Courier New" w:hAnsi="Courier New"/>
          <w:sz w:val="14"/>
          <w:szCs w:val="14"/>
          <w:color w:val="auto"/>
        </w:rPr>
        <w:t>Events of Default</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6.02.</w:t>
      </w:r>
      <w:r>
        <w:rPr>
          <w:sz w:val="20"/>
          <w:szCs w:val="20"/>
          <w:color w:val="auto"/>
        </w:rPr>
        <w:tab/>
      </w:r>
      <w:r>
        <w:rPr>
          <w:rFonts w:ascii="Courier New" w:cs="Courier New" w:eastAsia="Courier New" w:hAnsi="Courier New"/>
          <w:sz w:val="14"/>
          <w:szCs w:val="14"/>
          <w:color w:val="auto"/>
        </w:rPr>
        <w:t>Acceleration</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6.03.</w:t>
      </w:r>
      <w:r>
        <w:rPr>
          <w:sz w:val="20"/>
          <w:szCs w:val="20"/>
          <w:color w:val="auto"/>
        </w:rPr>
        <w:tab/>
      </w:r>
      <w:r>
        <w:rPr>
          <w:rFonts w:ascii="Courier New" w:cs="Courier New" w:eastAsia="Courier New" w:hAnsi="Courier New"/>
          <w:sz w:val="14"/>
          <w:szCs w:val="14"/>
          <w:color w:val="auto"/>
        </w:rPr>
        <w:t>Other Remedies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6.04.</w:t>
      </w:r>
      <w:r>
        <w:rPr>
          <w:sz w:val="20"/>
          <w:szCs w:val="20"/>
          <w:color w:val="auto"/>
        </w:rPr>
        <w:tab/>
      </w:r>
      <w:r>
        <w:rPr>
          <w:rFonts w:ascii="Courier New" w:cs="Courier New" w:eastAsia="Courier New" w:hAnsi="Courier New"/>
          <w:sz w:val="14"/>
          <w:szCs w:val="14"/>
          <w:color w:val="auto"/>
        </w:rPr>
        <w:t>Waiver of Past Defaults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6.05.</w:t>
      </w:r>
      <w:r>
        <w:rPr>
          <w:sz w:val="20"/>
          <w:szCs w:val="20"/>
          <w:color w:val="auto"/>
        </w:rPr>
        <w:tab/>
      </w:r>
      <w:r>
        <w:rPr>
          <w:rFonts w:ascii="Courier New" w:cs="Courier New" w:eastAsia="Courier New" w:hAnsi="Courier New"/>
          <w:sz w:val="14"/>
          <w:szCs w:val="14"/>
          <w:color w:val="auto"/>
        </w:rPr>
        <w:t>Control by Majority</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6.06.</w:t>
      </w:r>
      <w:r>
        <w:rPr>
          <w:sz w:val="20"/>
          <w:szCs w:val="20"/>
          <w:color w:val="auto"/>
        </w:rPr>
        <w:tab/>
      </w:r>
      <w:r>
        <w:rPr>
          <w:rFonts w:ascii="Courier New" w:cs="Courier New" w:eastAsia="Courier New" w:hAnsi="Courier New"/>
          <w:sz w:val="14"/>
          <w:szCs w:val="14"/>
          <w:color w:val="auto"/>
        </w:rPr>
        <w:t>Limitation on Suits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6.07.</w:t>
      </w:r>
      <w:r>
        <w:rPr>
          <w:sz w:val="20"/>
          <w:szCs w:val="20"/>
          <w:color w:val="auto"/>
        </w:rPr>
        <w:tab/>
      </w:r>
      <w:r>
        <w:rPr>
          <w:rFonts w:ascii="Courier New" w:cs="Courier New" w:eastAsia="Courier New" w:hAnsi="Courier New"/>
          <w:sz w:val="14"/>
          <w:szCs w:val="14"/>
          <w:color w:val="auto"/>
        </w:rPr>
        <w:t>Rights of Holders of Notes to Receive Payment</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6.08.</w:t>
      </w:r>
      <w:r>
        <w:rPr>
          <w:sz w:val="20"/>
          <w:szCs w:val="20"/>
          <w:color w:val="auto"/>
        </w:rPr>
        <w:tab/>
      </w:r>
      <w:r>
        <w:rPr>
          <w:rFonts w:ascii="Courier New" w:cs="Courier New" w:eastAsia="Courier New" w:hAnsi="Courier New"/>
          <w:sz w:val="14"/>
          <w:szCs w:val="14"/>
          <w:color w:val="auto"/>
        </w:rPr>
        <w:t>Collection Suit by Trustee</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6.09.</w:t>
      </w:r>
      <w:r>
        <w:rPr>
          <w:sz w:val="20"/>
          <w:szCs w:val="20"/>
          <w:color w:val="auto"/>
        </w:rPr>
        <w:tab/>
      </w:r>
      <w:r>
        <w:rPr>
          <w:rFonts w:ascii="Courier New" w:cs="Courier New" w:eastAsia="Courier New" w:hAnsi="Courier New"/>
          <w:sz w:val="14"/>
          <w:szCs w:val="14"/>
          <w:color w:val="auto"/>
        </w:rPr>
        <w:t>Trustee May File Proofs of Claim</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6.10.</w:t>
      </w:r>
      <w:r>
        <w:rPr>
          <w:sz w:val="20"/>
          <w:szCs w:val="20"/>
          <w:color w:val="auto"/>
        </w:rPr>
        <w:tab/>
      </w:r>
      <w:r>
        <w:rPr>
          <w:rFonts w:ascii="Courier New" w:cs="Courier New" w:eastAsia="Courier New" w:hAnsi="Courier New"/>
          <w:sz w:val="14"/>
          <w:szCs w:val="14"/>
          <w:color w:val="auto"/>
        </w:rPr>
        <w:t>Priorities</w:t>
      </w:r>
      <w:r>
        <w:rPr>
          <w:sz w:val="20"/>
          <w:szCs w:val="20"/>
          <w:color w:val="auto"/>
        </w:rPr>
        <w:tab/>
      </w:r>
      <w:r>
        <w:rPr>
          <w:rFonts w:ascii="Courier New" w:cs="Courier New" w:eastAsia="Courier New" w:hAnsi="Courier New"/>
          <w:sz w:val="14"/>
          <w:szCs w:val="14"/>
          <w:color w:val="auto"/>
        </w:rPr>
        <w:t>60</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6.11.</w:t>
      </w:r>
      <w:r>
        <w:rPr>
          <w:sz w:val="20"/>
          <w:szCs w:val="20"/>
          <w:color w:val="auto"/>
        </w:rPr>
        <w:tab/>
      </w:r>
      <w:r>
        <w:rPr>
          <w:rFonts w:ascii="Courier New" w:cs="Courier New" w:eastAsia="Courier New" w:hAnsi="Courier New"/>
          <w:sz w:val="14"/>
          <w:szCs w:val="14"/>
          <w:color w:val="auto"/>
        </w:rPr>
        <w:t>Undertaking for Costs</w:t>
      </w:r>
      <w:r>
        <w:rPr>
          <w:sz w:val="20"/>
          <w:szCs w:val="20"/>
          <w:color w:val="auto"/>
        </w:rPr>
        <w:tab/>
      </w:r>
      <w:r>
        <w:rPr>
          <w:rFonts w:ascii="Courier New" w:cs="Courier New" w:eastAsia="Courier New" w:hAnsi="Courier New"/>
          <w:sz w:val="14"/>
          <w:szCs w:val="14"/>
          <w:color w:val="auto"/>
        </w:rPr>
        <w:t>60</w:t>
      </w:r>
    </w:p>
    <w:p>
      <w:pPr>
        <w:spacing w:after="0" w:line="342"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ARTICLE 7.</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TRUSTEE</w:t>
      </w:r>
    </w:p>
    <w:p>
      <w:pPr>
        <w:spacing w:after="0" w:line="175"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7.01.</w:t>
      </w:r>
      <w:r>
        <w:rPr>
          <w:sz w:val="20"/>
          <w:szCs w:val="20"/>
          <w:color w:val="auto"/>
        </w:rPr>
        <w:tab/>
      </w:r>
      <w:r>
        <w:rPr>
          <w:rFonts w:ascii="Courier New" w:cs="Courier New" w:eastAsia="Courier New" w:hAnsi="Courier New"/>
          <w:sz w:val="14"/>
          <w:szCs w:val="14"/>
          <w:color w:val="auto"/>
        </w:rPr>
        <w:t>Duties of Trustee</w:t>
      </w:r>
      <w:r>
        <w:rPr>
          <w:sz w:val="20"/>
          <w:szCs w:val="20"/>
          <w:color w:val="auto"/>
        </w:rPr>
        <w:tab/>
      </w:r>
      <w:r>
        <w:rPr>
          <w:rFonts w:ascii="Courier New" w:cs="Courier New" w:eastAsia="Courier New" w:hAnsi="Courier New"/>
          <w:sz w:val="14"/>
          <w:szCs w:val="14"/>
          <w:color w:val="auto"/>
        </w:rPr>
        <w:t>60</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7.02.</w:t>
      </w:r>
      <w:r>
        <w:rPr>
          <w:sz w:val="20"/>
          <w:szCs w:val="20"/>
          <w:color w:val="auto"/>
        </w:rPr>
        <w:tab/>
      </w:r>
      <w:r>
        <w:rPr>
          <w:rFonts w:ascii="Courier New" w:cs="Courier New" w:eastAsia="Courier New" w:hAnsi="Courier New"/>
          <w:sz w:val="14"/>
          <w:szCs w:val="14"/>
          <w:color w:val="auto"/>
        </w:rPr>
        <w:t>Rights of Trustee</w:t>
      </w:r>
      <w:r>
        <w:rPr>
          <w:sz w:val="20"/>
          <w:szCs w:val="20"/>
          <w:color w:val="auto"/>
        </w:rPr>
        <w:tab/>
      </w:r>
      <w:r>
        <w:rPr>
          <w:rFonts w:ascii="Courier New" w:cs="Courier New" w:eastAsia="Courier New" w:hAnsi="Courier New"/>
          <w:sz w:val="14"/>
          <w:szCs w:val="14"/>
          <w:color w:val="auto"/>
        </w:rPr>
        <w:t>61</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7.03.</w:t>
      </w:r>
      <w:r>
        <w:rPr>
          <w:sz w:val="20"/>
          <w:szCs w:val="20"/>
          <w:color w:val="auto"/>
        </w:rPr>
        <w:tab/>
      </w:r>
      <w:r>
        <w:rPr>
          <w:rFonts w:ascii="Courier New" w:cs="Courier New" w:eastAsia="Courier New" w:hAnsi="Courier New"/>
          <w:sz w:val="14"/>
          <w:szCs w:val="14"/>
          <w:color w:val="auto"/>
        </w:rPr>
        <w:t>Individual Rights of Trustee</w:t>
      </w:r>
      <w:r>
        <w:rPr>
          <w:sz w:val="20"/>
          <w:szCs w:val="20"/>
          <w:color w:val="auto"/>
        </w:rPr>
        <w:tab/>
      </w:r>
      <w:r>
        <w:rPr>
          <w:rFonts w:ascii="Courier New" w:cs="Courier New" w:eastAsia="Courier New" w:hAnsi="Courier New"/>
          <w:sz w:val="14"/>
          <w:szCs w:val="14"/>
          <w:color w:val="auto"/>
        </w:rPr>
        <w:t>62</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7.04.</w:t>
      </w:r>
      <w:r>
        <w:rPr>
          <w:sz w:val="20"/>
          <w:szCs w:val="20"/>
          <w:color w:val="auto"/>
        </w:rPr>
        <w:tab/>
      </w:r>
      <w:r>
        <w:rPr>
          <w:rFonts w:ascii="Courier New" w:cs="Courier New" w:eastAsia="Courier New" w:hAnsi="Courier New"/>
          <w:sz w:val="14"/>
          <w:szCs w:val="14"/>
          <w:color w:val="auto"/>
        </w:rPr>
        <w:t>Trustee's Disclaimer</w:t>
      </w:r>
      <w:r>
        <w:rPr>
          <w:sz w:val="20"/>
          <w:szCs w:val="20"/>
          <w:color w:val="auto"/>
        </w:rPr>
        <w:tab/>
      </w:r>
      <w:r>
        <w:rPr>
          <w:rFonts w:ascii="Courier New" w:cs="Courier New" w:eastAsia="Courier New" w:hAnsi="Courier New"/>
          <w:sz w:val="14"/>
          <w:szCs w:val="14"/>
          <w:color w:val="auto"/>
        </w:rPr>
        <w:t>62</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7.05.</w:t>
      </w:r>
      <w:r>
        <w:rPr>
          <w:sz w:val="20"/>
          <w:szCs w:val="20"/>
          <w:color w:val="auto"/>
        </w:rPr>
        <w:tab/>
      </w:r>
      <w:r>
        <w:rPr>
          <w:rFonts w:ascii="Courier New" w:cs="Courier New" w:eastAsia="Courier New" w:hAnsi="Courier New"/>
          <w:sz w:val="14"/>
          <w:szCs w:val="14"/>
          <w:color w:val="auto"/>
        </w:rPr>
        <w:t>Notice of Defaults</w:t>
      </w:r>
      <w:r>
        <w:rPr>
          <w:sz w:val="20"/>
          <w:szCs w:val="20"/>
          <w:color w:val="auto"/>
        </w:rPr>
        <w:tab/>
      </w:r>
      <w:r>
        <w:rPr>
          <w:rFonts w:ascii="Courier New" w:cs="Courier New" w:eastAsia="Courier New" w:hAnsi="Courier New"/>
          <w:sz w:val="14"/>
          <w:szCs w:val="14"/>
          <w:color w:val="auto"/>
        </w:rPr>
        <w:t>62</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7.06.</w:t>
      </w:r>
      <w:r>
        <w:rPr>
          <w:sz w:val="20"/>
          <w:szCs w:val="20"/>
          <w:color w:val="auto"/>
        </w:rPr>
        <w:tab/>
      </w:r>
      <w:r>
        <w:rPr>
          <w:rFonts w:ascii="Courier New" w:cs="Courier New" w:eastAsia="Courier New" w:hAnsi="Courier New"/>
          <w:sz w:val="14"/>
          <w:szCs w:val="14"/>
          <w:color w:val="auto"/>
        </w:rPr>
        <w:t>Reports by Trustee to Holders of the Notes</w:t>
      </w:r>
      <w:r>
        <w:rPr>
          <w:sz w:val="20"/>
          <w:szCs w:val="20"/>
          <w:color w:val="auto"/>
        </w:rPr>
        <w:tab/>
      </w:r>
      <w:r>
        <w:rPr>
          <w:rFonts w:ascii="Courier New" w:cs="Courier New" w:eastAsia="Courier New" w:hAnsi="Courier New"/>
          <w:sz w:val="14"/>
          <w:szCs w:val="14"/>
          <w:color w:val="auto"/>
        </w:rPr>
        <w:t>62</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7.07.</w:t>
      </w:r>
      <w:r>
        <w:rPr>
          <w:sz w:val="20"/>
          <w:szCs w:val="20"/>
          <w:color w:val="auto"/>
        </w:rPr>
        <w:tab/>
      </w:r>
      <w:r>
        <w:rPr>
          <w:rFonts w:ascii="Courier New" w:cs="Courier New" w:eastAsia="Courier New" w:hAnsi="Courier New"/>
          <w:sz w:val="14"/>
          <w:szCs w:val="14"/>
          <w:color w:val="auto"/>
        </w:rPr>
        <w:t>Compensation and Indemnity</w:t>
      </w:r>
      <w:r>
        <w:rPr>
          <w:sz w:val="20"/>
          <w:szCs w:val="20"/>
          <w:color w:val="auto"/>
        </w:rPr>
        <w:tab/>
      </w:r>
      <w:r>
        <w:rPr>
          <w:rFonts w:ascii="Courier New" w:cs="Courier New" w:eastAsia="Courier New" w:hAnsi="Courier New"/>
          <w:sz w:val="14"/>
          <w:szCs w:val="14"/>
          <w:color w:val="auto"/>
        </w:rPr>
        <w:t>62</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7.08.</w:t>
      </w:r>
      <w:r>
        <w:rPr>
          <w:sz w:val="20"/>
          <w:szCs w:val="20"/>
          <w:color w:val="auto"/>
        </w:rPr>
        <w:tab/>
      </w:r>
      <w:r>
        <w:rPr>
          <w:rFonts w:ascii="Courier New" w:cs="Courier New" w:eastAsia="Courier New" w:hAnsi="Courier New"/>
          <w:sz w:val="14"/>
          <w:szCs w:val="14"/>
          <w:color w:val="auto"/>
        </w:rPr>
        <w:t>Replacement of Trustee</w:t>
      </w:r>
      <w:r>
        <w:rPr>
          <w:sz w:val="20"/>
          <w:szCs w:val="20"/>
          <w:color w:val="auto"/>
        </w:rPr>
        <w:tab/>
      </w:r>
      <w:r>
        <w:rPr>
          <w:rFonts w:ascii="Courier New" w:cs="Courier New" w:eastAsia="Courier New" w:hAnsi="Courier New"/>
          <w:sz w:val="14"/>
          <w:szCs w:val="14"/>
          <w:color w:val="auto"/>
        </w:rPr>
        <w:t>63</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7.09.</w:t>
      </w:r>
      <w:r>
        <w:rPr>
          <w:sz w:val="20"/>
          <w:szCs w:val="20"/>
          <w:color w:val="auto"/>
        </w:rPr>
        <w:tab/>
      </w:r>
      <w:r>
        <w:rPr>
          <w:rFonts w:ascii="Courier New" w:cs="Courier New" w:eastAsia="Courier New" w:hAnsi="Courier New"/>
          <w:sz w:val="14"/>
          <w:szCs w:val="14"/>
          <w:color w:val="auto"/>
        </w:rPr>
        <w:t>Successor Trustee by Merger, etc</w:t>
      </w:r>
      <w:r>
        <w:rPr>
          <w:sz w:val="20"/>
          <w:szCs w:val="20"/>
          <w:color w:val="auto"/>
        </w:rPr>
        <w:tab/>
      </w:r>
      <w:r>
        <w:rPr>
          <w:rFonts w:ascii="Courier New" w:cs="Courier New" w:eastAsia="Courier New" w:hAnsi="Courier New"/>
          <w:sz w:val="14"/>
          <w:szCs w:val="14"/>
          <w:color w:val="auto"/>
        </w:rPr>
        <w:t>64</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7.10.</w:t>
      </w:r>
      <w:r>
        <w:rPr>
          <w:sz w:val="20"/>
          <w:szCs w:val="20"/>
          <w:color w:val="auto"/>
        </w:rPr>
        <w:tab/>
      </w:r>
      <w:r>
        <w:rPr>
          <w:rFonts w:ascii="Courier New" w:cs="Courier New" w:eastAsia="Courier New" w:hAnsi="Courier New"/>
          <w:sz w:val="14"/>
          <w:szCs w:val="14"/>
          <w:color w:val="auto"/>
        </w:rPr>
        <w:t>Eligibility; Disqualification</w:t>
      </w:r>
      <w:r>
        <w:rPr>
          <w:sz w:val="20"/>
          <w:szCs w:val="20"/>
          <w:color w:val="auto"/>
        </w:rPr>
        <w:tab/>
      </w:r>
      <w:r>
        <w:rPr>
          <w:rFonts w:ascii="Courier New" w:cs="Courier New" w:eastAsia="Courier New" w:hAnsi="Courier New"/>
          <w:sz w:val="14"/>
          <w:szCs w:val="14"/>
          <w:color w:val="auto"/>
        </w:rPr>
        <w:t>64</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7.11.</w:t>
      </w:r>
      <w:r>
        <w:rPr>
          <w:sz w:val="20"/>
          <w:szCs w:val="20"/>
          <w:color w:val="auto"/>
        </w:rPr>
        <w:tab/>
      </w:r>
      <w:r>
        <w:rPr>
          <w:rFonts w:ascii="Courier New" w:cs="Courier New" w:eastAsia="Courier New" w:hAnsi="Courier New"/>
          <w:sz w:val="14"/>
          <w:szCs w:val="14"/>
          <w:color w:val="auto"/>
        </w:rPr>
        <w:t>Preferential Collection of Claims Against Company</w:t>
      </w:r>
      <w:r>
        <w:rPr>
          <w:sz w:val="20"/>
          <w:szCs w:val="20"/>
          <w:color w:val="auto"/>
        </w:rPr>
        <w:tab/>
      </w:r>
      <w:r>
        <w:rPr>
          <w:rFonts w:ascii="Courier New" w:cs="Courier New" w:eastAsia="Courier New" w:hAnsi="Courier New"/>
          <w:sz w:val="14"/>
          <w:szCs w:val="14"/>
          <w:color w:val="auto"/>
        </w:rPr>
        <w:t>64</w:t>
      </w:r>
    </w:p>
    <w:p>
      <w:pPr>
        <w:spacing w:after="0" w:line="342"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ARTICLE 8.</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LEGAL DEFEASANCE AND COVENANT DEFEASANCE</w:t>
      </w:r>
    </w:p>
    <w:p>
      <w:pPr>
        <w:spacing w:after="0" w:line="175"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8.01.</w:t>
      </w:r>
      <w:r>
        <w:rPr>
          <w:sz w:val="20"/>
          <w:szCs w:val="20"/>
          <w:color w:val="auto"/>
        </w:rPr>
        <w:tab/>
      </w:r>
      <w:r>
        <w:rPr>
          <w:rFonts w:ascii="Courier New" w:cs="Courier New" w:eastAsia="Courier New" w:hAnsi="Courier New"/>
          <w:sz w:val="14"/>
          <w:szCs w:val="14"/>
          <w:color w:val="auto"/>
        </w:rPr>
        <w:t>Option to Effect Legal Defeasance or Covenant Defeasance</w:t>
      </w:r>
      <w:r>
        <w:rPr>
          <w:sz w:val="20"/>
          <w:szCs w:val="20"/>
          <w:color w:val="auto"/>
        </w:rPr>
        <w:tab/>
      </w:r>
      <w:r>
        <w:rPr>
          <w:rFonts w:ascii="Courier New" w:cs="Courier New" w:eastAsia="Courier New" w:hAnsi="Courier New"/>
          <w:sz w:val="14"/>
          <w:szCs w:val="14"/>
          <w:color w:val="auto"/>
        </w:rPr>
        <w:t>65</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8.02.</w:t>
      </w:r>
      <w:r>
        <w:rPr>
          <w:sz w:val="20"/>
          <w:szCs w:val="20"/>
          <w:color w:val="auto"/>
        </w:rPr>
        <w:tab/>
      </w:r>
      <w:r>
        <w:rPr>
          <w:rFonts w:ascii="Courier New" w:cs="Courier New" w:eastAsia="Courier New" w:hAnsi="Courier New"/>
          <w:sz w:val="14"/>
          <w:szCs w:val="14"/>
          <w:color w:val="auto"/>
        </w:rPr>
        <w:t>Legal Defeasance and Discharge</w:t>
      </w:r>
      <w:r>
        <w:rPr>
          <w:sz w:val="20"/>
          <w:szCs w:val="20"/>
          <w:color w:val="auto"/>
        </w:rPr>
        <w:tab/>
      </w:r>
      <w:r>
        <w:rPr>
          <w:rFonts w:ascii="Courier New" w:cs="Courier New" w:eastAsia="Courier New" w:hAnsi="Courier New"/>
          <w:sz w:val="14"/>
          <w:szCs w:val="14"/>
          <w:color w:val="auto"/>
        </w:rPr>
        <w:t>65</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8.03.</w:t>
      </w:r>
      <w:r>
        <w:rPr>
          <w:sz w:val="20"/>
          <w:szCs w:val="20"/>
          <w:color w:val="auto"/>
        </w:rPr>
        <w:tab/>
      </w:r>
      <w:r>
        <w:rPr>
          <w:rFonts w:ascii="Courier New" w:cs="Courier New" w:eastAsia="Courier New" w:hAnsi="Courier New"/>
          <w:sz w:val="14"/>
          <w:szCs w:val="14"/>
          <w:color w:val="auto"/>
        </w:rPr>
        <w:t>Covenant Defeasance</w:t>
      </w:r>
      <w:r>
        <w:rPr>
          <w:sz w:val="20"/>
          <w:szCs w:val="20"/>
          <w:color w:val="auto"/>
        </w:rPr>
        <w:tab/>
      </w:r>
      <w:r>
        <w:rPr>
          <w:rFonts w:ascii="Courier New" w:cs="Courier New" w:eastAsia="Courier New" w:hAnsi="Courier New"/>
          <w:sz w:val="14"/>
          <w:szCs w:val="14"/>
          <w:color w:val="auto"/>
        </w:rPr>
        <w:t>65</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8.04.</w:t>
      </w:r>
      <w:r>
        <w:rPr>
          <w:sz w:val="20"/>
          <w:szCs w:val="20"/>
          <w:color w:val="auto"/>
        </w:rPr>
        <w:tab/>
      </w:r>
      <w:r>
        <w:rPr>
          <w:rFonts w:ascii="Courier New" w:cs="Courier New" w:eastAsia="Courier New" w:hAnsi="Courier New"/>
          <w:sz w:val="14"/>
          <w:szCs w:val="14"/>
          <w:color w:val="auto"/>
        </w:rPr>
        <w:t>Conditions to Legal or Covenant Defeasance</w:t>
      </w:r>
      <w:r>
        <w:rPr>
          <w:sz w:val="20"/>
          <w:szCs w:val="20"/>
          <w:color w:val="auto"/>
        </w:rPr>
        <w:tab/>
      </w:r>
      <w:r>
        <w:rPr>
          <w:rFonts w:ascii="Courier New" w:cs="Courier New" w:eastAsia="Courier New" w:hAnsi="Courier New"/>
          <w:sz w:val="14"/>
          <w:szCs w:val="14"/>
          <w:color w:val="auto"/>
        </w:rPr>
        <w:t>66</w:t>
      </w:r>
    </w:p>
    <w:p>
      <w:pPr>
        <w:spacing w:after="0" w:line="200" w:lineRule="exact"/>
        <w:rPr>
          <w:sz w:val="20"/>
          <w:szCs w:val="20"/>
          <w:color w:val="auto"/>
        </w:rPr>
      </w:pPr>
    </w:p>
    <w:p>
      <w:pPr>
        <w:spacing w:after="0" w:line="30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139"/>
          </w:cols>
          <w:pgMar w:left="320" w:top="954" w:right="1440" w:bottom="1440" w:gutter="0" w:footer="0" w:header="0"/>
        </w:sectPr>
      </w:pPr>
    </w:p>
    <w:bookmarkStart w:id="115" w:name="page116"/>
    <w:bookmarkEnd w:id="115"/>
    <w:p>
      <w:pPr>
        <w:jc w:val="right"/>
        <w:ind w:right="1559"/>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ind w:right="1559"/>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Section 8.05.</w:t>
      </w:r>
      <w:r>
        <w:rPr>
          <w:sz w:val="20"/>
          <w:szCs w:val="20"/>
          <w:color w:val="auto"/>
        </w:rPr>
        <w:tab/>
      </w:r>
      <w:r>
        <w:rPr>
          <w:rFonts w:ascii="Courier New" w:cs="Courier New" w:eastAsia="Courier New" w:hAnsi="Courier New"/>
          <w:sz w:val="14"/>
          <w:szCs w:val="14"/>
          <w:color w:val="auto"/>
        </w:rPr>
        <w:t>Deposited Money and Government Securities to be Held in Trust; Other</w:t>
      </w:r>
    </w:p>
    <w:p>
      <w:pPr>
        <w:spacing w:after="0" w:line="8" w:lineRule="exact"/>
        <w:rPr>
          <w:sz w:val="20"/>
          <w:szCs w:val="20"/>
          <w:color w:val="auto"/>
        </w:rPr>
      </w:pPr>
    </w:p>
    <w:p>
      <w:pPr>
        <w:ind w:left="1640"/>
        <w:spacing w:after="0"/>
        <w:tabs>
          <w:tab w:leader="dot" w:pos="8220" w:val="left"/>
        </w:tabs>
        <w:rPr>
          <w:sz w:val="20"/>
          <w:szCs w:val="20"/>
          <w:color w:val="auto"/>
        </w:rPr>
      </w:pPr>
      <w:r>
        <w:rPr>
          <w:rFonts w:ascii="Courier New" w:cs="Courier New" w:eastAsia="Courier New" w:hAnsi="Courier New"/>
          <w:sz w:val="14"/>
          <w:szCs w:val="14"/>
          <w:color w:val="auto"/>
        </w:rPr>
        <w:t>Miscellaneous Provisions</w:t>
      </w:r>
      <w:r>
        <w:rPr>
          <w:sz w:val="20"/>
          <w:szCs w:val="20"/>
          <w:color w:val="auto"/>
        </w:rPr>
        <w:tab/>
      </w:r>
      <w:r>
        <w:rPr>
          <w:rFonts w:ascii="Courier New" w:cs="Courier New" w:eastAsia="Courier New" w:hAnsi="Courier New"/>
          <w:sz w:val="14"/>
          <w:szCs w:val="14"/>
          <w:color w:val="auto"/>
        </w:rPr>
        <w:t>67</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8.06.</w:t>
      </w:r>
      <w:r>
        <w:rPr>
          <w:sz w:val="20"/>
          <w:szCs w:val="20"/>
          <w:color w:val="auto"/>
        </w:rPr>
        <w:tab/>
      </w:r>
      <w:r>
        <w:rPr>
          <w:rFonts w:ascii="Courier New" w:cs="Courier New" w:eastAsia="Courier New" w:hAnsi="Courier New"/>
          <w:sz w:val="14"/>
          <w:szCs w:val="14"/>
          <w:color w:val="auto"/>
        </w:rPr>
        <w:t>Repayment to Company</w:t>
      </w:r>
      <w:r>
        <w:rPr>
          <w:sz w:val="20"/>
          <w:szCs w:val="20"/>
          <w:color w:val="auto"/>
        </w:rPr>
        <w:tab/>
      </w:r>
      <w:r>
        <w:rPr>
          <w:rFonts w:ascii="Courier New" w:cs="Courier New" w:eastAsia="Courier New" w:hAnsi="Courier New"/>
          <w:sz w:val="14"/>
          <w:szCs w:val="14"/>
          <w:color w:val="auto"/>
        </w:rPr>
        <w:t>67</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8.07.</w:t>
      </w:r>
      <w:r>
        <w:rPr>
          <w:sz w:val="20"/>
          <w:szCs w:val="20"/>
          <w:color w:val="auto"/>
        </w:rPr>
        <w:tab/>
      </w:r>
      <w:r>
        <w:rPr>
          <w:rFonts w:ascii="Courier New" w:cs="Courier New" w:eastAsia="Courier New" w:hAnsi="Courier New"/>
          <w:sz w:val="14"/>
          <w:szCs w:val="14"/>
          <w:color w:val="auto"/>
        </w:rPr>
        <w:t>Reinstatement</w:t>
      </w:r>
      <w:r>
        <w:rPr>
          <w:sz w:val="20"/>
          <w:szCs w:val="20"/>
          <w:color w:val="auto"/>
        </w:rPr>
        <w:tab/>
      </w:r>
      <w:r>
        <w:rPr>
          <w:rFonts w:ascii="Courier New" w:cs="Courier New" w:eastAsia="Courier New" w:hAnsi="Courier New"/>
          <w:sz w:val="14"/>
          <w:szCs w:val="14"/>
          <w:color w:val="auto"/>
        </w:rPr>
        <w:t>67</w:t>
      </w:r>
    </w:p>
    <w:p>
      <w:pPr>
        <w:spacing w:after="0" w:line="342"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ARTICLE 9.</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AMENDMENT, SUPPLEMENT AND WAIVER</w:t>
      </w:r>
    </w:p>
    <w:p>
      <w:pPr>
        <w:spacing w:after="0" w:line="175"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9.01.</w:t>
      </w:r>
      <w:r>
        <w:rPr>
          <w:sz w:val="20"/>
          <w:szCs w:val="20"/>
          <w:color w:val="auto"/>
        </w:rPr>
        <w:tab/>
      </w:r>
      <w:r>
        <w:rPr>
          <w:rFonts w:ascii="Courier New" w:cs="Courier New" w:eastAsia="Courier New" w:hAnsi="Courier New"/>
          <w:sz w:val="14"/>
          <w:szCs w:val="14"/>
          <w:color w:val="auto"/>
        </w:rPr>
        <w:t>Without Consent of Holders of Notes</w:t>
      </w:r>
      <w:r>
        <w:rPr>
          <w:sz w:val="20"/>
          <w:szCs w:val="20"/>
          <w:color w:val="auto"/>
        </w:rPr>
        <w:tab/>
      </w:r>
      <w:r>
        <w:rPr>
          <w:rFonts w:ascii="Courier New" w:cs="Courier New" w:eastAsia="Courier New" w:hAnsi="Courier New"/>
          <w:sz w:val="14"/>
          <w:szCs w:val="14"/>
          <w:color w:val="auto"/>
        </w:rPr>
        <w:t>68</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9.02.</w:t>
      </w:r>
      <w:r>
        <w:rPr>
          <w:sz w:val="20"/>
          <w:szCs w:val="20"/>
          <w:color w:val="auto"/>
        </w:rPr>
        <w:tab/>
      </w:r>
      <w:r>
        <w:rPr>
          <w:rFonts w:ascii="Courier New" w:cs="Courier New" w:eastAsia="Courier New" w:hAnsi="Courier New"/>
          <w:sz w:val="14"/>
          <w:szCs w:val="14"/>
          <w:color w:val="auto"/>
        </w:rPr>
        <w:t>With Consent of Holders of Notes</w:t>
      </w:r>
      <w:r>
        <w:rPr>
          <w:sz w:val="20"/>
          <w:szCs w:val="20"/>
          <w:color w:val="auto"/>
        </w:rPr>
        <w:tab/>
      </w:r>
      <w:r>
        <w:rPr>
          <w:rFonts w:ascii="Courier New" w:cs="Courier New" w:eastAsia="Courier New" w:hAnsi="Courier New"/>
          <w:sz w:val="14"/>
          <w:szCs w:val="14"/>
          <w:color w:val="auto"/>
        </w:rPr>
        <w:t>68</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9.03.</w:t>
      </w:r>
      <w:r>
        <w:rPr>
          <w:sz w:val="20"/>
          <w:szCs w:val="20"/>
          <w:color w:val="auto"/>
        </w:rPr>
        <w:tab/>
      </w:r>
      <w:r>
        <w:rPr>
          <w:rFonts w:ascii="Courier New" w:cs="Courier New" w:eastAsia="Courier New" w:hAnsi="Courier New"/>
          <w:sz w:val="14"/>
          <w:szCs w:val="14"/>
          <w:color w:val="auto"/>
        </w:rPr>
        <w:t>Compliance with Trust Indenture Act</w:t>
      </w:r>
      <w:r>
        <w:rPr>
          <w:sz w:val="20"/>
          <w:szCs w:val="20"/>
          <w:color w:val="auto"/>
        </w:rPr>
        <w:tab/>
      </w:r>
      <w:r>
        <w:rPr>
          <w:rFonts w:ascii="Courier New" w:cs="Courier New" w:eastAsia="Courier New" w:hAnsi="Courier New"/>
          <w:sz w:val="14"/>
          <w:szCs w:val="14"/>
          <w:color w:val="auto"/>
        </w:rPr>
        <w:t>70</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9.04.</w:t>
      </w:r>
      <w:r>
        <w:rPr>
          <w:sz w:val="20"/>
          <w:szCs w:val="20"/>
          <w:color w:val="auto"/>
        </w:rPr>
        <w:tab/>
      </w:r>
      <w:r>
        <w:rPr>
          <w:rFonts w:ascii="Courier New" w:cs="Courier New" w:eastAsia="Courier New" w:hAnsi="Courier New"/>
          <w:sz w:val="14"/>
          <w:szCs w:val="14"/>
          <w:color w:val="auto"/>
        </w:rPr>
        <w:t>Revocation and Effect of Consents</w:t>
      </w:r>
      <w:r>
        <w:rPr>
          <w:sz w:val="20"/>
          <w:szCs w:val="20"/>
          <w:color w:val="auto"/>
        </w:rPr>
        <w:tab/>
      </w:r>
      <w:r>
        <w:rPr>
          <w:rFonts w:ascii="Courier New" w:cs="Courier New" w:eastAsia="Courier New" w:hAnsi="Courier New"/>
          <w:sz w:val="14"/>
          <w:szCs w:val="14"/>
          <w:color w:val="auto"/>
        </w:rPr>
        <w:t>70</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9.05.</w:t>
      </w:r>
      <w:r>
        <w:rPr>
          <w:sz w:val="20"/>
          <w:szCs w:val="20"/>
          <w:color w:val="auto"/>
        </w:rPr>
        <w:tab/>
      </w:r>
      <w:r>
        <w:rPr>
          <w:rFonts w:ascii="Courier New" w:cs="Courier New" w:eastAsia="Courier New" w:hAnsi="Courier New"/>
          <w:sz w:val="14"/>
          <w:szCs w:val="14"/>
          <w:color w:val="auto"/>
        </w:rPr>
        <w:t>Notation on or Exchange of Notes</w:t>
      </w:r>
      <w:r>
        <w:rPr>
          <w:sz w:val="20"/>
          <w:szCs w:val="20"/>
          <w:color w:val="auto"/>
        </w:rPr>
        <w:tab/>
      </w:r>
      <w:r>
        <w:rPr>
          <w:rFonts w:ascii="Courier New" w:cs="Courier New" w:eastAsia="Courier New" w:hAnsi="Courier New"/>
          <w:sz w:val="14"/>
          <w:szCs w:val="14"/>
          <w:color w:val="auto"/>
        </w:rPr>
        <w:t>70</w:t>
      </w:r>
    </w:p>
    <w:p>
      <w:pPr>
        <w:spacing w:after="0" w:line="8" w:lineRule="exact"/>
        <w:rPr>
          <w:sz w:val="20"/>
          <w:szCs w:val="20"/>
          <w:color w:val="auto"/>
        </w:rPr>
      </w:pPr>
    </w:p>
    <w:p>
      <w:pPr>
        <w:spacing w:after="0"/>
        <w:tabs>
          <w:tab w:leader="none" w:pos="1460" w:val="left"/>
          <w:tab w:leader="dot" w:pos="8220" w:val="left"/>
        </w:tabs>
        <w:rPr>
          <w:sz w:val="20"/>
          <w:szCs w:val="20"/>
          <w:color w:val="auto"/>
        </w:rPr>
      </w:pPr>
      <w:r>
        <w:rPr>
          <w:rFonts w:ascii="Courier New" w:cs="Courier New" w:eastAsia="Courier New" w:hAnsi="Courier New"/>
          <w:sz w:val="14"/>
          <w:szCs w:val="14"/>
          <w:color w:val="auto"/>
        </w:rPr>
        <w:t>Section 9.06.</w:t>
      </w:r>
      <w:r>
        <w:rPr>
          <w:sz w:val="20"/>
          <w:szCs w:val="20"/>
          <w:color w:val="auto"/>
        </w:rPr>
        <w:tab/>
      </w:r>
      <w:r>
        <w:rPr>
          <w:rFonts w:ascii="Courier New" w:cs="Courier New" w:eastAsia="Courier New" w:hAnsi="Courier New"/>
          <w:sz w:val="14"/>
          <w:szCs w:val="14"/>
          <w:color w:val="auto"/>
        </w:rPr>
        <w:t>Trustee to Sign Amendments, etc</w:t>
      </w:r>
      <w:r>
        <w:rPr>
          <w:sz w:val="20"/>
          <w:szCs w:val="20"/>
          <w:color w:val="auto"/>
        </w:rPr>
        <w:tab/>
      </w:r>
      <w:r>
        <w:rPr>
          <w:rFonts w:ascii="Courier New" w:cs="Courier New" w:eastAsia="Courier New" w:hAnsi="Courier New"/>
          <w:sz w:val="14"/>
          <w:szCs w:val="14"/>
          <w:color w:val="auto"/>
        </w:rPr>
        <w:t>70</w:t>
      </w:r>
    </w:p>
    <w:p>
      <w:pPr>
        <w:spacing w:after="0" w:line="342"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ARTICLE 10.</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SUBORDINATION</w:t>
      </w:r>
    </w:p>
    <w:p>
      <w:pPr>
        <w:spacing w:after="0" w:line="175"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10.01.</w:t>
      </w:r>
      <w:r>
        <w:rPr>
          <w:sz w:val="20"/>
          <w:szCs w:val="20"/>
          <w:color w:val="auto"/>
        </w:rPr>
        <w:tab/>
      </w:r>
      <w:r>
        <w:rPr>
          <w:rFonts w:ascii="Courier New" w:cs="Courier New" w:eastAsia="Courier New" w:hAnsi="Courier New"/>
          <w:sz w:val="14"/>
          <w:szCs w:val="14"/>
          <w:color w:val="auto"/>
        </w:rPr>
        <w:t>Agreement to Subordinate</w:t>
      </w:r>
      <w:r>
        <w:rPr>
          <w:sz w:val="20"/>
          <w:szCs w:val="20"/>
          <w:color w:val="auto"/>
        </w:rPr>
        <w:tab/>
      </w:r>
      <w:r>
        <w:rPr>
          <w:rFonts w:ascii="Courier New" w:cs="Courier New" w:eastAsia="Courier New" w:hAnsi="Courier New"/>
          <w:sz w:val="14"/>
          <w:szCs w:val="14"/>
          <w:color w:val="auto"/>
        </w:rPr>
        <w:t>71</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10.02.</w:t>
      </w:r>
      <w:r>
        <w:rPr>
          <w:sz w:val="20"/>
          <w:szCs w:val="20"/>
          <w:color w:val="auto"/>
        </w:rPr>
        <w:tab/>
      </w:r>
      <w:r>
        <w:rPr>
          <w:rFonts w:ascii="Courier New" w:cs="Courier New" w:eastAsia="Courier New" w:hAnsi="Courier New"/>
          <w:sz w:val="14"/>
          <w:szCs w:val="14"/>
          <w:color w:val="auto"/>
        </w:rPr>
        <w:t>Liquidation; Dissolution; Bankruptcy</w:t>
      </w:r>
      <w:r>
        <w:rPr>
          <w:sz w:val="20"/>
          <w:szCs w:val="20"/>
          <w:color w:val="auto"/>
        </w:rPr>
        <w:tab/>
      </w:r>
      <w:r>
        <w:rPr>
          <w:rFonts w:ascii="Courier New" w:cs="Courier New" w:eastAsia="Courier New" w:hAnsi="Courier New"/>
          <w:sz w:val="14"/>
          <w:szCs w:val="14"/>
          <w:color w:val="auto"/>
        </w:rPr>
        <w:t>71</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10.03.</w:t>
      </w:r>
      <w:r>
        <w:rPr>
          <w:sz w:val="20"/>
          <w:szCs w:val="20"/>
          <w:color w:val="auto"/>
        </w:rPr>
        <w:tab/>
      </w:r>
      <w:r>
        <w:rPr>
          <w:rFonts w:ascii="Courier New" w:cs="Courier New" w:eastAsia="Courier New" w:hAnsi="Courier New"/>
          <w:sz w:val="14"/>
          <w:szCs w:val="14"/>
          <w:color w:val="auto"/>
        </w:rPr>
        <w:t>Default on Designated Senior Debt</w:t>
      </w:r>
      <w:r>
        <w:rPr>
          <w:sz w:val="20"/>
          <w:szCs w:val="20"/>
          <w:color w:val="auto"/>
        </w:rPr>
        <w:tab/>
      </w:r>
      <w:r>
        <w:rPr>
          <w:rFonts w:ascii="Courier New" w:cs="Courier New" w:eastAsia="Courier New" w:hAnsi="Courier New"/>
          <w:sz w:val="14"/>
          <w:szCs w:val="14"/>
          <w:color w:val="auto"/>
        </w:rPr>
        <w:t>71</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10.04.</w:t>
      </w:r>
      <w:r>
        <w:rPr>
          <w:sz w:val="20"/>
          <w:szCs w:val="20"/>
          <w:color w:val="auto"/>
        </w:rPr>
        <w:tab/>
      </w:r>
      <w:r>
        <w:rPr>
          <w:rFonts w:ascii="Courier New" w:cs="Courier New" w:eastAsia="Courier New" w:hAnsi="Courier New"/>
          <w:sz w:val="14"/>
          <w:szCs w:val="14"/>
          <w:color w:val="auto"/>
        </w:rPr>
        <w:t>Acceleration of Notes</w:t>
      </w:r>
      <w:r>
        <w:rPr>
          <w:sz w:val="20"/>
          <w:szCs w:val="20"/>
          <w:color w:val="auto"/>
        </w:rPr>
        <w:tab/>
      </w:r>
      <w:r>
        <w:rPr>
          <w:rFonts w:ascii="Courier New" w:cs="Courier New" w:eastAsia="Courier New" w:hAnsi="Courier New"/>
          <w:sz w:val="14"/>
          <w:szCs w:val="14"/>
          <w:color w:val="auto"/>
        </w:rPr>
        <w:t>72</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10.05.</w:t>
      </w:r>
      <w:r>
        <w:rPr>
          <w:sz w:val="20"/>
          <w:szCs w:val="20"/>
          <w:color w:val="auto"/>
        </w:rPr>
        <w:tab/>
      </w:r>
      <w:r>
        <w:rPr>
          <w:rFonts w:ascii="Courier New" w:cs="Courier New" w:eastAsia="Courier New" w:hAnsi="Courier New"/>
          <w:sz w:val="14"/>
          <w:szCs w:val="14"/>
          <w:color w:val="auto"/>
        </w:rPr>
        <w:t>When Distribution Must Be Paid Over</w:t>
      </w:r>
      <w:r>
        <w:rPr>
          <w:sz w:val="20"/>
          <w:szCs w:val="20"/>
          <w:color w:val="auto"/>
        </w:rPr>
        <w:tab/>
      </w:r>
      <w:r>
        <w:rPr>
          <w:rFonts w:ascii="Courier New" w:cs="Courier New" w:eastAsia="Courier New" w:hAnsi="Courier New"/>
          <w:sz w:val="14"/>
          <w:szCs w:val="14"/>
          <w:color w:val="auto"/>
        </w:rPr>
        <w:t>72</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10.06.</w:t>
      </w:r>
      <w:r>
        <w:rPr>
          <w:sz w:val="20"/>
          <w:szCs w:val="20"/>
          <w:color w:val="auto"/>
        </w:rPr>
        <w:tab/>
      </w:r>
      <w:r>
        <w:rPr>
          <w:rFonts w:ascii="Courier New" w:cs="Courier New" w:eastAsia="Courier New" w:hAnsi="Courier New"/>
          <w:sz w:val="14"/>
          <w:szCs w:val="14"/>
          <w:color w:val="auto"/>
        </w:rPr>
        <w:t>Notice by Company</w:t>
      </w:r>
      <w:r>
        <w:rPr>
          <w:sz w:val="20"/>
          <w:szCs w:val="20"/>
          <w:color w:val="auto"/>
        </w:rPr>
        <w:tab/>
      </w:r>
      <w:r>
        <w:rPr>
          <w:rFonts w:ascii="Courier New" w:cs="Courier New" w:eastAsia="Courier New" w:hAnsi="Courier New"/>
          <w:sz w:val="14"/>
          <w:szCs w:val="14"/>
          <w:color w:val="auto"/>
        </w:rPr>
        <w:t>73</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10.07.</w:t>
      </w:r>
      <w:r>
        <w:rPr>
          <w:sz w:val="20"/>
          <w:szCs w:val="20"/>
          <w:color w:val="auto"/>
        </w:rPr>
        <w:tab/>
      </w:r>
      <w:r>
        <w:rPr>
          <w:rFonts w:ascii="Courier New" w:cs="Courier New" w:eastAsia="Courier New" w:hAnsi="Courier New"/>
          <w:sz w:val="14"/>
          <w:szCs w:val="14"/>
          <w:color w:val="auto"/>
        </w:rPr>
        <w:t>Subrogation</w:t>
      </w:r>
      <w:r>
        <w:rPr>
          <w:sz w:val="20"/>
          <w:szCs w:val="20"/>
          <w:color w:val="auto"/>
        </w:rPr>
        <w:tab/>
      </w:r>
      <w:r>
        <w:rPr>
          <w:rFonts w:ascii="Courier New" w:cs="Courier New" w:eastAsia="Courier New" w:hAnsi="Courier New"/>
          <w:sz w:val="14"/>
          <w:szCs w:val="14"/>
          <w:color w:val="auto"/>
        </w:rPr>
        <w:t>73</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10.08.</w:t>
      </w:r>
      <w:r>
        <w:rPr>
          <w:sz w:val="20"/>
          <w:szCs w:val="20"/>
          <w:color w:val="auto"/>
        </w:rPr>
        <w:tab/>
      </w:r>
      <w:r>
        <w:rPr>
          <w:rFonts w:ascii="Courier New" w:cs="Courier New" w:eastAsia="Courier New" w:hAnsi="Courier New"/>
          <w:sz w:val="14"/>
          <w:szCs w:val="14"/>
          <w:color w:val="auto"/>
        </w:rPr>
        <w:t>Relative Rights</w:t>
      </w:r>
      <w:r>
        <w:rPr>
          <w:sz w:val="20"/>
          <w:szCs w:val="20"/>
          <w:color w:val="auto"/>
        </w:rPr>
        <w:tab/>
      </w:r>
      <w:r>
        <w:rPr>
          <w:rFonts w:ascii="Courier New" w:cs="Courier New" w:eastAsia="Courier New" w:hAnsi="Courier New"/>
          <w:sz w:val="14"/>
          <w:szCs w:val="14"/>
          <w:color w:val="auto"/>
        </w:rPr>
        <w:t>73</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10.09.</w:t>
      </w:r>
      <w:r>
        <w:rPr>
          <w:sz w:val="20"/>
          <w:szCs w:val="20"/>
          <w:color w:val="auto"/>
        </w:rPr>
        <w:tab/>
      </w:r>
      <w:r>
        <w:rPr>
          <w:rFonts w:ascii="Courier New" w:cs="Courier New" w:eastAsia="Courier New" w:hAnsi="Courier New"/>
          <w:sz w:val="14"/>
          <w:szCs w:val="14"/>
          <w:color w:val="auto"/>
        </w:rPr>
        <w:t>Subordination May Not Be Impaired by Company</w:t>
      </w:r>
      <w:r>
        <w:rPr>
          <w:sz w:val="20"/>
          <w:szCs w:val="20"/>
          <w:color w:val="auto"/>
        </w:rPr>
        <w:tab/>
      </w:r>
      <w:r>
        <w:rPr>
          <w:rFonts w:ascii="Courier New" w:cs="Courier New" w:eastAsia="Courier New" w:hAnsi="Courier New"/>
          <w:sz w:val="14"/>
          <w:szCs w:val="14"/>
          <w:color w:val="auto"/>
        </w:rPr>
        <w:t>73</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10.10.</w:t>
      </w:r>
      <w:r>
        <w:rPr>
          <w:sz w:val="20"/>
          <w:szCs w:val="20"/>
          <w:color w:val="auto"/>
        </w:rPr>
        <w:tab/>
      </w:r>
      <w:r>
        <w:rPr>
          <w:rFonts w:ascii="Courier New" w:cs="Courier New" w:eastAsia="Courier New" w:hAnsi="Courier New"/>
          <w:sz w:val="14"/>
          <w:szCs w:val="14"/>
          <w:color w:val="auto"/>
        </w:rPr>
        <w:t>Distribution or Notice to Representative</w:t>
      </w:r>
      <w:r>
        <w:rPr>
          <w:sz w:val="20"/>
          <w:szCs w:val="20"/>
          <w:color w:val="auto"/>
        </w:rPr>
        <w:tab/>
      </w:r>
      <w:r>
        <w:rPr>
          <w:rFonts w:ascii="Courier New" w:cs="Courier New" w:eastAsia="Courier New" w:hAnsi="Courier New"/>
          <w:sz w:val="14"/>
          <w:szCs w:val="14"/>
          <w:color w:val="auto"/>
        </w:rPr>
        <w:t>73</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10.11.</w:t>
      </w:r>
      <w:r>
        <w:rPr>
          <w:sz w:val="20"/>
          <w:szCs w:val="20"/>
          <w:color w:val="auto"/>
        </w:rPr>
        <w:tab/>
      </w:r>
      <w:r>
        <w:rPr>
          <w:rFonts w:ascii="Courier New" w:cs="Courier New" w:eastAsia="Courier New" w:hAnsi="Courier New"/>
          <w:sz w:val="14"/>
          <w:szCs w:val="14"/>
          <w:color w:val="auto"/>
        </w:rPr>
        <w:t>Rights of Trustee and Paying Agent</w:t>
      </w:r>
      <w:r>
        <w:rPr>
          <w:sz w:val="20"/>
          <w:szCs w:val="20"/>
          <w:color w:val="auto"/>
        </w:rPr>
        <w:tab/>
      </w:r>
      <w:r>
        <w:rPr>
          <w:rFonts w:ascii="Courier New" w:cs="Courier New" w:eastAsia="Courier New" w:hAnsi="Courier New"/>
          <w:sz w:val="14"/>
          <w:szCs w:val="14"/>
          <w:color w:val="auto"/>
        </w:rPr>
        <w:t>74</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10.12.</w:t>
      </w:r>
      <w:r>
        <w:rPr>
          <w:sz w:val="20"/>
          <w:szCs w:val="20"/>
          <w:color w:val="auto"/>
        </w:rPr>
        <w:tab/>
      </w:r>
      <w:r>
        <w:rPr>
          <w:rFonts w:ascii="Courier New" w:cs="Courier New" w:eastAsia="Courier New" w:hAnsi="Courier New"/>
          <w:sz w:val="14"/>
          <w:szCs w:val="14"/>
          <w:color w:val="auto"/>
        </w:rPr>
        <w:t>Authorization to Effect Subordination</w:t>
      </w:r>
      <w:r>
        <w:rPr>
          <w:sz w:val="20"/>
          <w:szCs w:val="20"/>
          <w:color w:val="auto"/>
        </w:rPr>
        <w:tab/>
      </w:r>
      <w:r>
        <w:rPr>
          <w:rFonts w:ascii="Courier New" w:cs="Courier New" w:eastAsia="Courier New" w:hAnsi="Courier New"/>
          <w:sz w:val="14"/>
          <w:szCs w:val="14"/>
          <w:color w:val="auto"/>
        </w:rPr>
        <w:t>74</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10.13.</w:t>
      </w:r>
      <w:r>
        <w:rPr>
          <w:sz w:val="20"/>
          <w:szCs w:val="20"/>
          <w:color w:val="auto"/>
        </w:rPr>
        <w:tab/>
      </w:r>
      <w:r>
        <w:rPr>
          <w:rFonts w:ascii="Courier New" w:cs="Courier New" w:eastAsia="Courier New" w:hAnsi="Courier New"/>
          <w:sz w:val="14"/>
          <w:szCs w:val="14"/>
          <w:color w:val="auto"/>
        </w:rPr>
        <w:t>Amendments</w:t>
      </w:r>
      <w:r>
        <w:rPr>
          <w:sz w:val="20"/>
          <w:szCs w:val="20"/>
          <w:color w:val="auto"/>
        </w:rPr>
        <w:tab/>
      </w:r>
      <w:r>
        <w:rPr>
          <w:rFonts w:ascii="Courier New" w:cs="Courier New" w:eastAsia="Courier New" w:hAnsi="Courier New"/>
          <w:sz w:val="14"/>
          <w:szCs w:val="14"/>
          <w:color w:val="auto"/>
        </w:rPr>
        <w:t>74</w:t>
      </w:r>
    </w:p>
    <w:p>
      <w:pPr>
        <w:spacing w:after="0" w:line="342"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ARTICLE 11.</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SUBSIDIARY GUARANTEES</w:t>
      </w:r>
    </w:p>
    <w:p>
      <w:pPr>
        <w:spacing w:after="0" w:line="175"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11.01.</w:t>
      </w:r>
      <w:r>
        <w:rPr>
          <w:sz w:val="20"/>
          <w:szCs w:val="20"/>
          <w:color w:val="auto"/>
        </w:rPr>
        <w:tab/>
      </w:r>
      <w:r>
        <w:rPr>
          <w:rFonts w:ascii="Courier New" w:cs="Courier New" w:eastAsia="Courier New" w:hAnsi="Courier New"/>
          <w:sz w:val="14"/>
          <w:szCs w:val="14"/>
          <w:color w:val="auto"/>
        </w:rPr>
        <w:t>Guarantee</w:t>
      </w:r>
      <w:r>
        <w:rPr>
          <w:sz w:val="20"/>
          <w:szCs w:val="20"/>
          <w:color w:val="auto"/>
        </w:rPr>
        <w:tab/>
      </w:r>
      <w:r>
        <w:rPr>
          <w:rFonts w:ascii="Courier New" w:cs="Courier New" w:eastAsia="Courier New" w:hAnsi="Courier New"/>
          <w:sz w:val="14"/>
          <w:szCs w:val="14"/>
          <w:color w:val="auto"/>
        </w:rPr>
        <w:t>74</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11.02.</w:t>
      </w:r>
      <w:r>
        <w:rPr>
          <w:sz w:val="20"/>
          <w:szCs w:val="20"/>
          <w:color w:val="auto"/>
        </w:rPr>
        <w:tab/>
      </w:r>
      <w:r>
        <w:rPr>
          <w:rFonts w:ascii="Courier New" w:cs="Courier New" w:eastAsia="Courier New" w:hAnsi="Courier New"/>
          <w:sz w:val="14"/>
          <w:szCs w:val="14"/>
          <w:color w:val="auto"/>
        </w:rPr>
        <w:t>Subordination of Subsidiary Guarantee</w:t>
      </w:r>
      <w:r>
        <w:rPr>
          <w:sz w:val="20"/>
          <w:szCs w:val="20"/>
          <w:color w:val="auto"/>
        </w:rPr>
        <w:tab/>
      </w:r>
      <w:r>
        <w:rPr>
          <w:rFonts w:ascii="Courier New" w:cs="Courier New" w:eastAsia="Courier New" w:hAnsi="Courier New"/>
          <w:sz w:val="14"/>
          <w:szCs w:val="14"/>
          <w:color w:val="auto"/>
        </w:rPr>
        <w:t>75</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11.03.</w:t>
      </w:r>
      <w:r>
        <w:rPr>
          <w:sz w:val="20"/>
          <w:szCs w:val="20"/>
          <w:color w:val="auto"/>
        </w:rPr>
        <w:tab/>
      </w:r>
      <w:r>
        <w:rPr>
          <w:rFonts w:ascii="Courier New" w:cs="Courier New" w:eastAsia="Courier New" w:hAnsi="Courier New"/>
          <w:sz w:val="14"/>
          <w:szCs w:val="14"/>
          <w:color w:val="auto"/>
        </w:rPr>
        <w:t>Limitation on Guarantor Liability</w:t>
      </w:r>
      <w:r>
        <w:rPr>
          <w:sz w:val="20"/>
          <w:szCs w:val="20"/>
          <w:color w:val="auto"/>
        </w:rPr>
        <w:tab/>
      </w:r>
      <w:r>
        <w:rPr>
          <w:rFonts w:ascii="Courier New" w:cs="Courier New" w:eastAsia="Courier New" w:hAnsi="Courier New"/>
          <w:sz w:val="14"/>
          <w:szCs w:val="14"/>
          <w:color w:val="auto"/>
        </w:rPr>
        <w:t>75</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11.04.</w:t>
      </w:r>
      <w:r>
        <w:rPr>
          <w:sz w:val="20"/>
          <w:szCs w:val="20"/>
          <w:color w:val="auto"/>
        </w:rPr>
        <w:tab/>
      </w:r>
      <w:r>
        <w:rPr>
          <w:rFonts w:ascii="Courier New" w:cs="Courier New" w:eastAsia="Courier New" w:hAnsi="Courier New"/>
          <w:sz w:val="14"/>
          <w:szCs w:val="14"/>
          <w:color w:val="auto"/>
        </w:rPr>
        <w:t>Execution and Delivery of Subsidiary Guarantee</w:t>
      </w:r>
      <w:r>
        <w:rPr>
          <w:sz w:val="20"/>
          <w:szCs w:val="20"/>
          <w:color w:val="auto"/>
        </w:rPr>
        <w:tab/>
      </w:r>
      <w:r>
        <w:rPr>
          <w:rFonts w:ascii="Courier New" w:cs="Courier New" w:eastAsia="Courier New" w:hAnsi="Courier New"/>
          <w:sz w:val="14"/>
          <w:szCs w:val="14"/>
          <w:color w:val="auto"/>
        </w:rPr>
        <w:t>76</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11.05.</w:t>
      </w:r>
      <w:r>
        <w:rPr>
          <w:sz w:val="20"/>
          <w:szCs w:val="20"/>
          <w:color w:val="auto"/>
        </w:rPr>
        <w:tab/>
      </w:r>
      <w:r>
        <w:rPr>
          <w:rFonts w:ascii="Courier New" w:cs="Courier New" w:eastAsia="Courier New" w:hAnsi="Courier New"/>
          <w:sz w:val="14"/>
          <w:szCs w:val="14"/>
          <w:color w:val="auto"/>
        </w:rPr>
        <w:t>Guarantors May Consolidate, etc., on Certain Terms</w:t>
      </w:r>
      <w:r>
        <w:rPr>
          <w:sz w:val="20"/>
          <w:szCs w:val="20"/>
          <w:color w:val="auto"/>
        </w:rPr>
        <w:tab/>
      </w:r>
      <w:r>
        <w:rPr>
          <w:rFonts w:ascii="Courier New" w:cs="Courier New" w:eastAsia="Courier New" w:hAnsi="Courier New"/>
          <w:sz w:val="14"/>
          <w:szCs w:val="14"/>
          <w:color w:val="auto"/>
        </w:rPr>
        <w:t>76</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11.06.</w:t>
      </w:r>
      <w:r>
        <w:rPr>
          <w:sz w:val="20"/>
          <w:szCs w:val="20"/>
          <w:color w:val="auto"/>
        </w:rPr>
        <w:tab/>
      </w:r>
      <w:r>
        <w:rPr>
          <w:rFonts w:ascii="Courier New" w:cs="Courier New" w:eastAsia="Courier New" w:hAnsi="Courier New"/>
          <w:sz w:val="14"/>
          <w:szCs w:val="14"/>
          <w:color w:val="auto"/>
        </w:rPr>
        <w:t>Releases Following Sale of Assets</w:t>
      </w:r>
      <w:r>
        <w:rPr>
          <w:sz w:val="20"/>
          <w:szCs w:val="20"/>
          <w:color w:val="auto"/>
        </w:rPr>
        <w:tab/>
      </w:r>
      <w:r>
        <w:rPr>
          <w:rFonts w:ascii="Courier New" w:cs="Courier New" w:eastAsia="Courier New" w:hAnsi="Courier New"/>
          <w:sz w:val="14"/>
          <w:szCs w:val="14"/>
          <w:color w:val="auto"/>
        </w:rPr>
        <w:t>77</w:t>
      </w:r>
    </w:p>
    <w:p>
      <w:pPr>
        <w:spacing w:after="0" w:line="342"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ARTICLE 12.</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SATISFACTION AND DISCHARGE</w:t>
      </w:r>
    </w:p>
    <w:p>
      <w:pPr>
        <w:spacing w:after="0" w:line="175" w:lineRule="exact"/>
        <w:rPr>
          <w:sz w:val="20"/>
          <w:szCs w:val="20"/>
          <w:color w:val="auto"/>
        </w:rPr>
      </w:pPr>
    </w:p>
    <w:p>
      <w:pPr>
        <w:spacing w:after="0"/>
        <w:tabs>
          <w:tab w:leader="none" w:pos="1360" w:val="left"/>
          <w:tab w:leader="dot" w:pos="8220" w:val="left"/>
        </w:tabs>
        <w:rPr>
          <w:sz w:val="20"/>
          <w:szCs w:val="20"/>
          <w:color w:val="auto"/>
        </w:rPr>
      </w:pPr>
      <w:r>
        <w:rPr>
          <w:rFonts w:ascii="Courier New" w:cs="Courier New" w:eastAsia="Courier New" w:hAnsi="Courier New"/>
          <w:sz w:val="14"/>
          <w:szCs w:val="14"/>
          <w:color w:val="auto"/>
        </w:rPr>
        <w:t>Section 12.01.</w:t>
        <w:tab/>
        <w:t>Satisfaction and Discharge</w:t>
      </w:r>
      <w:r>
        <w:rPr>
          <w:sz w:val="20"/>
          <w:szCs w:val="20"/>
          <w:color w:val="auto"/>
        </w:rPr>
        <w:tab/>
      </w:r>
      <w:r>
        <w:rPr>
          <w:rFonts w:ascii="Courier New" w:cs="Courier New" w:eastAsia="Courier New" w:hAnsi="Courier New"/>
          <w:sz w:val="14"/>
          <w:szCs w:val="14"/>
          <w:color w:val="auto"/>
        </w:rPr>
        <w:t>77</w:t>
      </w:r>
    </w:p>
    <w:p>
      <w:pPr>
        <w:spacing w:after="0" w:line="8" w:lineRule="exact"/>
        <w:rPr>
          <w:sz w:val="20"/>
          <w:szCs w:val="20"/>
          <w:color w:val="auto"/>
        </w:rPr>
      </w:pPr>
    </w:p>
    <w:p>
      <w:pPr>
        <w:spacing w:after="0"/>
        <w:tabs>
          <w:tab w:leader="none" w:pos="1360" w:val="left"/>
          <w:tab w:leader="dot" w:pos="8220" w:val="left"/>
        </w:tabs>
        <w:rPr>
          <w:sz w:val="20"/>
          <w:szCs w:val="20"/>
          <w:color w:val="auto"/>
        </w:rPr>
      </w:pPr>
      <w:r>
        <w:rPr>
          <w:rFonts w:ascii="Courier New" w:cs="Courier New" w:eastAsia="Courier New" w:hAnsi="Courier New"/>
          <w:sz w:val="14"/>
          <w:szCs w:val="14"/>
          <w:color w:val="auto"/>
        </w:rPr>
        <w:t>Section 12.02.</w:t>
        <w:tab/>
        <w:t>Application of Trust Money</w:t>
      </w:r>
      <w:r>
        <w:rPr>
          <w:sz w:val="20"/>
          <w:szCs w:val="20"/>
          <w:color w:val="auto"/>
        </w:rPr>
        <w:tab/>
      </w:r>
      <w:r>
        <w:rPr>
          <w:rFonts w:ascii="Courier New" w:cs="Courier New" w:eastAsia="Courier New" w:hAnsi="Courier New"/>
          <w:sz w:val="14"/>
          <w:szCs w:val="14"/>
          <w:color w:val="auto"/>
        </w:rPr>
        <w:t>78</w:t>
      </w:r>
    </w:p>
    <w:p>
      <w:pPr>
        <w:spacing w:after="0" w:line="342"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ARTICLE 13.</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13.01.</w:t>
      </w:r>
      <w:r>
        <w:rPr>
          <w:sz w:val="20"/>
          <w:szCs w:val="20"/>
          <w:color w:val="auto"/>
        </w:rPr>
        <w:tab/>
      </w:r>
      <w:r>
        <w:rPr>
          <w:rFonts w:ascii="Courier New" w:cs="Courier New" w:eastAsia="Courier New" w:hAnsi="Courier New"/>
          <w:sz w:val="14"/>
          <w:szCs w:val="14"/>
          <w:color w:val="auto"/>
        </w:rPr>
        <w:t>Trust Indenture Act Controls</w:t>
      </w:r>
      <w:r>
        <w:rPr>
          <w:sz w:val="20"/>
          <w:szCs w:val="20"/>
          <w:color w:val="auto"/>
        </w:rPr>
        <w:tab/>
      </w:r>
      <w:r>
        <w:rPr>
          <w:rFonts w:ascii="Courier New" w:cs="Courier New" w:eastAsia="Courier New" w:hAnsi="Courier New"/>
          <w:sz w:val="14"/>
          <w:szCs w:val="14"/>
          <w:color w:val="auto"/>
        </w:rPr>
        <w:t>78</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13.02.</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78</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13.03.</w:t>
      </w:r>
      <w:r>
        <w:rPr>
          <w:sz w:val="20"/>
          <w:szCs w:val="20"/>
          <w:color w:val="auto"/>
        </w:rPr>
        <w:tab/>
      </w:r>
      <w:r>
        <w:rPr>
          <w:rFonts w:ascii="Courier New" w:cs="Courier New" w:eastAsia="Courier New" w:hAnsi="Courier New"/>
          <w:sz w:val="14"/>
          <w:szCs w:val="14"/>
          <w:color w:val="auto"/>
        </w:rPr>
        <w:t>Communication by Holders of Notes with Other Holders of Notes</w:t>
      </w:r>
      <w:r>
        <w:rPr>
          <w:sz w:val="20"/>
          <w:szCs w:val="20"/>
          <w:color w:val="auto"/>
        </w:rPr>
        <w:tab/>
      </w:r>
      <w:r>
        <w:rPr>
          <w:rFonts w:ascii="Courier New" w:cs="Courier New" w:eastAsia="Courier New" w:hAnsi="Courier New"/>
          <w:sz w:val="14"/>
          <w:szCs w:val="14"/>
          <w:color w:val="auto"/>
        </w:rPr>
        <w:t>79</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13.04.</w:t>
      </w:r>
      <w:r>
        <w:rPr>
          <w:sz w:val="20"/>
          <w:szCs w:val="20"/>
          <w:color w:val="auto"/>
        </w:rPr>
        <w:tab/>
      </w:r>
      <w:r>
        <w:rPr>
          <w:rFonts w:ascii="Courier New" w:cs="Courier New" w:eastAsia="Courier New" w:hAnsi="Courier New"/>
          <w:sz w:val="14"/>
          <w:szCs w:val="14"/>
          <w:color w:val="auto"/>
        </w:rPr>
        <w:t>Certificate and Opinion as to Conditions Precedent</w:t>
      </w:r>
      <w:r>
        <w:rPr>
          <w:sz w:val="20"/>
          <w:szCs w:val="20"/>
          <w:color w:val="auto"/>
        </w:rPr>
        <w:tab/>
      </w:r>
      <w:r>
        <w:rPr>
          <w:rFonts w:ascii="Courier New" w:cs="Courier New" w:eastAsia="Courier New" w:hAnsi="Courier New"/>
          <w:sz w:val="14"/>
          <w:szCs w:val="14"/>
          <w:color w:val="auto"/>
        </w:rPr>
        <w:t>80</w:t>
      </w:r>
    </w:p>
    <w:p>
      <w:pPr>
        <w:spacing w:after="0" w:line="8" w:lineRule="exact"/>
        <w:rPr>
          <w:sz w:val="20"/>
          <w:szCs w:val="20"/>
          <w:color w:val="auto"/>
        </w:rPr>
      </w:pPr>
    </w:p>
    <w:p>
      <w:pPr>
        <w:spacing w:after="0"/>
        <w:tabs>
          <w:tab w:leader="none" w:pos="1540" w:val="left"/>
          <w:tab w:leader="dot" w:pos="8220" w:val="left"/>
        </w:tabs>
        <w:rPr>
          <w:sz w:val="20"/>
          <w:szCs w:val="20"/>
          <w:color w:val="auto"/>
        </w:rPr>
      </w:pPr>
      <w:r>
        <w:rPr>
          <w:rFonts w:ascii="Courier New" w:cs="Courier New" w:eastAsia="Courier New" w:hAnsi="Courier New"/>
          <w:sz w:val="14"/>
          <w:szCs w:val="14"/>
          <w:color w:val="auto"/>
        </w:rPr>
        <w:t>Section 13.05.</w:t>
      </w:r>
      <w:r>
        <w:rPr>
          <w:sz w:val="20"/>
          <w:szCs w:val="20"/>
          <w:color w:val="auto"/>
        </w:rPr>
        <w:tab/>
      </w:r>
      <w:r>
        <w:rPr>
          <w:rFonts w:ascii="Courier New" w:cs="Courier New" w:eastAsia="Courier New" w:hAnsi="Courier New"/>
          <w:sz w:val="14"/>
          <w:szCs w:val="14"/>
          <w:color w:val="auto"/>
        </w:rPr>
        <w:t>Statements Required in Certificate or Opinion</w:t>
      </w:r>
      <w:r>
        <w:rPr>
          <w:sz w:val="20"/>
          <w:szCs w:val="20"/>
          <w:color w:val="auto"/>
        </w:rPr>
        <w:tab/>
      </w:r>
      <w:r>
        <w:rPr>
          <w:rFonts w:ascii="Courier New" w:cs="Courier New" w:eastAsia="Courier New" w:hAnsi="Courier New"/>
          <w:sz w:val="14"/>
          <w:szCs w:val="14"/>
          <w:color w:val="auto"/>
        </w:rPr>
        <w:t>80</w:t>
      </w:r>
    </w:p>
    <w:p>
      <w:pPr>
        <w:spacing w:after="0" w:line="200" w:lineRule="exact"/>
        <w:rPr>
          <w:sz w:val="20"/>
          <w:szCs w:val="20"/>
          <w:color w:val="auto"/>
        </w:rPr>
      </w:pPr>
    </w:p>
    <w:p>
      <w:pPr>
        <w:spacing w:after="0" w:line="30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139"/>
          </w:cols>
          <w:pgMar w:left="320" w:top="954" w:right="1440" w:bottom="1440" w:gutter="0" w:footer="0" w:header="0"/>
        </w:sectPr>
      </w:pPr>
    </w:p>
    <w:bookmarkStart w:id="116" w:name="page117"/>
    <w:bookmarkEnd w:id="116"/>
    <w:p>
      <w:pPr>
        <w:jc w:val="right"/>
        <w:ind w:right="1559"/>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ind w:right="1559"/>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100"/>
        <w:spacing w:after="0"/>
        <w:tabs>
          <w:tab w:leader="none" w:pos="1640" w:val="left"/>
          <w:tab w:leader="dot" w:pos="8320" w:val="left"/>
        </w:tabs>
        <w:rPr>
          <w:sz w:val="20"/>
          <w:szCs w:val="20"/>
          <w:color w:val="auto"/>
        </w:rPr>
      </w:pPr>
      <w:r>
        <w:rPr>
          <w:rFonts w:ascii="Courier New" w:cs="Courier New" w:eastAsia="Courier New" w:hAnsi="Courier New"/>
          <w:sz w:val="14"/>
          <w:szCs w:val="14"/>
          <w:color w:val="auto"/>
        </w:rPr>
        <w:t>Section 13.06.</w:t>
      </w:r>
      <w:r>
        <w:rPr>
          <w:sz w:val="20"/>
          <w:szCs w:val="20"/>
          <w:color w:val="auto"/>
        </w:rPr>
        <w:tab/>
      </w:r>
      <w:r>
        <w:rPr>
          <w:rFonts w:ascii="Courier New" w:cs="Courier New" w:eastAsia="Courier New" w:hAnsi="Courier New"/>
          <w:sz w:val="14"/>
          <w:szCs w:val="14"/>
          <w:color w:val="auto"/>
        </w:rPr>
        <w:t>Rules by Trustee and Agents</w:t>
      </w:r>
      <w:r>
        <w:rPr>
          <w:sz w:val="20"/>
          <w:szCs w:val="20"/>
          <w:color w:val="auto"/>
        </w:rPr>
        <w:tab/>
      </w:r>
      <w:r>
        <w:rPr>
          <w:rFonts w:ascii="Courier New" w:cs="Courier New" w:eastAsia="Courier New" w:hAnsi="Courier New"/>
          <w:sz w:val="14"/>
          <w:szCs w:val="14"/>
          <w:color w:val="auto"/>
        </w:rPr>
        <w:t>80</w:t>
      </w:r>
    </w:p>
    <w:p>
      <w:pPr>
        <w:spacing w:after="0" w:line="8" w:lineRule="exact"/>
        <w:rPr>
          <w:sz w:val="20"/>
          <w:szCs w:val="20"/>
          <w:color w:val="auto"/>
        </w:rPr>
      </w:pPr>
    </w:p>
    <w:p>
      <w:pPr>
        <w:ind w:left="100"/>
        <w:spacing w:after="0"/>
        <w:tabs>
          <w:tab w:leader="none" w:pos="1640" w:val="left"/>
          <w:tab w:leader="dot" w:pos="8320" w:val="left"/>
        </w:tabs>
        <w:rPr>
          <w:sz w:val="20"/>
          <w:szCs w:val="20"/>
          <w:color w:val="auto"/>
        </w:rPr>
      </w:pPr>
      <w:r>
        <w:rPr>
          <w:rFonts w:ascii="Courier New" w:cs="Courier New" w:eastAsia="Courier New" w:hAnsi="Courier New"/>
          <w:sz w:val="14"/>
          <w:szCs w:val="14"/>
          <w:color w:val="auto"/>
        </w:rPr>
        <w:t>Section 13.07.</w:t>
      </w:r>
      <w:r>
        <w:rPr>
          <w:sz w:val="20"/>
          <w:szCs w:val="20"/>
          <w:color w:val="auto"/>
        </w:rPr>
        <w:tab/>
      </w:r>
      <w:r>
        <w:rPr>
          <w:rFonts w:ascii="Courier New" w:cs="Courier New" w:eastAsia="Courier New" w:hAnsi="Courier New"/>
          <w:sz w:val="14"/>
          <w:szCs w:val="14"/>
          <w:color w:val="auto"/>
        </w:rPr>
        <w:t>No Personal Liability of Directors, Officers, Employees and Stockholders</w:t>
      </w:r>
      <w:r>
        <w:rPr>
          <w:sz w:val="20"/>
          <w:szCs w:val="20"/>
          <w:color w:val="auto"/>
        </w:rPr>
        <w:tab/>
      </w:r>
      <w:r>
        <w:rPr>
          <w:rFonts w:ascii="Courier New" w:cs="Courier New" w:eastAsia="Courier New" w:hAnsi="Courier New"/>
          <w:sz w:val="14"/>
          <w:szCs w:val="14"/>
          <w:color w:val="auto"/>
        </w:rPr>
        <w:t>80</w:t>
      </w:r>
    </w:p>
    <w:p>
      <w:pPr>
        <w:spacing w:after="0" w:line="8" w:lineRule="exact"/>
        <w:rPr>
          <w:sz w:val="20"/>
          <w:szCs w:val="20"/>
          <w:color w:val="auto"/>
        </w:rPr>
      </w:pPr>
    </w:p>
    <w:p>
      <w:pPr>
        <w:ind w:left="100"/>
        <w:spacing w:after="0"/>
        <w:tabs>
          <w:tab w:leader="none" w:pos="1640" w:val="left"/>
          <w:tab w:leader="dot" w:pos="8320" w:val="left"/>
        </w:tabs>
        <w:rPr>
          <w:sz w:val="20"/>
          <w:szCs w:val="20"/>
          <w:color w:val="auto"/>
        </w:rPr>
      </w:pPr>
      <w:r>
        <w:rPr>
          <w:rFonts w:ascii="Courier New" w:cs="Courier New" w:eastAsia="Courier New" w:hAnsi="Courier New"/>
          <w:sz w:val="14"/>
          <w:szCs w:val="14"/>
          <w:color w:val="auto"/>
        </w:rPr>
        <w:t>Section 13.08.</w:t>
      </w:r>
      <w:r>
        <w:rPr>
          <w:sz w:val="20"/>
          <w:szCs w:val="20"/>
          <w:color w:val="auto"/>
        </w:rPr>
        <w:tab/>
      </w:r>
      <w:r>
        <w:rPr>
          <w:rFonts w:ascii="Courier New" w:cs="Courier New" w:eastAsia="Courier New" w:hAnsi="Courier New"/>
          <w:sz w:val="14"/>
          <w:szCs w:val="14"/>
          <w:color w:val="auto"/>
        </w:rPr>
        <w:t>Governing Law</w:t>
      </w:r>
      <w:r>
        <w:rPr>
          <w:sz w:val="20"/>
          <w:szCs w:val="20"/>
          <w:color w:val="auto"/>
        </w:rPr>
        <w:tab/>
      </w:r>
      <w:r>
        <w:rPr>
          <w:rFonts w:ascii="Courier New" w:cs="Courier New" w:eastAsia="Courier New" w:hAnsi="Courier New"/>
          <w:sz w:val="14"/>
          <w:szCs w:val="14"/>
          <w:color w:val="auto"/>
        </w:rPr>
        <w:t>80</w:t>
      </w:r>
    </w:p>
    <w:p>
      <w:pPr>
        <w:spacing w:after="0" w:line="8" w:lineRule="exact"/>
        <w:rPr>
          <w:sz w:val="20"/>
          <w:szCs w:val="20"/>
          <w:color w:val="auto"/>
        </w:rPr>
      </w:pPr>
    </w:p>
    <w:p>
      <w:pPr>
        <w:ind w:left="100"/>
        <w:spacing w:after="0"/>
        <w:tabs>
          <w:tab w:leader="none" w:pos="1640" w:val="left"/>
          <w:tab w:leader="dot" w:pos="8320" w:val="left"/>
        </w:tabs>
        <w:rPr>
          <w:sz w:val="20"/>
          <w:szCs w:val="20"/>
          <w:color w:val="auto"/>
        </w:rPr>
      </w:pPr>
      <w:r>
        <w:rPr>
          <w:rFonts w:ascii="Courier New" w:cs="Courier New" w:eastAsia="Courier New" w:hAnsi="Courier New"/>
          <w:sz w:val="14"/>
          <w:szCs w:val="14"/>
          <w:color w:val="auto"/>
        </w:rPr>
        <w:t>Section 13.09.</w:t>
      </w:r>
      <w:r>
        <w:rPr>
          <w:sz w:val="20"/>
          <w:szCs w:val="20"/>
          <w:color w:val="auto"/>
        </w:rPr>
        <w:tab/>
      </w:r>
      <w:r>
        <w:rPr>
          <w:rFonts w:ascii="Courier New" w:cs="Courier New" w:eastAsia="Courier New" w:hAnsi="Courier New"/>
          <w:sz w:val="14"/>
          <w:szCs w:val="14"/>
          <w:color w:val="auto"/>
        </w:rPr>
        <w:t>Submission to Jurisdiction; Service of Process; Waiver of Jury Trial</w:t>
      </w:r>
      <w:r>
        <w:rPr>
          <w:sz w:val="20"/>
          <w:szCs w:val="20"/>
          <w:color w:val="auto"/>
        </w:rPr>
        <w:tab/>
      </w:r>
      <w:r>
        <w:rPr>
          <w:rFonts w:ascii="Courier New" w:cs="Courier New" w:eastAsia="Courier New" w:hAnsi="Courier New"/>
          <w:sz w:val="14"/>
          <w:szCs w:val="14"/>
          <w:color w:val="auto"/>
        </w:rPr>
        <w:t>81</w:t>
      </w:r>
    </w:p>
    <w:p>
      <w:pPr>
        <w:spacing w:after="0" w:line="8" w:lineRule="exact"/>
        <w:rPr>
          <w:sz w:val="20"/>
          <w:szCs w:val="20"/>
          <w:color w:val="auto"/>
        </w:rPr>
      </w:pPr>
    </w:p>
    <w:p>
      <w:pPr>
        <w:ind w:left="100"/>
        <w:spacing w:after="0"/>
        <w:tabs>
          <w:tab w:leader="none" w:pos="1640" w:val="left"/>
          <w:tab w:leader="dot" w:pos="8320" w:val="left"/>
        </w:tabs>
        <w:rPr>
          <w:sz w:val="20"/>
          <w:szCs w:val="20"/>
          <w:color w:val="auto"/>
        </w:rPr>
      </w:pPr>
      <w:r>
        <w:rPr>
          <w:rFonts w:ascii="Courier New" w:cs="Courier New" w:eastAsia="Courier New" w:hAnsi="Courier New"/>
          <w:sz w:val="14"/>
          <w:szCs w:val="14"/>
          <w:color w:val="auto"/>
        </w:rPr>
        <w:t>Section 13.10.</w:t>
      </w:r>
      <w:r>
        <w:rPr>
          <w:sz w:val="20"/>
          <w:szCs w:val="20"/>
          <w:color w:val="auto"/>
        </w:rPr>
        <w:tab/>
      </w:r>
      <w:r>
        <w:rPr>
          <w:rFonts w:ascii="Courier New" w:cs="Courier New" w:eastAsia="Courier New" w:hAnsi="Courier New"/>
          <w:sz w:val="14"/>
          <w:szCs w:val="14"/>
          <w:color w:val="auto"/>
        </w:rPr>
        <w:t>No Adverse Interpretation of Other Agreements</w:t>
      </w:r>
      <w:r>
        <w:rPr>
          <w:sz w:val="20"/>
          <w:szCs w:val="20"/>
          <w:color w:val="auto"/>
        </w:rPr>
        <w:tab/>
      </w:r>
      <w:r>
        <w:rPr>
          <w:rFonts w:ascii="Courier New" w:cs="Courier New" w:eastAsia="Courier New" w:hAnsi="Courier New"/>
          <w:sz w:val="14"/>
          <w:szCs w:val="14"/>
          <w:color w:val="auto"/>
        </w:rPr>
        <w:t>81</w:t>
      </w:r>
    </w:p>
    <w:p>
      <w:pPr>
        <w:spacing w:after="0" w:line="8" w:lineRule="exact"/>
        <w:rPr>
          <w:sz w:val="20"/>
          <w:szCs w:val="20"/>
          <w:color w:val="auto"/>
        </w:rPr>
      </w:pPr>
    </w:p>
    <w:p>
      <w:pPr>
        <w:ind w:left="100"/>
        <w:spacing w:after="0"/>
        <w:tabs>
          <w:tab w:leader="none" w:pos="1640" w:val="left"/>
          <w:tab w:leader="dot" w:pos="8320" w:val="left"/>
        </w:tabs>
        <w:rPr>
          <w:sz w:val="20"/>
          <w:szCs w:val="20"/>
          <w:color w:val="auto"/>
        </w:rPr>
      </w:pPr>
      <w:r>
        <w:rPr>
          <w:rFonts w:ascii="Courier New" w:cs="Courier New" w:eastAsia="Courier New" w:hAnsi="Courier New"/>
          <w:sz w:val="14"/>
          <w:szCs w:val="14"/>
          <w:color w:val="auto"/>
        </w:rPr>
        <w:t>Section 13.11.</w:t>
      </w:r>
      <w:r>
        <w:rPr>
          <w:sz w:val="20"/>
          <w:szCs w:val="20"/>
          <w:color w:val="auto"/>
        </w:rPr>
        <w:tab/>
      </w:r>
      <w:r>
        <w:rPr>
          <w:rFonts w:ascii="Courier New" w:cs="Courier New" w:eastAsia="Courier New" w:hAnsi="Courier New"/>
          <w:sz w:val="14"/>
          <w:szCs w:val="14"/>
          <w:color w:val="auto"/>
        </w:rPr>
        <w:t>Successors</w:t>
      </w:r>
      <w:r>
        <w:rPr>
          <w:sz w:val="20"/>
          <w:szCs w:val="20"/>
          <w:color w:val="auto"/>
        </w:rPr>
        <w:tab/>
      </w:r>
      <w:r>
        <w:rPr>
          <w:rFonts w:ascii="Courier New" w:cs="Courier New" w:eastAsia="Courier New" w:hAnsi="Courier New"/>
          <w:sz w:val="14"/>
          <w:szCs w:val="14"/>
          <w:color w:val="auto"/>
        </w:rPr>
        <w:t>81</w:t>
      </w:r>
    </w:p>
    <w:p>
      <w:pPr>
        <w:spacing w:after="0" w:line="8" w:lineRule="exact"/>
        <w:rPr>
          <w:sz w:val="20"/>
          <w:szCs w:val="20"/>
          <w:color w:val="auto"/>
        </w:rPr>
      </w:pPr>
    </w:p>
    <w:p>
      <w:pPr>
        <w:ind w:left="100"/>
        <w:spacing w:after="0"/>
        <w:tabs>
          <w:tab w:leader="none" w:pos="1640" w:val="left"/>
          <w:tab w:leader="dot" w:pos="8320" w:val="left"/>
        </w:tabs>
        <w:rPr>
          <w:sz w:val="20"/>
          <w:szCs w:val="20"/>
          <w:color w:val="auto"/>
        </w:rPr>
      </w:pPr>
      <w:r>
        <w:rPr>
          <w:rFonts w:ascii="Courier New" w:cs="Courier New" w:eastAsia="Courier New" w:hAnsi="Courier New"/>
          <w:sz w:val="14"/>
          <w:szCs w:val="14"/>
          <w:color w:val="auto"/>
        </w:rPr>
        <w:t>Section 13.12.</w:t>
      </w:r>
      <w:r>
        <w:rPr>
          <w:sz w:val="20"/>
          <w:szCs w:val="20"/>
          <w:color w:val="auto"/>
        </w:rPr>
        <w:tab/>
      </w:r>
      <w:r>
        <w:rPr>
          <w:rFonts w:ascii="Courier New" w:cs="Courier New" w:eastAsia="Courier New" w:hAnsi="Courier New"/>
          <w:sz w:val="14"/>
          <w:szCs w:val="14"/>
          <w:color w:val="auto"/>
        </w:rPr>
        <w:t>Severability</w:t>
      </w:r>
      <w:r>
        <w:rPr>
          <w:sz w:val="20"/>
          <w:szCs w:val="20"/>
          <w:color w:val="auto"/>
        </w:rPr>
        <w:tab/>
      </w:r>
      <w:r>
        <w:rPr>
          <w:rFonts w:ascii="Courier New" w:cs="Courier New" w:eastAsia="Courier New" w:hAnsi="Courier New"/>
          <w:sz w:val="14"/>
          <w:szCs w:val="14"/>
          <w:color w:val="auto"/>
        </w:rPr>
        <w:t>81</w:t>
      </w:r>
    </w:p>
    <w:p>
      <w:pPr>
        <w:spacing w:after="0" w:line="8" w:lineRule="exact"/>
        <w:rPr>
          <w:sz w:val="20"/>
          <w:szCs w:val="20"/>
          <w:color w:val="auto"/>
        </w:rPr>
      </w:pPr>
    </w:p>
    <w:p>
      <w:pPr>
        <w:ind w:left="100"/>
        <w:spacing w:after="0"/>
        <w:tabs>
          <w:tab w:leader="none" w:pos="1640" w:val="left"/>
          <w:tab w:leader="dot" w:pos="8320" w:val="left"/>
        </w:tabs>
        <w:rPr>
          <w:sz w:val="20"/>
          <w:szCs w:val="20"/>
          <w:color w:val="auto"/>
        </w:rPr>
      </w:pPr>
      <w:r>
        <w:rPr>
          <w:rFonts w:ascii="Courier New" w:cs="Courier New" w:eastAsia="Courier New" w:hAnsi="Courier New"/>
          <w:sz w:val="14"/>
          <w:szCs w:val="14"/>
          <w:color w:val="auto"/>
        </w:rPr>
        <w:t>Section 13.13.</w:t>
      </w:r>
      <w:r>
        <w:rPr>
          <w:sz w:val="20"/>
          <w:szCs w:val="20"/>
          <w:color w:val="auto"/>
        </w:rPr>
        <w:tab/>
      </w:r>
      <w:r>
        <w:rPr>
          <w:rFonts w:ascii="Courier New" w:cs="Courier New" w:eastAsia="Courier New" w:hAnsi="Courier New"/>
          <w:sz w:val="14"/>
          <w:szCs w:val="14"/>
          <w:color w:val="auto"/>
        </w:rPr>
        <w:t>Counterpart Originals</w:t>
      </w:r>
      <w:r>
        <w:rPr>
          <w:sz w:val="20"/>
          <w:szCs w:val="20"/>
          <w:color w:val="auto"/>
        </w:rPr>
        <w:tab/>
      </w:r>
      <w:r>
        <w:rPr>
          <w:rFonts w:ascii="Courier New" w:cs="Courier New" w:eastAsia="Courier New" w:hAnsi="Courier New"/>
          <w:sz w:val="14"/>
          <w:szCs w:val="14"/>
          <w:color w:val="auto"/>
        </w:rPr>
        <w:t>81</w:t>
      </w:r>
    </w:p>
    <w:p>
      <w:pPr>
        <w:spacing w:after="0" w:line="8" w:lineRule="exact"/>
        <w:rPr>
          <w:sz w:val="20"/>
          <w:szCs w:val="20"/>
          <w:color w:val="auto"/>
        </w:rPr>
      </w:pPr>
    </w:p>
    <w:p>
      <w:pPr>
        <w:ind w:left="100"/>
        <w:spacing w:after="0"/>
        <w:tabs>
          <w:tab w:leader="none" w:pos="1640" w:val="left"/>
          <w:tab w:leader="dot" w:pos="8320" w:val="left"/>
        </w:tabs>
        <w:rPr>
          <w:sz w:val="20"/>
          <w:szCs w:val="20"/>
          <w:color w:val="auto"/>
        </w:rPr>
      </w:pPr>
      <w:r>
        <w:rPr>
          <w:rFonts w:ascii="Courier New" w:cs="Courier New" w:eastAsia="Courier New" w:hAnsi="Courier New"/>
          <w:sz w:val="14"/>
          <w:szCs w:val="14"/>
          <w:color w:val="auto"/>
        </w:rPr>
        <w:t>Section 13.14.</w:t>
      </w:r>
      <w:r>
        <w:rPr>
          <w:sz w:val="20"/>
          <w:szCs w:val="20"/>
          <w:color w:val="auto"/>
        </w:rPr>
        <w:tab/>
      </w:r>
      <w:r>
        <w:rPr>
          <w:rFonts w:ascii="Courier New" w:cs="Courier New" w:eastAsia="Courier New" w:hAnsi="Courier New"/>
          <w:sz w:val="14"/>
          <w:szCs w:val="14"/>
          <w:color w:val="auto"/>
        </w:rPr>
        <w:t>Table of Contents, Headings, etc</w:t>
      </w:r>
      <w:r>
        <w:rPr>
          <w:sz w:val="20"/>
          <w:szCs w:val="20"/>
          <w:color w:val="auto"/>
        </w:rPr>
        <w:tab/>
      </w:r>
      <w:r>
        <w:rPr>
          <w:rFonts w:ascii="Courier New" w:cs="Courier New" w:eastAsia="Courier New" w:hAnsi="Courier New"/>
          <w:sz w:val="14"/>
          <w:szCs w:val="14"/>
          <w:color w:val="auto"/>
        </w:rPr>
        <w:t>81</w:t>
      </w:r>
    </w:p>
    <w:p>
      <w:pPr>
        <w:spacing w:after="0" w:line="175"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EXHIBITS</w:t>
      </w:r>
    </w:p>
    <w:p>
      <w:pPr>
        <w:spacing w:after="0" w:line="17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Exhibit A-1</w:t>
        <w:tab/>
        <w:t>FORM OF NOTE</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Exhibit A-2</w:t>
        <w:tab/>
        <w:t>FORM OF REGULATION S TEMPORARY GLOBAL NOTE</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Exhibit B</w:t>
      </w:r>
      <w:r>
        <w:rPr>
          <w:sz w:val="20"/>
          <w:szCs w:val="20"/>
          <w:color w:val="auto"/>
        </w:rPr>
        <w:tab/>
      </w:r>
      <w:r>
        <w:rPr>
          <w:rFonts w:ascii="Courier New" w:cs="Courier New" w:eastAsia="Courier New" w:hAnsi="Courier New"/>
          <w:sz w:val="14"/>
          <w:szCs w:val="14"/>
          <w:color w:val="auto"/>
        </w:rPr>
        <w:t>FORM OF CERTIFICATE OF TRANSFER</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Exhibit C</w:t>
      </w:r>
      <w:r>
        <w:rPr>
          <w:sz w:val="20"/>
          <w:szCs w:val="20"/>
          <w:color w:val="auto"/>
        </w:rPr>
        <w:tab/>
      </w:r>
      <w:r>
        <w:rPr>
          <w:rFonts w:ascii="Courier New" w:cs="Courier New" w:eastAsia="Courier New" w:hAnsi="Courier New"/>
          <w:sz w:val="14"/>
          <w:szCs w:val="14"/>
          <w:color w:val="auto"/>
        </w:rPr>
        <w:t>FORM OF CERTIFICATE OF EXCHANGE</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Exhibit D</w:t>
      </w:r>
      <w:r>
        <w:rPr>
          <w:sz w:val="20"/>
          <w:szCs w:val="20"/>
          <w:color w:val="auto"/>
        </w:rPr>
        <w:tab/>
      </w:r>
      <w:r>
        <w:rPr>
          <w:rFonts w:ascii="Courier New" w:cs="Courier New" w:eastAsia="Courier New" w:hAnsi="Courier New"/>
          <w:sz w:val="14"/>
          <w:szCs w:val="14"/>
          <w:color w:val="auto"/>
        </w:rPr>
        <w:t>FORM OF CERTIFICATE OF ACQUIRING INSTITUTIONAL ACCREDITED INVESTOR</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Exhibit E</w:t>
      </w:r>
      <w:r>
        <w:rPr>
          <w:sz w:val="20"/>
          <w:szCs w:val="20"/>
          <w:color w:val="auto"/>
        </w:rPr>
        <w:tab/>
      </w:r>
      <w:r>
        <w:rPr>
          <w:rFonts w:ascii="Courier New" w:cs="Courier New" w:eastAsia="Courier New" w:hAnsi="Courier New"/>
          <w:sz w:val="14"/>
          <w:szCs w:val="14"/>
          <w:color w:val="auto"/>
        </w:rPr>
        <w:t>FORM OF SUBSIDIARY GUARANTEE</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Exhibit F</w:t>
      </w:r>
      <w:r>
        <w:rPr>
          <w:sz w:val="20"/>
          <w:szCs w:val="20"/>
          <w:color w:val="auto"/>
        </w:rPr>
        <w:tab/>
      </w:r>
      <w:r>
        <w:rPr>
          <w:rFonts w:ascii="Courier New" w:cs="Courier New" w:eastAsia="Courier New" w:hAnsi="Courier New"/>
          <w:sz w:val="14"/>
          <w:szCs w:val="14"/>
          <w:color w:val="auto"/>
        </w:rPr>
        <w:t>FORM OF SUPPLEMENTAL INDENTURE</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954" w:right="1440" w:bottom="1440" w:gutter="0" w:footer="0" w:header="0"/>
        </w:sectPr>
      </w:pPr>
    </w:p>
    <w:bookmarkStart w:id="117" w:name="page118"/>
    <w:bookmarkEnd w:id="117"/>
    <w:p>
      <w:pPr>
        <w:ind w:right="3639" w:firstLine="434"/>
        <w:spacing w:after="0" w:line="254" w:lineRule="auto"/>
        <w:rPr>
          <w:sz w:val="20"/>
          <w:szCs w:val="20"/>
          <w:color w:val="auto"/>
        </w:rPr>
      </w:pPr>
      <w:r>
        <w:rPr>
          <w:rFonts w:ascii="Courier New" w:cs="Courier New" w:eastAsia="Courier New" w:hAnsi="Courier New"/>
          <w:sz w:val="14"/>
          <w:szCs w:val="14"/>
          <w:color w:val="auto"/>
        </w:rPr>
        <w:t>INDENTURE dated as of May 18, 2001 among Radio One, Inc., a Delaware corporation (the "Company"), the Guarantors listed on Schedule I hereto (the "Guarantors") and United States Trust Company of New York, as Trustee (the "Trustee").</w:t>
      </w:r>
    </w:p>
    <w:p>
      <w:pPr>
        <w:spacing w:after="0" w:line="163"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The Company, the Guarantors and the Trustee agree as follows for the benefit of each other and for the equal and ratable benefit of the Holders of the 8 7/8% Senior Subordinated Notes due 2011 (the "Notes"):</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1.</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DEFINITIONS AND INCORPORATION</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BY REFERENCE</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1.01.</w:t>
        <w:tab/>
        <w:t>Definitions.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"144A Global Note" means a global note substantially in the form of Exhibit A-1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"Acquired Debt" means, with respect to any specified Person, (i) 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 (ii) Indebtedness secured by a Lien encumbering any asset acquired by such specified Person.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"Acquisition Debt" means Indebtedness the proceeds of which are utilized solely to (x) acquire all or substantially all of the assets or a majority of the Voting Stock of an existing radio broadcasting business or station or (y) finance an LMA (including to repay or refinance indebtedness or other obligations incurred in connection with such acquisition or LMA, as the case may be, and to pay related fees and expenses).</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"Additional Notes" means up to $200.0 million aggregate principal amount of Notes (other than the Initial Notes) issued under this Indenture in accordance with Sections 2.02 and 4.09 hereof, as part of the same series as the Initial Notes.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"Agent" means any Registrar, Paying Agent or co-registrar.</w:t>
      </w:r>
    </w:p>
    <w:p>
      <w:pPr>
        <w:spacing w:after="0" w:line="175"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"Applicable Procedures" means, with respect to any transfer or exchange of or for beneficial interests in any Global Note, the rules and procedures of the Depositary, Euroclear and Clearstream that apply to such transfer or exchange.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"Asset Sale" means:</w:t>
      </w:r>
    </w:p>
    <w:p>
      <w:pPr>
        <w:spacing w:after="0" w:line="175" w:lineRule="exact"/>
        <w:rPr>
          <w:sz w:val="20"/>
          <w:szCs w:val="20"/>
          <w:color w:val="auto"/>
        </w:rPr>
      </w:pPr>
    </w:p>
    <w:p>
      <w:pPr>
        <w:ind w:left="440" w:right="3379" w:firstLine="437"/>
        <w:spacing w:after="0" w:line="253" w:lineRule="auto"/>
        <w:tabs>
          <w:tab w:leader="none" w:pos="1221"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lease, conveyance or other disposition of any assets or rights, other than in the ordinary course of business; provided that the sale, conveyance or other disposition of all or substantially all of the assets of the Company and the its Subsidiaries taken as a whole will be governed by the provisions of this Indenture described in Sections 4.15 and/or 5.01 and not by the provisions of Section 4.10; and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20" w:right="1440" w:bottom="1440" w:gutter="0" w:footer="0" w:header="0"/>
        </w:sectPr>
      </w:pPr>
    </w:p>
    <w:bookmarkStart w:id="118" w:name="page119"/>
    <w:bookmarkEnd w:id="118"/>
    <w:p>
      <w:pPr>
        <w:ind w:left="440" w:right="3799" w:firstLine="437"/>
        <w:spacing w:after="0" w:line="255" w:lineRule="auto"/>
        <w:tabs>
          <w:tab w:leader="none" w:pos="122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of Equity Interests in any of the Company's Restricted Subsidiaries or the sale of Equity Interests in any of its Restricted Subsidiaries.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Notwithstanding the preceding, the following items will not be deemed to be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Asset Sales:</w:t>
      </w:r>
    </w:p>
    <w:p>
      <w:pPr>
        <w:spacing w:after="0" w:line="175" w:lineRule="exact"/>
        <w:rPr>
          <w:sz w:val="20"/>
          <w:szCs w:val="20"/>
          <w:color w:val="auto"/>
        </w:rPr>
      </w:pPr>
    </w:p>
    <w:p>
      <w:pPr>
        <w:ind w:left="440" w:right="3719" w:firstLine="437"/>
        <w:spacing w:after="0" w:line="258" w:lineRule="auto"/>
        <w:tabs>
          <w:tab w:leader="none" w:pos="122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single transaction or series of related transactions that involves assets having a fair market value of $1.0 million or less;</w:t>
      </w:r>
    </w:p>
    <w:p>
      <w:pPr>
        <w:spacing w:after="0" w:line="159" w:lineRule="exact"/>
        <w:rPr>
          <w:rFonts w:ascii="Courier New" w:cs="Courier New" w:eastAsia="Courier New" w:hAnsi="Courier New"/>
          <w:sz w:val="14"/>
          <w:szCs w:val="14"/>
          <w:color w:val="auto"/>
        </w:rPr>
      </w:pPr>
    </w:p>
    <w:p>
      <w:pPr>
        <w:ind w:left="440" w:right="4059" w:firstLine="437"/>
        <w:spacing w:after="0" w:line="258" w:lineRule="auto"/>
        <w:tabs>
          <w:tab w:leader="none" w:pos="122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transfer of assets between or among the Company and its Subsidiaries;</w:t>
      </w:r>
    </w:p>
    <w:p>
      <w:pPr>
        <w:spacing w:after="0" w:line="159" w:lineRule="exact"/>
        <w:rPr>
          <w:rFonts w:ascii="Courier New" w:cs="Courier New" w:eastAsia="Courier New" w:hAnsi="Courier New"/>
          <w:sz w:val="14"/>
          <w:szCs w:val="14"/>
          <w:color w:val="auto"/>
        </w:rPr>
      </w:pPr>
    </w:p>
    <w:p>
      <w:pPr>
        <w:ind w:left="440" w:right="3379" w:firstLine="437"/>
        <w:spacing w:after="0" w:line="258" w:lineRule="auto"/>
        <w:tabs>
          <w:tab w:leader="none" w:pos="122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issuance of Equity Interests by a Subsidiary to the Company or to another Subsidiary;</w:t>
      </w:r>
    </w:p>
    <w:p>
      <w:pPr>
        <w:spacing w:after="0" w:line="159" w:lineRule="exact"/>
        <w:rPr>
          <w:rFonts w:ascii="Courier New" w:cs="Courier New" w:eastAsia="Courier New" w:hAnsi="Courier New"/>
          <w:sz w:val="14"/>
          <w:szCs w:val="14"/>
          <w:color w:val="auto"/>
        </w:rPr>
      </w:pPr>
    </w:p>
    <w:p>
      <w:pPr>
        <w:ind w:left="440" w:right="3379" w:firstLine="437"/>
        <w:spacing w:after="0" w:line="258" w:lineRule="auto"/>
        <w:tabs>
          <w:tab w:leader="none" w:pos="122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or lease of equipment, inventory, accounts receivable or other assets in the ordinary course of business;</w:t>
      </w:r>
    </w:p>
    <w:p>
      <w:pPr>
        <w:spacing w:after="0" w:line="159" w:lineRule="exact"/>
        <w:rPr>
          <w:rFonts w:ascii="Courier New" w:cs="Courier New" w:eastAsia="Courier New" w:hAnsi="Courier New"/>
          <w:sz w:val="14"/>
          <w:szCs w:val="14"/>
          <w:color w:val="auto"/>
        </w:rPr>
      </w:pPr>
    </w:p>
    <w:p>
      <w:pPr>
        <w:ind w:left="440" w:right="3979" w:firstLine="437"/>
        <w:spacing w:after="0" w:line="258" w:lineRule="auto"/>
        <w:tabs>
          <w:tab w:leader="none" w:pos="122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and leaseback of any assets within 90 days of the acquisition thereof;</w:t>
      </w:r>
    </w:p>
    <w:p>
      <w:pPr>
        <w:spacing w:after="0" w:line="159"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foreclosures on assets;</w:t>
      </w:r>
    </w:p>
    <w:p>
      <w:pPr>
        <w:spacing w:after="0" w:line="175" w:lineRule="exact"/>
        <w:rPr>
          <w:rFonts w:ascii="Courier New" w:cs="Courier New" w:eastAsia="Courier New" w:hAnsi="Courier New"/>
          <w:sz w:val="14"/>
          <w:szCs w:val="14"/>
          <w:color w:val="auto"/>
        </w:rPr>
      </w:pPr>
    </w:p>
    <w:p>
      <w:pPr>
        <w:ind w:left="440" w:right="3799" w:firstLine="437"/>
        <w:spacing w:after="0" w:line="258" w:lineRule="auto"/>
        <w:tabs>
          <w:tab w:leader="none" w:pos="122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disposition of equipment no longer used or useful in the business of such entity;</w:t>
      </w:r>
    </w:p>
    <w:p>
      <w:pPr>
        <w:spacing w:after="0" w:line="159"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or other disposition of cash or Cash Equivalents;</w:t>
      </w:r>
    </w:p>
    <w:p>
      <w:pPr>
        <w:spacing w:after="0" w:line="175" w:lineRule="exact"/>
        <w:rPr>
          <w:rFonts w:ascii="Courier New" w:cs="Courier New" w:eastAsia="Courier New" w:hAnsi="Courier New"/>
          <w:sz w:val="14"/>
          <w:szCs w:val="14"/>
          <w:color w:val="auto"/>
        </w:rPr>
      </w:pPr>
    </w:p>
    <w:p>
      <w:pPr>
        <w:ind w:left="440" w:right="3379" w:firstLine="437"/>
        <w:spacing w:after="0" w:line="258" w:lineRule="auto"/>
        <w:tabs>
          <w:tab w:leader="none" w:pos="122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Restricted Payment or Permitted Investment that is permitted by Section 4.07; and</w:t>
      </w:r>
    </w:p>
    <w:p>
      <w:pPr>
        <w:spacing w:after="0" w:line="159" w:lineRule="exact"/>
        <w:rPr>
          <w:rFonts w:ascii="Courier New" w:cs="Courier New" w:eastAsia="Courier New" w:hAnsi="Courier New"/>
          <w:sz w:val="14"/>
          <w:szCs w:val="14"/>
          <w:color w:val="auto"/>
        </w:rPr>
      </w:pPr>
    </w:p>
    <w:p>
      <w:pPr>
        <w:ind w:left="1320" w:hanging="443"/>
        <w:spacing w:after="0"/>
        <w:tabs>
          <w:tab w:leader="none" w:pos="132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licensing of intellectual property.</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"Bankruptcy Law" means Title 11, U.S. Code or any similar federal or state law for the relief of debtors.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"Beneficial Owner"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have a corresponding meaning.</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"Board of Directors" means:</w:t>
      </w:r>
    </w:p>
    <w:p>
      <w:pPr>
        <w:spacing w:after="0" w:line="175" w:lineRule="exact"/>
        <w:rPr>
          <w:sz w:val="20"/>
          <w:szCs w:val="20"/>
          <w:color w:val="auto"/>
        </w:rPr>
      </w:pPr>
    </w:p>
    <w:p>
      <w:pPr>
        <w:ind w:left="440" w:right="3799" w:firstLine="437"/>
        <w:spacing w:after="0" w:line="258" w:lineRule="auto"/>
        <w:tabs>
          <w:tab w:leader="none" w:pos="122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 corporation, the board of directors of the corporation;</w:t>
      </w:r>
    </w:p>
    <w:p>
      <w:pPr>
        <w:spacing w:after="0" w:line="159" w:lineRule="exact"/>
        <w:rPr>
          <w:rFonts w:ascii="Courier New" w:cs="Courier New" w:eastAsia="Courier New" w:hAnsi="Courier New"/>
          <w:sz w:val="14"/>
          <w:szCs w:val="14"/>
          <w:color w:val="auto"/>
        </w:rPr>
      </w:pPr>
    </w:p>
    <w:p>
      <w:pPr>
        <w:ind w:left="440" w:right="3799" w:firstLine="437"/>
        <w:spacing w:after="0" w:line="258" w:lineRule="auto"/>
        <w:tabs>
          <w:tab w:leader="none" w:pos="122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 partnership, the board of directors of the general partner of the partnership; and</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119" w:name="page120"/>
    <w:bookmarkEnd w:id="119"/>
    <w:p>
      <w:pPr>
        <w:ind w:left="440" w:right="3459" w:firstLine="437"/>
        <w:spacing w:after="0" w:line="258" w:lineRule="auto"/>
        <w:tabs>
          <w:tab w:leader="none" w:pos="1221"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other Person, the board or committee of such Person having a similar function.</w:t>
      </w:r>
    </w:p>
    <w:p>
      <w:pPr>
        <w:spacing w:after="0" w:line="160"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"Broker-Dealer" has the meaning set forth in the Registration Rights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"Business Day" means any day other than a Legal Holiday.</w:t>
      </w:r>
    </w:p>
    <w:p>
      <w:pPr>
        <w:spacing w:after="0" w:line="175" w:lineRule="exact"/>
        <w:rPr>
          <w:sz w:val="20"/>
          <w:szCs w:val="20"/>
          <w:color w:val="auto"/>
        </w:rPr>
      </w:pPr>
    </w:p>
    <w:p>
      <w:pPr>
        <w:jc w:val="both"/>
        <w:ind w:right="3539" w:firstLine="434"/>
        <w:spacing w:after="0" w:line="254" w:lineRule="auto"/>
        <w:rPr>
          <w:sz w:val="20"/>
          <w:szCs w:val="20"/>
          <w:color w:val="auto"/>
        </w:rPr>
      </w:pPr>
      <w:r>
        <w:rPr>
          <w:rFonts w:ascii="Courier New" w:cs="Courier New" w:eastAsia="Courier New" w:hAnsi="Courier New"/>
          <w:sz w:val="14"/>
          <w:szCs w:val="14"/>
          <w:color w:val="auto"/>
        </w:rPr>
        <w:t>"Capital Lease Obligation" means, at the time any determination is to be made, the amount of the liability in respect of a capital lease that would at that time be required to be capitalized on a balance sheet in accordance with GAAP.</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"Capital Stock" means:</w:t>
      </w:r>
    </w:p>
    <w:p>
      <w:pPr>
        <w:spacing w:after="0" w:line="175" w:lineRule="exact"/>
        <w:rPr>
          <w:sz w:val="20"/>
          <w:szCs w:val="20"/>
          <w:color w:val="auto"/>
        </w:rPr>
      </w:pPr>
    </w:p>
    <w:p>
      <w:pPr>
        <w:ind w:left="1220" w:hanging="343"/>
        <w:spacing w:after="0"/>
        <w:tabs>
          <w:tab w:leader="none" w:pos="122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corporation, corporate stock;</w:t>
      </w:r>
    </w:p>
    <w:p>
      <w:pPr>
        <w:spacing w:after="0" w:line="175" w:lineRule="exact"/>
        <w:rPr>
          <w:rFonts w:ascii="Courier New" w:cs="Courier New" w:eastAsia="Courier New" w:hAnsi="Courier New"/>
          <w:sz w:val="14"/>
          <w:szCs w:val="14"/>
          <w:color w:val="auto"/>
        </w:rPr>
      </w:pPr>
    </w:p>
    <w:p>
      <w:pPr>
        <w:ind w:left="440" w:right="3639" w:firstLine="437"/>
        <w:spacing w:after="0" w:line="255" w:lineRule="auto"/>
        <w:tabs>
          <w:tab w:leader="none" w:pos="122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association or business entity, any and all shares, interests, participations, rights or other equivalents (however designated) of corporate stock;</w:t>
      </w:r>
    </w:p>
    <w:p>
      <w:pPr>
        <w:spacing w:after="0" w:line="162" w:lineRule="exact"/>
        <w:rPr>
          <w:rFonts w:ascii="Courier New" w:cs="Courier New" w:eastAsia="Courier New" w:hAnsi="Courier New"/>
          <w:sz w:val="14"/>
          <w:szCs w:val="14"/>
          <w:color w:val="auto"/>
        </w:rPr>
      </w:pPr>
    </w:p>
    <w:p>
      <w:pPr>
        <w:ind w:left="440" w:right="3799" w:firstLine="437"/>
        <w:spacing w:after="0" w:line="258" w:lineRule="auto"/>
        <w:tabs>
          <w:tab w:leader="none" w:pos="122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partnership or limited liability company, partnership or membership interests (whether general or limited); and</w:t>
      </w:r>
    </w:p>
    <w:p>
      <w:pPr>
        <w:spacing w:after="0" w:line="159" w:lineRule="exact"/>
        <w:rPr>
          <w:rFonts w:ascii="Courier New" w:cs="Courier New" w:eastAsia="Courier New" w:hAnsi="Courier New"/>
          <w:sz w:val="14"/>
          <w:szCs w:val="14"/>
          <w:color w:val="auto"/>
        </w:rPr>
      </w:pPr>
    </w:p>
    <w:p>
      <w:pPr>
        <w:ind w:left="440" w:right="3379" w:firstLine="437"/>
        <w:spacing w:after="0" w:line="255" w:lineRule="auto"/>
        <w:tabs>
          <w:tab w:leader="none" w:pos="122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interest or participation that confers on a Person the right to receive a share of the profits and losses of, or distributions of assets of, the issuing Person.</w:t>
      </w:r>
    </w:p>
    <w:p>
      <w:pPr>
        <w:spacing w:after="0" w:line="16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"Cash Equivalents" means (i) United States dollars; (ii) securities issued or directly and fully guaranteed or insured by the United States government or any agency or instrumentality of the United States government having maturities of not more than one year from the date of acquisition; (iii) certificates of deposit and eurodollar time deposits with maturities of one year or less from the date of acquisition, bankers' acceptances with maturities not exceeding one year and overnight bank deposits, in each case, with any lender party to the Credit Facility or any domestic commercial bank having capital and surplus in excess of $500.0 million and a Thomson Bank Watch Rating of "B" or better; (iv) repurchase obligations with a term of not more than 30 days for underlying securities of the types described in clauses (ii) and (iii) above entered into with any financial institution meeting the qualifications specified in clause</w:t>
      </w:r>
    </w:p>
    <w:p>
      <w:pPr>
        <w:spacing w:after="0" w:line="5" w:lineRule="exact"/>
        <w:rPr>
          <w:sz w:val="20"/>
          <w:szCs w:val="20"/>
          <w:color w:val="auto"/>
        </w:rPr>
      </w:pPr>
    </w:p>
    <w:p>
      <w:pPr>
        <w:ind w:right="3279" w:firstLine="9"/>
        <w:spacing w:after="0" w:line="254" w:lineRule="auto"/>
        <w:tabs>
          <w:tab w:leader="none" w:pos="52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(v) commercial paper having one of the two highest ratings obtainable from Moody's Investors Service, Inc. or Standard &amp; Poor's Rating Services and in each case maturing within one year after the date of acquisition; and (vi) money market funds at least 95% of the assets of which constitute Cash Equivalents of the kinds described in clauses (i) through (v) of this definition.</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"Change of Control" means the occurrence of any of the following:</w:t>
      </w:r>
    </w:p>
    <w:p>
      <w:pPr>
        <w:spacing w:after="0" w:line="175" w:lineRule="exact"/>
        <w:rPr>
          <w:sz w:val="20"/>
          <w:szCs w:val="20"/>
          <w:color w:val="auto"/>
        </w:rPr>
      </w:pPr>
    </w:p>
    <w:p>
      <w:pPr>
        <w:ind w:left="440" w:right="3279" w:firstLine="437"/>
        <w:spacing w:after="0" w:line="253" w:lineRule="auto"/>
        <w:tabs>
          <w:tab w:leader="none" w:pos="1221"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 or indirect sale, transfer, conveyance or other disposition (other than by way of merger or consolidation), in one or a series of related transactions, of all or substantially all of the properties or assets of the Company and its Restricted Subsidiaries, taken as a whole to any "person" (as that term is used in Section 13(d)(3) of the Exchange Act) other than a Principal or a Related Party of a Principal;</w:t>
      </w:r>
    </w:p>
    <w:p>
      <w:pPr>
        <w:spacing w:after="0" w:line="165" w:lineRule="exact"/>
        <w:rPr>
          <w:rFonts w:ascii="Courier New" w:cs="Courier New" w:eastAsia="Courier New" w:hAnsi="Courier New"/>
          <w:sz w:val="14"/>
          <w:szCs w:val="14"/>
          <w:color w:val="auto"/>
        </w:rPr>
      </w:pPr>
    </w:p>
    <w:p>
      <w:pPr>
        <w:ind w:left="440" w:right="3379" w:firstLine="437"/>
        <w:spacing w:after="0" w:line="258" w:lineRule="auto"/>
        <w:tabs>
          <w:tab w:leader="none" w:pos="1221"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a plan relating to the liquidation or dissolution of the Company;</w:t>
      </w:r>
    </w:p>
    <w:p>
      <w:pPr>
        <w:spacing w:after="0" w:line="159" w:lineRule="exact"/>
        <w:rPr>
          <w:rFonts w:ascii="Courier New" w:cs="Courier New" w:eastAsia="Courier New" w:hAnsi="Courier New"/>
          <w:sz w:val="14"/>
          <w:szCs w:val="14"/>
          <w:color w:val="auto"/>
        </w:rPr>
      </w:pPr>
    </w:p>
    <w:p>
      <w:pPr>
        <w:ind w:left="440" w:right="3539" w:firstLine="437"/>
        <w:spacing w:after="0" w:line="255" w:lineRule="auto"/>
        <w:tabs>
          <w:tab w:leader="none" w:pos="1221"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any transaction (including, without limitation, any merger or consolidation) the result of which is that any "person" (as defined above), other than the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120" w:name="page121"/>
    <w:bookmarkEnd w:id="120"/>
    <w:p>
      <w:pPr>
        <w:jc w:val="both"/>
        <w:ind w:left="440" w:right="3979"/>
        <w:spacing w:after="0" w:line="255" w:lineRule="auto"/>
        <w:rPr>
          <w:sz w:val="20"/>
          <w:szCs w:val="20"/>
          <w:color w:val="auto"/>
        </w:rPr>
      </w:pPr>
      <w:r>
        <w:rPr>
          <w:rFonts w:ascii="Courier New" w:cs="Courier New" w:eastAsia="Courier New" w:hAnsi="Courier New"/>
          <w:sz w:val="14"/>
          <w:szCs w:val="14"/>
          <w:color w:val="auto"/>
        </w:rPr>
        <w:t>Principals and their Related Parties, becomes the Beneficial Owner, directly or indirectly, of more than 50% of the Voting Stock of the Company, measured by voting power rather than number of shares; or</w:t>
      </w:r>
    </w:p>
    <w:p>
      <w:pPr>
        <w:spacing w:after="0" w:line="162" w:lineRule="exact"/>
        <w:rPr>
          <w:sz w:val="20"/>
          <w:szCs w:val="20"/>
          <w:color w:val="auto"/>
        </w:rPr>
      </w:pPr>
    </w:p>
    <w:p>
      <w:pPr>
        <w:ind w:left="440" w:right="3459" w:firstLine="437"/>
        <w:spacing w:after="0" w:line="258" w:lineRule="auto"/>
        <w:tabs>
          <w:tab w:leader="none" w:pos="1221"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day on which a majority of the members of the Board of Directors of the Company are not Continuing Directors.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"Clearstream" means Clearstream Banking, S.A.</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"Company" means Radio One, Inc., and any and all successors thereto.</w:t>
      </w:r>
    </w:p>
    <w:p>
      <w:pPr>
        <w:spacing w:after="0" w:line="17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"Consolidated Cash Flow" means, with respect to any specified Person for any period, the Consolidated Net Income of such Person for such period plus:</w:t>
      </w:r>
    </w:p>
    <w:p>
      <w:pPr>
        <w:spacing w:after="0" w:line="160" w:lineRule="exact"/>
        <w:rPr>
          <w:sz w:val="20"/>
          <w:szCs w:val="20"/>
          <w:color w:val="auto"/>
        </w:rPr>
      </w:pPr>
    </w:p>
    <w:p>
      <w:pPr>
        <w:ind w:left="440" w:right="3379" w:firstLine="437"/>
        <w:spacing w:after="0" w:line="253" w:lineRule="auto"/>
        <w:tabs>
          <w:tab w:leader="none" w:pos="122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any extraordinary loss plus any net loss, together with any related provision for taxes, realized by such Person or any of its Restricted Subsidiaries in connection with (a) an Asset Sale (including any sale and leaseback transaction), or (b) the disposition of any securities by such Person or any of the Restricted Subsidiaries or the extinguishment of any Indebtedness of such Person or any of the Restricted Subsidiaries, to the extent such losses were deducted in computing such Consolidated Net Income; plus</w:t>
      </w:r>
    </w:p>
    <w:p>
      <w:pPr>
        <w:spacing w:after="0" w:line="164"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for taxes based on income or profits of such Person and its Restricted Subsidiaries for such period, to the extent that such provision for taxes was deducted in computing such Consolidated Net Income; plus</w:t>
      </w:r>
    </w:p>
    <w:p>
      <w:pPr>
        <w:spacing w:after="0" w:line="163"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obligations with respect to any sale and leaseback transcation, all fees, including but not limited to agency fees, letter of credit fees, commitment fees, commissions, discounts and other fees and charges incurred in respect of Indebtedness and net of the effect of all payments made or received pursuant to Hedging Obligations), to the extent that any such expense was deducted in computing such Consolidated Net Income; plus</w:t>
      </w:r>
    </w:p>
    <w:p>
      <w:pPr>
        <w:spacing w:after="0" w:line="330"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depreciation, amortization (including non-cash employee and officer equity compensation expenses, amortization of goodwill and other intangibles, amortization of programming costs and barter expenses, but excluding amortization of prepaid cash expenses that were paid in a prior period) and other non-cash expenses (excluding any such non-cash expense to the extent that it represents amortization of a prepaid cash expense that was paid in a prior period) of such Person and its Restricted Subsidiaries for such period to the extent that such depreciation, amortization and other non-cash expenses were deducted in computing such Consolidated Net Income; plus</w:t>
      </w:r>
    </w:p>
    <w:p>
      <w:pPr>
        <w:spacing w:after="0" w:line="331" w:lineRule="exact"/>
        <w:rPr>
          <w:rFonts w:ascii="Courier New" w:cs="Courier New" w:eastAsia="Courier New" w:hAnsi="Courier New"/>
          <w:sz w:val="14"/>
          <w:szCs w:val="14"/>
          <w:color w:val="auto"/>
        </w:rPr>
      </w:pPr>
    </w:p>
    <w:p>
      <w:pPr>
        <w:ind w:left="440" w:right="3279" w:firstLine="437"/>
        <w:spacing w:after="0" w:line="255" w:lineRule="auto"/>
        <w:tabs>
          <w:tab w:leader="none" w:pos="122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extraordinary or non-recurring expenses of such Person and the Restricted Subsidiaries for such period to the extent that such charges were deducted in computing such Consolidated Net Income; plus</w:t>
      </w:r>
    </w:p>
    <w:p>
      <w:pPr>
        <w:spacing w:after="0" w:line="162" w:lineRule="exact"/>
        <w:rPr>
          <w:rFonts w:ascii="Courier New" w:cs="Courier New" w:eastAsia="Courier New" w:hAnsi="Courier New"/>
          <w:sz w:val="14"/>
          <w:szCs w:val="14"/>
          <w:color w:val="auto"/>
        </w:rPr>
      </w:pPr>
    </w:p>
    <w:p>
      <w:pPr>
        <w:ind w:left="440" w:right="3379" w:firstLine="437"/>
        <w:spacing w:after="0" w:line="258" w:lineRule="auto"/>
        <w:tabs>
          <w:tab w:leader="none" w:pos="122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non-capitalized transaction costs incurred in connection with actual or proposed financings, acquisitions or transactions; minus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121" w:name="page122"/>
    <w:bookmarkEnd w:id="121"/>
    <w:p>
      <w:pPr>
        <w:ind w:left="440" w:right="3539" w:firstLine="437"/>
        <w:spacing w:after="0" w:line="255" w:lineRule="auto"/>
        <w:tabs>
          <w:tab w:leader="none" w:pos="1221"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non-cash items increasing such Consolidated Net Income for such period, other than the accrual of revenue in the ordinary course of business; minus</w:t>
      </w:r>
    </w:p>
    <w:p>
      <w:pPr>
        <w:spacing w:after="0" w:line="162" w:lineRule="exact"/>
        <w:rPr>
          <w:rFonts w:ascii="Courier New" w:cs="Courier New" w:eastAsia="Courier New" w:hAnsi="Courier New"/>
          <w:sz w:val="14"/>
          <w:szCs w:val="14"/>
          <w:color w:val="auto"/>
        </w:rPr>
      </w:pPr>
    </w:p>
    <w:p>
      <w:pPr>
        <w:ind w:left="440" w:right="4159" w:firstLine="437"/>
        <w:spacing w:after="0" w:line="258" w:lineRule="auto"/>
        <w:tabs>
          <w:tab w:leader="none" w:pos="1221"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payments related to non-cash charges that increased Consolidated Cash Flow in any prior period; minus</w:t>
      </w:r>
    </w:p>
    <w:p>
      <w:pPr>
        <w:spacing w:after="0" w:line="159"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barter revenues,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each case, on a consolidated basis and determined in accordance with GAAP.</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Notwithstanding the preceding, the provision for taxes based on the income or profits of, and the depreciation and amortization and other non-cash expenses of, a Subsidiary of the Company will be added to Consolidated Net Income to compute Consolidated Cash Flow of the Company only to the extent that a corresponding amount would be permitted at the date of determination to be dividended to the Company by such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stockholders.</w:t>
      </w:r>
    </w:p>
    <w:p>
      <w:pPr>
        <w:spacing w:after="0" w:line="164"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"Consolidated Interest Expense" means, with respect to any Person for any period, the sum, without duplication of:</w:t>
      </w:r>
    </w:p>
    <w:p>
      <w:pPr>
        <w:spacing w:after="0" w:line="160" w:lineRule="exact"/>
        <w:rPr>
          <w:sz w:val="20"/>
          <w:szCs w:val="20"/>
          <w:color w:val="auto"/>
        </w:rPr>
      </w:pPr>
    </w:p>
    <w:p>
      <w:pPr>
        <w:ind w:left="440" w:right="3279" w:firstLine="437"/>
        <w:spacing w:after="0" w:line="253" w:lineRule="auto"/>
        <w:tabs>
          <w:tab w:leader="none" w:pos="1221"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interest expense of such Person and the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imputed interest with respect to commissions, discounts and other fees and charges incurred in respect of letter of credit or bankers' acceptance financings, and net payments (if any) pursuant to Hedging Obligations);</w:t>
      </w:r>
    </w:p>
    <w:p>
      <w:pPr>
        <w:spacing w:after="0" w:line="331" w:lineRule="exact"/>
        <w:rPr>
          <w:rFonts w:ascii="Courier New" w:cs="Courier New" w:eastAsia="Courier New" w:hAnsi="Courier New"/>
          <w:sz w:val="14"/>
          <w:szCs w:val="14"/>
          <w:color w:val="auto"/>
        </w:rPr>
      </w:pPr>
    </w:p>
    <w:p>
      <w:pPr>
        <w:ind w:left="440" w:right="4159" w:firstLine="437"/>
        <w:spacing w:after="0" w:line="258" w:lineRule="auto"/>
        <w:tabs>
          <w:tab w:leader="none" w:pos="1221"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interest expense of such Person and the Restricted Subsidiaries that was capitalized during such period;</w:t>
      </w:r>
    </w:p>
    <w:p>
      <w:pPr>
        <w:spacing w:after="0" w:line="159" w:lineRule="exact"/>
        <w:rPr>
          <w:rFonts w:ascii="Courier New" w:cs="Courier New" w:eastAsia="Courier New" w:hAnsi="Courier New"/>
          <w:sz w:val="14"/>
          <w:szCs w:val="14"/>
          <w:color w:val="auto"/>
        </w:rPr>
      </w:pPr>
    </w:p>
    <w:p>
      <w:pPr>
        <w:ind w:left="440" w:right="3379" w:firstLine="437"/>
        <w:spacing w:after="0" w:line="254" w:lineRule="auto"/>
        <w:tabs>
          <w:tab w:leader="none" w:pos="1221"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expense on Indebtedness of another Person that is guaranteed by such Person or any of the Restricted Subsidiaries or secured by a Lien on assets of such Person or any of the Restricted Subsidiaries (whether or not such Guarantee or Lien is called upon); and</w:t>
      </w:r>
    </w:p>
    <w:p>
      <w:pPr>
        <w:spacing w:after="0" w:line="163"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product of:</w:t>
      </w:r>
    </w:p>
    <w:p>
      <w:pPr>
        <w:spacing w:after="0" w:line="175" w:lineRule="exact"/>
        <w:rPr>
          <w:rFonts w:ascii="Courier New" w:cs="Courier New" w:eastAsia="Courier New" w:hAnsi="Courier New"/>
          <w:sz w:val="14"/>
          <w:szCs w:val="14"/>
          <w:color w:val="auto"/>
        </w:rPr>
      </w:pPr>
    </w:p>
    <w:p>
      <w:pPr>
        <w:jc w:val="both"/>
        <w:ind w:left="440" w:right="3279" w:firstLine="871"/>
        <w:spacing w:after="0" w:line="255" w:lineRule="auto"/>
        <w:tabs>
          <w:tab w:leader="none" w:pos="1742"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cash dividend payments (and non-cash dividend payments in the case of a Person that is a Restricted Subsidiary) on any series of preferred stock of such Person or any of the Restricted Subsidiaries, times</w:t>
      </w:r>
    </w:p>
    <w:p>
      <w:pPr>
        <w:spacing w:after="0" w:line="162" w:lineRule="exact"/>
        <w:rPr>
          <w:rFonts w:ascii="Courier New" w:cs="Courier New" w:eastAsia="Courier New" w:hAnsi="Courier New"/>
          <w:sz w:val="14"/>
          <w:szCs w:val="14"/>
          <w:color w:val="auto"/>
        </w:rPr>
      </w:pPr>
    </w:p>
    <w:p>
      <w:pPr>
        <w:ind w:left="440" w:right="3379" w:firstLine="871"/>
        <w:spacing w:after="0" w:line="254" w:lineRule="auto"/>
        <w:tabs>
          <w:tab w:leader="none" w:pos="1742"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"Consolidated Net Income" means, with respect to any specified Person for any period, the aggregate of the Net Income of such Person and its Restricted Subsidiaries for such period, on a consolidated basis, determined in accordance with GAAP; provided that: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122" w:name="page123"/>
    <w:bookmarkEnd w:id="122"/>
    <w:p>
      <w:pPr>
        <w:ind w:left="440" w:right="3539" w:firstLine="437"/>
        <w:spacing w:after="0" w:line="255" w:lineRule="auto"/>
        <w:tabs>
          <w:tab w:leader="none" w:pos="1221"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Income of any Unrestricted Subsidiary will be excluded, whether or not distributed to the specified Person or a Restricted Subsidiary of the Person;</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164" w:lineRule="exact"/>
        <w:rPr>
          <w:rFonts w:ascii="Courier New" w:cs="Courier New" w:eastAsia="Courier New" w:hAnsi="Courier New"/>
          <w:sz w:val="14"/>
          <w:szCs w:val="14"/>
          <w:color w:val="auto"/>
        </w:rPr>
      </w:pPr>
    </w:p>
    <w:p>
      <w:pPr>
        <w:jc w:val="both"/>
        <w:ind w:left="440" w:right="3539" w:firstLine="437"/>
        <w:spacing w:after="0" w:line="255" w:lineRule="auto"/>
        <w:tabs>
          <w:tab w:leader="none" w:pos="1221"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Income of any Person acquired in a pooling of interests transaction for any period prior to the date of such acquisition will be excluded; and</w:t>
      </w:r>
    </w:p>
    <w:p>
      <w:pPr>
        <w:spacing w:after="0" w:line="162"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cumulative effect of a change in accounting principles will be</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excluded.</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"Continuing Directors" means, as of any date of determination, any member of the Board of Directors of the Company who (i) was a member of or nominated to such Board of Directors on the date of this Indenture; (ii) was nominated for election by either (a) one or more of the Principals or (b) the Board of Directors of the Company, a majority of whom were members of or nominated to the Board of Directors on the date of the Indenture or whose election or nomination for election was previously approved by one or more of the Principals beneficially owning at least 25% of the Voting Stock of the Company (determined by reference to voting power and not number of shares held) or such directors.</w:t>
      </w:r>
    </w:p>
    <w:p>
      <w:pPr>
        <w:spacing w:after="0" w:line="164"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"Corporate Trust Office of the Trustee" shall be at the address of the Trustee specified in Section 13.02 hereof or such other address as to which the Trustee may give notice to the Company.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"Credit Agreement" means that certain Second Amended and Restated Credit Agreement, dated as of July 17, 2000, by and among Radio One, the guarantors party thereto, Bank of America, N.A., as administrative agent and the lenders party thereto, including any related notes, guarantees, collateral documents, instruments and agreements executed in connection therewith, as amended, modified, renewed, refunded, replaced or refinanced from time to time (including any increase in principal amount).</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"Credit Facilities" means, one or more debt facilities (including, without limitation, the Credit Agreement)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or refinanced in whole or in part from time to time (including any increase in principal amount).</w:t>
      </w:r>
    </w:p>
    <w:p>
      <w:pPr>
        <w:spacing w:after="0" w:line="16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"Custodian" means the Trustee, as custodian with respect to the Notes in global form, or any successor entity thereto.</w:t>
      </w:r>
    </w:p>
    <w:p>
      <w:pPr>
        <w:spacing w:after="0" w:line="160"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"Default" means any event that is, or with the passage of time or the giving of notice or both would be, an Event of Default.</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"Definitive Note" means a certificated Note registered in the name of the Holder thereof and issued in accordance with Section 2.06 hereof, substantially in the form of Exhibit A-1 hereto except that such Note shall not bear the Global Note Legend and shall not have the "Schedule of Exchanges of Interests in the Global Note" attached thereto.</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123" w:name="page124"/>
    <w:bookmarkEnd w:id="123"/>
    <w:p>
      <w:pPr>
        <w:ind w:right="3459" w:firstLine="434"/>
        <w:spacing w:after="0" w:line="254" w:lineRule="auto"/>
        <w:rPr>
          <w:sz w:val="20"/>
          <w:szCs w:val="20"/>
          <w:color w:val="auto"/>
        </w:rPr>
      </w:pPr>
      <w:r>
        <w:rPr>
          <w:rFonts w:ascii="Courier New" w:cs="Courier New" w:eastAsia="Courier New" w:hAnsi="Courier New"/>
          <w:sz w:val="14"/>
          <w:szCs w:val="14"/>
          <w:color w:val="auto"/>
        </w:rPr>
        <w:t>"Depositary"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"Designated Senior Debt" means (i) any Indebtedness outstanding under the Credit Agreement; and (ii) any other Senior Debt permitted under this Indenture the principal amount of which is $25.0 million or more (or otherwise available under a committed facility) and that has been designated by the Company or a Guarantor as "Designated Senior Debt."</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"Disqualified Stock"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on which the Notes mature. Notwithstanding the preceding sentence, any Capital Stock that would constitute Disqualified Stock solely because the holders of the Capital Stock have the right to require the Company to repurchase such Capital Stock upon the occurrence of a change of control or an asset sale will not constitute Disqualified Stock if the terms of such Capital Stock provide that the Company may not repurchase or redeem any such Capital Stock pursuant to such provisions unless such repurchase or redemption complies with the provisions of Section 4.07.</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"Domestic Subsidiary" means any Restricted Subsidiary of the Company that was formed under the laws of the United States or any state of the United States or the District of Columbia or that guarantees or otherwise provides direct credit support for any Indebtedness of the Company.</w:t>
      </w:r>
    </w:p>
    <w:p>
      <w:pPr>
        <w:spacing w:after="0" w:line="163"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"Equity Interests" means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"Equity Offering" means an offering of Capital Stock (other than Disqualified Stock) of the Company or one of its Subsidiaries, the net proceeds of which are contributed to the Company, in each case to any Person that is not an Affiliate of the Company, which offering results in at least $25.0 million of net aggregate proceeds to the Company.</w:t>
      </w:r>
    </w:p>
    <w:p>
      <w:pPr>
        <w:spacing w:after="0" w:line="162"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"Euroclear" means Morgan Guaranty Trust Company of New York, Brussels office, as operator of the Euroclear system.</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"Exchange Act" means the Securities Exchange Act of 1934, as amended.</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"Exchange Notes" means the Notes issued in the Exchange Offer pursuant to Section 2.06(f) hereof.</w:t>
      </w:r>
    </w:p>
    <w:p>
      <w:pPr>
        <w:spacing w:after="0" w:line="160"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"Exchange Offer" has the meaning set forth in the Registration Rights Agreement.</w:t>
      </w:r>
    </w:p>
    <w:p>
      <w:pPr>
        <w:spacing w:after="0" w:line="160"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"Exchange Offer Registration Statement" has the meaning set forth in the Registration Rights Agreement.</w:t>
      </w:r>
    </w:p>
    <w:p>
      <w:pPr>
        <w:spacing w:after="0" w:line="16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"Existing Indebtedness" means Indebtedness of the Company and its Restricted Subsidiaries (other than Indebtedness under the Credit Agreement) in existence on the date of this Indenture.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124" w:name="page125"/>
    <w:bookmarkEnd w:id="124"/>
    <w:p>
      <w:pPr>
        <w:ind w:right="3279" w:firstLine="434"/>
        <w:spacing w:after="0" w:line="254" w:lineRule="auto"/>
        <w:rPr>
          <w:sz w:val="20"/>
          <w:szCs w:val="20"/>
          <w:color w:val="auto"/>
        </w:rPr>
      </w:pPr>
      <w:r>
        <w:rPr>
          <w:rFonts w:ascii="Courier New" w:cs="Courier New" w:eastAsia="Courier New" w:hAnsi="Courier New"/>
          <w:sz w:val="14"/>
          <w:szCs w:val="14"/>
          <w:color w:val="auto"/>
        </w:rPr>
        <w:t>"Existing Preferred Stock" means the 6 1/2% Convertible Preferred Remarketable Term Income Deferrable Equity Securities of the Company pursuant to the Certificate of Designations filed with the State of Delaware on July 13, 2000, as in effect on the date of this Indenture.</w:t>
      </w:r>
    </w:p>
    <w:p>
      <w:pPr>
        <w:spacing w:after="0" w:line="163"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this Indenture.</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"Global Notes" means, individually and collectively, each of the Restricted Global Notes and the Unrestricted Global Notes, substantially in the form of Exhibit A hereto issued in accordance with Section 2.01, 2.06(b)(iv), 2.06(d)(ii) or 2.06(f) hereof.</w:t>
      </w:r>
    </w:p>
    <w:p>
      <w:pPr>
        <w:spacing w:after="0" w:line="163"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"Global Note Legend" means the legend set forth in Section 2.06(g)(ii), which is required to be placed on all Global Notes issued under this Indenture.</w:t>
      </w:r>
    </w:p>
    <w:p>
      <w:pPr>
        <w:spacing w:after="0" w:line="160" w:lineRule="exact"/>
        <w:rPr>
          <w:sz w:val="20"/>
          <w:szCs w:val="20"/>
          <w:color w:val="auto"/>
        </w:rPr>
      </w:pPr>
    </w:p>
    <w:p>
      <w:pPr>
        <w:ind w:right="3799" w:firstLine="434"/>
        <w:spacing w:after="0" w:line="255" w:lineRule="auto"/>
        <w:rPr>
          <w:sz w:val="20"/>
          <w:szCs w:val="20"/>
          <w:color w:val="auto"/>
        </w:rPr>
      </w:pPr>
      <w:r>
        <w:rPr>
          <w:rFonts w:ascii="Courier New" w:cs="Courier New" w:eastAsia="Courier New" w:hAnsi="Courier New"/>
          <w:sz w:val="14"/>
          <w:szCs w:val="14"/>
          <w:color w:val="auto"/>
        </w:rPr>
        <w:t>"Government Securities" means direct obligations of, or obligations guaranteed by, the United States of America, and the payment for which the United States pledges its full faith and credit.</w:t>
      </w:r>
    </w:p>
    <w:p>
      <w:pPr>
        <w:spacing w:after="0" w:line="162"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"Guarantee" means a guarantee other than by endorsement of negotiable instruments for collection in the ordinary course of business, direct or indirect, in any manner including, without limitation, by way of a pledge of assets or through letters of credit and reimbursement agreements in respect thereof, of all or any part of any Indebtedness.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"Guarantors" means each of:</w:t>
      </w:r>
    </w:p>
    <w:p>
      <w:pPr>
        <w:spacing w:after="0" w:line="175" w:lineRule="exact"/>
        <w:rPr>
          <w:sz w:val="20"/>
          <w:szCs w:val="20"/>
          <w:color w:val="auto"/>
        </w:rPr>
      </w:pPr>
    </w:p>
    <w:p>
      <w:pPr>
        <w:ind w:left="440" w:right="4059" w:firstLine="437"/>
        <w:spacing w:after="0" w:line="258" w:lineRule="auto"/>
        <w:tabs>
          <w:tab w:leader="none" w:pos="1221"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Restricted Subsidiaries on the date of this Indenture;</w:t>
      </w:r>
    </w:p>
    <w:p>
      <w:pPr>
        <w:spacing w:after="0" w:line="159" w:lineRule="exact"/>
        <w:rPr>
          <w:rFonts w:ascii="Courier New" w:cs="Courier New" w:eastAsia="Courier New" w:hAnsi="Courier New"/>
          <w:sz w:val="14"/>
          <w:szCs w:val="14"/>
          <w:color w:val="auto"/>
        </w:rPr>
      </w:pPr>
    </w:p>
    <w:p>
      <w:pPr>
        <w:ind w:left="440" w:right="3639" w:firstLine="437"/>
        <w:spacing w:after="0" w:line="258" w:lineRule="auto"/>
        <w:tabs>
          <w:tab w:leader="none" w:pos="1221"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subsidiary of the Company that executes a Subsidiary Guarantee in accordance with the provisions of this Indenture;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their respective successors and assigns.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"Hedging Obligations" means, with respect to any specific Person, the obligations of such Person under (i) interest rate swap agreements, interest rate cap agreements and interest rate collar agreements and (ii) other agreements or arrangements designed to protect such Person against fluctuations in currency exchange rates or interest rates.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"Holder" means a Person in whose name a Note is registered.</w:t>
      </w:r>
    </w:p>
    <w:p>
      <w:pPr>
        <w:spacing w:after="0" w:line="175" w:lineRule="exact"/>
        <w:rPr>
          <w:sz w:val="20"/>
          <w:szCs w:val="20"/>
          <w:color w:val="auto"/>
        </w:rPr>
      </w:pPr>
    </w:p>
    <w:p>
      <w:pPr>
        <w:ind w:right="3639" w:firstLine="434"/>
        <w:spacing w:after="0" w:line="253" w:lineRule="auto"/>
        <w:rPr>
          <w:sz w:val="20"/>
          <w:szCs w:val="20"/>
          <w:color w:val="auto"/>
        </w:rPr>
      </w:pPr>
      <w:r>
        <w:rPr>
          <w:rFonts w:ascii="Courier New" w:cs="Courier New" w:eastAsia="Courier New" w:hAnsi="Courier New"/>
          <w:sz w:val="14"/>
          <w:szCs w:val="14"/>
          <w:color w:val="auto"/>
        </w:rPr>
        <w:t>"IAI Global Note" means the global Note substantially in the form of Exhibit A-1 hereto bearing the Global Note Legend and the Private Placement Legend and deposited with or on behalf of and registered in the name of the Depositary or its nominee that will be issued in a denomination equal to the outstanding principal amount of the Notes sold to Institutional Accredited Investors.</w:t>
      </w:r>
    </w:p>
    <w:p>
      <w:pPr>
        <w:spacing w:after="0" w:line="165" w:lineRule="exact"/>
        <w:rPr>
          <w:sz w:val="20"/>
          <w:szCs w:val="20"/>
          <w:color w:val="auto"/>
        </w:rPr>
      </w:pPr>
    </w:p>
    <w:p>
      <w:pPr>
        <w:ind w:right="4319" w:firstLine="434"/>
        <w:spacing w:after="0" w:line="258" w:lineRule="auto"/>
        <w:rPr>
          <w:sz w:val="20"/>
          <w:szCs w:val="20"/>
          <w:color w:val="auto"/>
        </w:rPr>
      </w:pPr>
      <w:r>
        <w:rPr>
          <w:rFonts w:ascii="Courier New" w:cs="Courier New" w:eastAsia="Courier New" w:hAnsi="Courier New"/>
          <w:sz w:val="14"/>
          <w:szCs w:val="14"/>
          <w:color w:val="auto"/>
        </w:rPr>
        <w:t>"Indebtedness" means, with respect to any specified Person, any indebtedness of such Person, whether or not contingent:</w:t>
      </w:r>
    </w:p>
    <w:p>
      <w:pPr>
        <w:spacing w:after="0" w:line="160" w:lineRule="exact"/>
        <w:rPr>
          <w:sz w:val="20"/>
          <w:szCs w:val="20"/>
          <w:color w:val="auto"/>
        </w:rPr>
      </w:pPr>
    </w:p>
    <w:p>
      <w:pPr>
        <w:ind w:left="3400" w:right="6419" w:hanging="2523"/>
        <w:spacing w:after="0" w:line="511" w:lineRule="auto"/>
        <w:tabs>
          <w:tab w:leader="none" w:pos="1317"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borrowed money; 8</w:t>
      </w:r>
    </w:p>
    <w:p>
      <w:pPr>
        <w:sectPr>
          <w:pgSz w:w="11900" w:h="16838" w:orient="portrait"/>
          <w:cols w:equalWidth="0" w:num="1">
            <w:col w:w="10239"/>
          </w:cols>
          <w:pgMar w:left="220" w:top="620" w:right="1440" w:bottom="1440" w:gutter="0" w:footer="0" w:header="0"/>
        </w:sectPr>
      </w:pPr>
    </w:p>
    <w:bookmarkStart w:id="125" w:name="page126"/>
    <w:bookmarkEnd w:id="125"/>
    <w:p>
      <w:pPr>
        <w:ind w:left="440" w:right="3539" w:firstLine="437"/>
        <w:spacing w:after="0" w:line="258" w:lineRule="auto"/>
        <w:tabs>
          <w:tab w:leader="none" w:pos="1221"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evidenced by bonds, Notes, debentures or similar instruments or letters of credit (or reimbursement agreements in respect thereof);</w:t>
      </w:r>
    </w:p>
    <w:p>
      <w:pPr>
        <w:spacing w:after="0" w:line="159"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banker's acceptances;</w:t>
      </w:r>
    </w:p>
    <w:p>
      <w:pPr>
        <w:spacing w:after="0" w:line="175"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representing Capital Lease Obligations;</w:t>
      </w:r>
    </w:p>
    <w:p>
      <w:pPr>
        <w:spacing w:after="0" w:line="175" w:lineRule="exact"/>
        <w:rPr>
          <w:rFonts w:ascii="Courier New" w:cs="Courier New" w:eastAsia="Courier New" w:hAnsi="Courier New"/>
          <w:sz w:val="14"/>
          <w:szCs w:val="14"/>
          <w:color w:val="auto"/>
        </w:rPr>
      </w:pPr>
    </w:p>
    <w:p>
      <w:pPr>
        <w:ind w:left="440" w:right="3279" w:firstLine="437"/>
        <w:spacing w:after="0" w:line="255" w:lineRule="auto"/>
        <w:tabs>
          <w:tab w:leader="none" w:pos="1221"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representing the balance deferred and unpaid of the purchase price of any property, except any such balance that constitutes an accrued expense or trade payable; or</w:t>
      </w:r>
    </w:p>
    <w:p>
      <w:pPr>
        <w:spacing w:after="0" w:line="162"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representing any Hedging Obligations,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provided that Indebtedness shall not include the pledge of the Capital Stock of an Unrestricted Subsidiary securing Non-Recourse Debt of that Unrestricted Subsidiary; and, provided further, in no event shall the Existing Preferred Stock (including all accrued dividends thereon) be deemed Indebtedness.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amount of any Indebtedness outstanding as of any date will be:</w:t>
      </w:r>
    </w:p>
    <w:p>
      <w:pPr>
        <w:spacing w:after="0" w:line="175" w:lineRule="exact"/>
        <w:rPr>
          <w:sz w:val="20"/>
          <w:szCs w:val="20"/>
          <w:color w:val="auto"/>
        </w:rPr>
      </w:pPr>
    </w:p>
    <w:p>
      <w:pPr>
        <w:ind w:left="440" w:right="3979" w:firstLine="437"/>
        <w:spacing w:after="0" w:line="258" w:lineRule="auto"/>
        <w:tabs>
          <w:tab w:leader="none" w:pos="122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accreted value of the Indebtedness, in the case of any Indebtedness issued with original issue discount; and</w:t>
      </w:r>
    </w:p>
    <w:p>
      <w:pPr>
        <w:spacing w:after="0" w:line="159" w:lineRule="exact"/>
        <w:rPr>
          <w:rFonts w:ascii="Courier New" w:cs="Courier New" w:eastAsia="Courier New" w:hAnsi="Courier New"/>
          <w:sz w:val="14"/>
          <w:szCs w:val="14"/>
          <w:color w:val="auto"/>
        </w:rPr>
      </w:pPr>
    </w:p>
    <w:p>
      <w:pPr>
        <w:ind w:left="440" w:right="3639" w:firstLine="437"/>
        <w:spacing w:after="0" w:line="255" w:lineRule="auto"/>
        <w:tabs>
          <w:tab w:leader="none" w:pos="1221"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Indebtedness, together with any interest on the Indebtedness that is more than 30 days past due, in the case of any other Indebtedness.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"Indenture" means this Indenture, as amended or supplemented from time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"Indirect Participant" means a Person who holds a beneficial interest in a Global Note through a Participant.</w:t>
      </w:r>
    </w:p>
    <w:p>
      <w:pPr>
        <w:spacing w:after="0" w:line="160"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"Initial Notes" means the first $300.0 million aggregate principal amount of Notes issued under this Indenture on the date hereof.</w:t>
      </w:r>
    </w:p>
    <w:p>
      <w:pPr>
        <w:spacing w:after="0" w:line="160"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"Institutional Accredited Investor" means an institution that is an "accredited investor" as defined in Rule 501(a)(1), (2), (3) or (7) under the Securities Act, who are not also QIBs.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"Investments"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sells or otherwise disposes of any Equity Interests of any direct or indirect Subsidiary such that, after giving effect to any such sale or disposition, such Person is no longer a Subsidiary of the Company, the Company will be deemed to have made an Investment on the date of any such sale or disposition equal to</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126" w:name="page127"/>
    <w:bookmarkEnd w:id="126"/>
    <w:p>
      <w:pPr>
        <w:ind w:right="3639"/>
        <w:spacing w:after="0" w:line="255" w:lineRule="auto"/>
        <w:rPr>
          <w:sz w:val="20"/>
          <w:szCs w:val="20"/>
          <w:color w:val="auto"/>
        </w:rPr>
      </w:pPr>
      <w:r>
        <w:rPr>
          <w:rFonts w:ascii="Courier New" w:cs="Courier New" w:eastAsia="Courier New" w:hAnsi="Courier New"/>
          <w:sz w:val="14"/>
          <w:szCs w:val="14"/>
          <w:color w:val="auto"/>
        </w:rPr>
        <w:t>the fair market value of the Equity Interests of such Subsidiary not sold or disposed of in an amount determined as provided in the final paragraph of Section 4.07.</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"Legal Holiday"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"Letter of Transmittal" means the letter of transmittal to be prepared by the Company and sent to all Holders of the Notes for use by such Holders in connection with the Exchange Offer.</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"Leverage Ratio" means the ratio of (i) the aggregate outstanding amount of Indebtedness of each of the Company and the Restricted Subsidiaries as of the last day of the most recently ended fiscal quarter for which financial statements are internally available as of the date of calculation on a combined consolidated basis in accordance with GAAP (subject to the terms described in the next paragraph) plus the aggregate liquidation preference of all outstanding Disqualified Stock of the Company and preferred stock of the Restricted Subsidiaries (except preferred stock issued to the Company or a Restricted Subsidiary) as of the last day of such fiscal quarter to (ii) the aggregate Consolidated Cash Flow of the Company for the last four full fiscal quarters for which financial statements are internally available ending on or prior to the date of determination (the "Reference Period").</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For purposes of this definition, the aggregate outstanding principal amount of Indebtedness of the Company and the Restricted Subsidiaries and the aggregate liquidation preference of all outstanding preferred stock of the Restricted Subsidiaries for which such calculation is made shall be determined on a pro forma basis as if the Indebtedness and preferred stock giving rise to the need to perform such calculation had been incurred and issued and the proceeds therefrom had been applied, and all other transactions in respect of which such Indebtedness is being incurred or preferred stock is being issued had occurred, on the first day of such Reference Period. In addition to the foregoing, for purposes of this definition, the Leverage Ratio shall be calculated on a pro forma basis after giving effect to (i) the incurrence of the Indebtedness of such Person and the Restricted Subsidiaries and the issuance of the preferred stock of such Subsidiaries (and the application of the proceeds therefrom) giving rise to the need to make such calculation and any incurrence (and the application of the proceeds therefrom) or repayment of other Indebtedness or preferred stock, at any time subsequent to the beginning of the Reference Period and on or prior to the date of determination (including any such incurrence or issuance which is the subject of an Incurrence Notice delivered to the Trustee during such period pursuant to clause (xii) of the definition of Permitted Debt), as if such incurrence or issuance (and the application of the proceeds thereof), or the repayment, as the case may be, occurred on the first day of the Reference Period (except that, in making such computation, the amount of Indebtedness under any revolving credit facility shall be computed based upon the average balance of such Indebtedness at the end of each month during such period) and (ii) any acquisition at any time on or subsequent to the first day of the Reference Period and on or prior to the date of determination (including any such incurrence or issuance which is the subject of an Incurrence Notice delivered to the Trustee during such period pursuant to clause (xii) of the definition of Permitted Debt), as if such acquisition (including the incurrence, assumption or liability for any such Indebtedness and the issuance of such preferred stock and also including any Consolidated Cash Flow associated with such acquisition) occurred on the first day of the Reference Period giving pro forma effect to any non-recurring expenses, non-recurring costs and cost reductions within the first year after such acquisition the Company reasonably anticipates in good faith if the Company delivers to the Trustee an officer's certificate executed by the chief financial or accounting officer of the Company certifying to and describing and quantifying with reasonable specificity such non-recurring expenses, non-recurring costs and cost reductions. Furthermore, in calculating Consolidated Interest Expense for purposes of the</w:t>
      </w:r>
    </w:p>
    <w:p>
      <w:pPr>
        <w:spacing w:after="0" w:line="18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27" w:name="page128"/>
    <w:bookmarkEnd w:id="127"/>
    <w:p>
      <w:pPr>
        <w:ind w:right="3459"/>
        <w:spacing w:after="0" w:line="253" w:lineRule="auto"/>
        <w:rPr>
          <w:sz w:val="20"/>
          <w:szCs w:val="20"/>
          <w:color w:val="auto"/>
        </w:rPr>
      </w:pPr>
      <w:r>
        <w:rPr>
          <w:rFonts w:ascii="Courier New" w:cs="Courier New" w:eastAsia="Courier New" w:hAnsi="Courier New"/>
          <w:sz w:val="14"/>
          <w:szCs w:val="14"/>
          <w:color w:val="auto"/>
        </w:rPr>
        <w:t>calculation of Consolidated Cash Flow, (a) interest on Indebtedness determined on a fluctuating basis as of the date of determination (including Indebtedness actually incurred on the date of the transaction giving rise to the need to calculate the Leverage Ratio) and which will continue to be so determined thereafter shall be deemed to have accrued at a fixed rate per annum equal to the rate of interest on such Indebtedness as in effect on the date of determination and (b) notwithstanding (a) above, interest determined on a fluctuating basis, to the extent such interest is covered by Hedging Obligations, shall be deemed to accrue at the rate per annum resulting after giving effect to the operation of such agreements.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6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"Liquidated Damages" means all liquidated damages then owing pursuant to Section 5 of the Registration Rights Agreement</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"LMA" means a local marketing arrangement, joint sales agreement, time brokerage agreement, shared services agreement, management agreement or similar arrangement pursuant to which a Person, subject to customary preemption rights and other limitations (i) obtains the right to sell a portion of the advertising inventory of a radio station of which a third party is the licensee, (ii) obtains the right to exhibit programming and sell advertising time during a portion of the air time of a radio station or (iii) manages a portion of the operations of a radio station.</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"Net Income" means, with respect to any specified Person, the net income (loss) of such Person, determined in accordance with GAAP and before any reduction in respect of preferred stock dividends, excluding, however, (i) any gain (but not loss), together with any related provision for taxes on such gain (but not loss), realized in connection with (a) any Asset Sale, or (b) the disposition of any securities by such Person or any of its Restricted Subsidiaries or the extinguishment of Indebtedness of such Person or any of its Restricted Subsidiaries; and (ii) any extraordinary gain (but not loss), together with any related provision for taxes on such extraordinary gain (but not loss).</w:t>
      </w:r>
    </w:p>
    <w:p>
      <w:pPr>
        <w:spacing w:after="0" w:line="33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"Net Proceeds" means the aggregate cash proceeds received by the Company or any of its Restricted Subsidiaries in respect of any Asset Sale (including, without limitation, any cash received upon the sale or other disposition of any non-cash consideration received in any Asset Sale), net of (i) the direct costs relating to such Asset Sale, including, without limitation, legal, accounting and investment banking fees, and sales commissions, and any relocation expenses incurred as a result of the Asset Sale, (ii) taxes paid or payable as a result of the Asset Sale, in each case, after taking into account any available tax credits or deductions and any tax sharing arrangements, (iii) amounts required to be applied to the repayment of Indebtedness, other than Senior Debt secured by a Lien on the asset or assets that were the subject of such Asset Sale and</w:t>
      </w:r>
    </w:p>
    <w:p>
      <w:pPr>
        <w:spacing w:after="0" w:line="4" w:lineRule="exact"/>
        <w:rPr>
          <w:sz w:val="20"/>
          <w:szCs w:val="20"/>
          <w:color w:val="auto"/>
        </w:rPr>
      </w:pPr>
    </w:p>
    <w:p>
      <w:pPr>
        <w:ind w:right="3539" w:firstLine="9"/>
        <w:spacing w:after="0" w:line="258" w:lineRule="auto"/>
        <w:tabs>
          <w:tab w:leader="none" w:pos="434"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reserve for adjustment in respect of the sale price of such asset or assets established in accordance with GAAP.</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"Non-Recourse Debt" means Indebtedness:</w:t>
      </w:r>
    </w:p>
    <w:p>
      <w:pPr>
        <w:spacing w:after="0" w:line="175" w:lineRule="exact"/>
        <w:rPr>
          <w:sz w:val="20"/>
          <w:szCs w:val="20"/>
          <w:color w:val="auto"/>
        </w:rPr>
      </w:pPr>
    </w:p>
    <w:p>
      <w:pPr>
        <w:ind w:left="440" w:right="3379" w:firstLine="437"/>
        <w:spacing w:after="0" w:line="254" w:lineRule="auto"/>
        <w:tabs>
          <w:tab w:leader="none" w:pos="1221"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which neither the Company, the Guarantors, nor any of the Restricted Subsidiaries (a) provides credit support of any kind (including any undertaking, agreement or instrument that would constitute Indebtedness), (b) is directly or indirectly liable as a guarantor or otherwise, or (c) constitutes the lender; and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28" w:name="page129"/>
    <w:bookmarkEnd w:id="128"/>
    <w:p>
      <w:pPr>
        <w:ind w:left="440" w:right="3279" w:firstLine="437"/>
        <w:spacing w:after="0" w:line="253" w:lineRule="auto"/>
        <w:tabs>
          <w:tab w:leader="none" w:pos="1221"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with respect to which (including any rights that the holders of the Indebtedness may have to take enforcement action against an Unrestricted Subsidiary) would permit upon notice, lapse of time or both any holder of any other Indebtedness (other than the Notes) of the Company, the Guarantors, or any of the Restricted Subsidiaries to declare a default on such other Indebtedness or cause the payment of the Indebtedness to be accelerated or payable prior to its stated maturity.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"Non-U.S. Person" means a Person who is not a U.S. Person.</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"Notes" has the meaning assigned to it in the preamble to this Indenture. The Initial Notes, the Additional Notes and the Exchange Notes shall be treated as a single class for all purposes under this Indenture.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"Obligations" means any principal, interest, penalties, fees, indemnifications, reimbursements, damages and other liabilities payable under the documentation governing any Indebtedness and in all cases whether direct or indirect, absolute or contingent, now outstanding or hereafter created, assumed or incurred and including, without limitation, interest accruing subsequent to the filing of a petition in bankruptcy or the commencement of any insolvency, reorganization or similar proceedings at the rate provided in the relevant documentation, whether or not an allowed claim, and any obligation to redeem or defease any of the foregoing.</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"Offering" means the offering of the Notes by the Company.</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"Officer" means, with respect to any Person, the Chairman of the Board, the Chief Executive Officer, the President, the Chief Operating Officer, the Chief Financial Officer, the Treasurer, any Assistant Treasurer, the Controller, the Secretary or any Vice-President of such Person.</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"Officers' Certificate" means a certificate signed on behalf of the Company by two Officers of the Company, one of whom must be the principal executive officer, the principal financial officer, the treasurer or the principal accounting officer of the Company, that meets the requirements of Section 13.05 hereof.</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"Opinion of Counsel" means an opinion from legal counsel who is reasonably acceptable to the Trustee, that meets the requirements of Section 13.05 hereof. The counsel may be an employee of or counsel to the Company, any Subsidiary of the Company or the Trustee.</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"Participant" means, with respect to the Depositary, Euroclear or Clearstream, a Person who has an account with the Depositary, Euroclear or Clearstream, respectively (and, with respect to DTC, shall include Euroclear and Clearstream).</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"Permitted Asset Swap" means, with respect to any Person, the substantially concurrent exchange of assets of such Person (including Equity Interests of a Restricted Subsidiary) for assets of another Person, which assets are useful to the business of such aforementioned Person.</w:t>
      </w:r>
    </w:p>
    <w:p>
      <w:pPr>
        <w:spacing w:after="0" w:line="163"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"Permitted Business" means any business engaged in by the Company or its Restricted Subsidiaries as of the Closing Date or any business reasonably related, ancillary or complementary thereto.</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"Permitted Investments" means:</w:t>
      </w:r>
    </w:p>
    <w:p>
      <w:pPr>
        <w:spacing w:after="0" w:line="175" w:lineRule="exact"/>
        <w:rPr>
          <w:sz w:val="20"/>
          <w:szCs w:val="20"/>
          <w:color w:val="auto"/>
        </w:rPr>
      </w:pPr>
    </w:p>
    <w:p>
      <w:pPr>
        <w:ind w:left="3400" w:right="3799" w:hanging="2523"/>
        <w:spacing w:after="0" w:line="511" w:lineRule="auto"/>
        <w:tabs>
          <w:tab w:leader="none" w:pos="123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in the Company or in a Restricted Subsidiary; 12</w:t>
      </w:r>
    </w:p>
    <w:p>
      <w:pPr>
        <w:sectPr>
          <w:pgSz w:w="11900" w:h="16838" w:orient="portrait"/>
          <w:cols w:equalWidth="0" w:num="1">
            <w:col w:w="10239"/>
          </w:cols>
          <w:pgMar w:left="220" w:top="620" w:right="1440" w:bottom="1440" w:gutter="0" w:footer="0" w:header="0"/>
        </w:sectPr>
      </w:pPr>
    </w:p>
    <w:bookmarkStart w:id="129" w:name="page130"/>
    <w:bookmarkEnd w:id="129"/>
    <w:p>
      <w:pPr>
        <w:ind w:left="1220" w:hanging="343"/>
        <w:spacing w:after="0"/>
        <w:tabs>
          <w:tab w:leader="none" w:pos="1220"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in Cash Equivalents;</w:t>
      </w:r>
    </w:p>
    <w:p>
      <w:pPr>
        <w:spacing w:after="0" w:line="175" w:lineRule="exact"/>
        <w:rPr>
          <w:rFonts w:ascii="Courier New" w:cs="Courier New" w:eastAsia="Courier New" w:hAnsi="Courier New"/>
          <w:sz w:val="14"/>
          <w:szCs w:val="14"/>
          <w:color w:val="auto"/>
        </w:rPr>
      </w:pPr>
    </w:p>
    <w:p>
      <w:pPr>
        <w:ind w:left="440" w:right="3539" w:firstLine="437"/>
        <w:spacing w:after="0" w:line="258" w:lineRule="auto"/>
        <w:tabs>
          <w:tab w:leader="none" w:pos="1221"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by the Company or any Restricted Subsidiary in a Person, if as a result of such Investment:</w:t>
      </w:r>
    </w:p>
    <w:p>
      <w:pPr>
        <w:spacing w:after="0" w:line="159" w:lineRule="exact"/>
        <w:rPr>
          <w:rFonts w:ascii="Courier New" w:cs="Courier New" w:eastAsia="Courier New" w:hAnsi="Courier New"/>
          <w:sz w:val="14"/>
          <w:szCs w:val="14"/>
          <w:color w:val="auto"/>
        </w:rPr>
      </w:pPr>
    </w:p>
    <w:p>
      <w:pPr>
        <w:ind w:left="1660" w:hanging="349"/>
        <w:spacing w:after="0"/>
        <w:tabs>
          <w:tab w:leader="none" w:pos="1660" w:val="left"/>
        </w:tabs>
        <w:numPr>
          <w:ilvl w:val="2"/>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 becomes a Restricted Subsidiary of the Company;</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w:t>
      </w:r>
    </w:p>
    <w:p>
      <w:pPr>
        <w:spacing w:after="0" w:line="175" w:lineRule="exact"/>
        <w:rPr>
          <w:rFonts w:ascii="Courier New" w:cs="Courier New" w:eastAsia="Courier New" w:hAnsi="Courier New"/>
          <w:sz w:val="14"/>
          <w:szCs w:val="14"/>
          <w:color w:val="auto"/>
        </w:rPr>
      </w:pPr>
    </w:p>
    <w:p>
      <w:pPr>
        <w:ind w:left="440" w:right="3539" w:firstLine="871"/>
        <w:spacing w:after="0" w:line="255" w:lineRule="auto"/>
        <w:tabs>
          <w:tab w:leader="none" w:pos="1655" w:val="left"/>
        </w:tabs>
        <w:numPr>
          <w:ilvl w:val="2"/>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 is merged, consolidated or amalgamated with or into, or transfers or conveys substantially all of its assets to, or is liquidated into, the Company or a Restricted Subsidiary;</w:t>
      </w:r>
    </w:p>
    <w:p>
      <w:pPr>
        <w:spacing w:after="0" w:line="162" w:lineRule="exact"/>
        <w:rPr>
          <w:rFonts w:ascii="Courier New" w:cs="Courier New" w:eastAsia="Courier New" w:hAnsi="Courier New"/>
          <w:sz w:val="14"/>
          <w:szCs w:val="14"/>
          <w:color w:val="auto"/>
        </w:rPr>
      </w:pPr>
    </w:p>
    <w:p>
      <w:pPr>
        <w:ind w:left="440" w:right="3979" w:firstLine="437"/>
        <w:spacing w:after="0" w:line="255" w:lineRule="auto"/>
        <w:tabs>
          <w:tab w:leader="none" w:pos="1221"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made as a result of the receipt of non-cash consideration from an Asset Sale that was made pursuant to and in compliance with Section 4.10;</w:t>
      </w:r>
    </w:p>
    <w:p>
      <w:pPr>
        <w:spacing w:after="0" w:line="162" w:lineRule="exact"/>
        <w:rPr>
          <w:rFonts w:ascii="Courier New" w:cs="Courier New" w:eastAsia="Courier New" w:hAnsi="Courier New"/>
          <w:sz w:val="14"/>
          <w:szCs w:val="14"/>
          <w:color w:val="auto"/>
        </w:rPr>
      </w:pPr>
    </w:p>
    <w:p>
      <w:pPr>
        <w:ind w:left="440" w:right="3459" w:firstLine="437"/>
        <w:spacing w:after="0" w:line="255" w:lineRule="auto"/>
        <w:tabs>
          <w:tab w:leader="none" w:pos="1221"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acquisition of assets (including Investments in Unrestricted Subsidiaries) solely in exchange for the issuance of Equity Interests (other than Disqualified Stock) of the Company;</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and accounts receivable incurred in the ordinary course of business and any Investments received in compromise of obligations of such person incurred in the ordinary course of trade creditors or customers that were incurred in the ordinary course of business, including pursuant to any plan of reorganization or similar arrangement upon the bankruptcy or insolvency of any trade creditor or customer;</w:t>
      </w:r>
    </w:p>
    <w:p>
      <w:pPr>
        <w:spacing w:after="0" w:line="165"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Hedging Obligations;</w:t>
      </w:r>
    </w:p>
    <w:p>
      <w:pPr>
        <w:spacing w:after="0" w:line="175" w:lineRule="exact"/>
        <w:rPr>
          <w:rFonts w:ascii="Courier New" w:cs="Courier New" w:eastAsia="Courier New" w:hAnsi="Courier New"/>
          <w:sz w:val="14"/>
          <w:szCs w:val="14"/>
          <w:color w:val="auto"/>
        </w:rPr>
      </w:pPr>
    </w:p>
    <w:p>
      <w:pPr>
        <w:ind w:left="1220" w:hanging="343"/>
        <w:spacing w:after="0"/>
        <w:tabs>
          <w:tab w:leader="none" w:pos="1220"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 of loans to management incurred pursuant to clause</w:t>
      </w:r>
    </w:p>
    <w:p>
      <w:pPr>
        <w:spacing w:after="0" w:line="8" w:lineRule="exact"/>
        <w:rPr>
          <w:rFonts w:ascii="Courier New" w:cs="Courier New" w:eastAsia="Courier New" w:hAnsi="Courier New"/>
          <w:sz w:val="14"/>
          <w:szCs w:val="14"/>
          <w:color w:val="auto"/>
        </w:rPr>
      </w:pPr>
    </w:p>
    <w:p>
      <w:pPr>
        <w:ind w:left="1060" w:hanging="617"/>
        <w:spacing w:after="0"/>
        <w:tabs>
          <w:tab w:leader="none" w:pos="106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definition of Permitted Debt;</w:t>
      </w:r>
    </w:p>
    <w:p>
      <w:pPr>
        <w:spacing w:after="0" w:line="175" w:lineRule="exact"/>
        <w:rPr>
          <w:rFonts w:ascii="Courier New" w:cs="Courier New" w:eastAsia="Courier New" w:hAnsi="Courier New"/>
          <w:sz w:val="14"/>
          <w:szCs w:val="14"/>
          <w:color w:val="auto"/>
        </w:rPr>
      </w:pPr>
    </w:p>
    <w:p>
      <w:pPr>
        <w:ind w:left="440" w:right="3379" w:firstLine="437"/>
        <w:spacing w:after="0" w:line="255" w:lineRule="auto"/>
        <w:tabs>
          <w:tab w:leader="none" w:pos="1221"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and advances to employees of the Company or any Restricted Subsidiary in the ordinary course of business not in excess of $10,000,000 in aggregate principal amount at any time outstanding; or</w:t>
      </w:r>
    </w:p>
    <w:p>
      <w:pPr>
        <w:spacing w:after="0" w:line="162" w:lineRule="exact"/>
        <w:rPr>
          <w:rFonts w:ascii="Courier New" w:cs="Courier New" w:eastAsia="Courier New" w:hAnsi="Courier New"/>
          <w:sz w:val="14"/>
          <w:szCs w:val="14"/>
          <w:color w:val="auto"/>
        </w:rPr>
      </w:pPr>
    </w:p>
    <w:p>
      <w:pPr>
        <w:ind w:left="440" w:right="3279" w:firstLine="437"/>
        <w:spacing w:after="0" w:line="254" w:lineRule="auto"/>
        <w:tabs>
          <w:tab w:leader="none" w:pos="1308"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Investments in any Person having an aggregate fair market value (measured on the date each such Investment was made and without giving effect to subsequent changes in value), when taken together with all other Investments made pursuant to this clause (10) that are at the time outstanding, not to exceed $30.0 million.</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"Permitted Junior Securities" means (i) Equity Interests in the Company or, subject to the provisions of the Credit Agreement, any Guarantor; or (ii) debt securities that are subordinated to all Senior Debt and any debt securities issued in exchange for Senior Debt to substantially the same extent as, or to a greater extent than, the Notes and the Subsidiary Guarantees are subordinated to Senior Debt under this Indenture.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"Permitted Liens" means:</w:t>
      </w:r>
    </w:p>
    <w:p>
      <w:pPr>
        <w:spacing w:after="0" w:line="175" w:lineRule="exact"/>
        <w:rPr>
          <w:sz w:val="20"/>
          <w:szCs w:val="20"/>
          <w:color w:val="auto"/>
        </w:rPr>
      </w:pPr>
    </w:p>
    <w:p>
      <w:pPr>
        <w:ind w:left="440" w:right="3459" w:firstLine="437"/>
        <w:spacing w:after="0" w:line="255" w:lineRule="auto"/>
        <w:tabs>
          <w:tab w:leader="none" w:pos="1221"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of the Company and any Guarantor securing Indebtedness and other Obligations under Credit Facilities that were securing Senior Debt that was permitted by the terms of this Indenture to be incurred;</w:t>
      </w:r>
    </w:p>
    <w:p>
      <w:pPr>
        <w:spacing w:after="0" w:line="162"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favor of the Company or the Guarantors;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30" w:name="page131"/>
    <w:bookmarkEnd w:id="130"/>
    <w:p>
      <w:pPr>
        <w:ind w:left="-437" w:right="3279" w:firstLine="437"/>
        <w:spacing w:after="0" w:line="253" w:lineRule="auto"/>
        <w:tabs>
          <w:tab w:leader="none" w:pos="344"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of a Person existing at the time such Person is merged with or into or consolidated with the Company or any Restricted Subsidiary of the Company; provided that such Liens were in existence prior to the contemplation of such merger or consolidation and do not extend to any assets other than those of the Person merged into or consolidated with the Company or the Restricted Subsidiary;</w:t>
      </w:r>
    </w:p>
    <w:p>
      <w:pPr>
        <w:spacing w:after="0" w:line="165" w:lineRule="exact"/>
        <w:rPr>
          <w:rFonts w:ascii="Courier New" w:cs="Courier New" w:eastAsia="Courier New" w:hAnsi="Courier New"/>
          <w:sz w:val="14"/>
          <w:szCs w:val="14"/>
          <w:color w:val="auto"/>
        </w:rPr>
      </w:pPr>
    </w:p>
    <w:p>
      <w:pPr>
        <w:ind w:left="-437" w:right="3539" w:firstLine="437"/>
        <w:spacing w:after="0" w:line="254" w:lineRule="auto"/>
        <w:tabs>
          <w:tab w:leader="none" w:pos="344"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existing at the time of acquisition of the property by the Company or any Restricted Subsidiary of the Company; provided that such Liens were in existence prior to the contemplation of such acquisition;</w:t>
      </w:r>
    </w:p>
    <w:p>
      <w:pPr>
        <w:spacing w:after="0" w:line="163" w:lineRule="exact"/>
        <w:rPr>
          <w:rFonts w:ascii="Courier New" w:cs="Courier New" w:eastAsia="Courier New" w:hAnsi="Courier New"/>
          <w:sz w:val="14"/>
          <w:szCs w:val="14"/>
          <w:color w:val="auto"/>
        </w:rPr>
      </w:pPr>
    </w:p>
    <w:p>
      <w:pPr>
        <w:ind w:left="-437" w:right="3459" w:firstLine="437"/>
        <w:spacing w:after="0" w:line="255" w:lineRule="auto"/>
        <w:tabs>
          <w:tab w:leader="none" w:pos="344"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to secure the performance of statutory obligations, surety or appeal bonds, performance bonds or other obligations of a like nature incurred in the ordinary course of business;</w:t>
      </w:r>
    </w:p>
    <w:p>
      <w:pPr>
        <w:spacing w:after="0" w:line="162" w:lineRule="exact"/>
        <w:rPr>
          <w:rFonts w:ascii="Courier New" w:cs="Courier New" w:eastAsia="Courier New" w:hAnsi="Courier New"/>
          <w:sz w:val="14"/>
          <w:szCs w:val="14"/>
          <w:color w:val="auto"/>
        </w:rPr>
      </w:pPr>
    </w:p>
    <w:p>
      <w:pPr>
        <w:ind w:left="-437" w:right="3279" w:firstLine="437"/>
        <w:spacing w:after="0" w:line="255" w:lineRule="auto"/>
        <w:tabs>
          <w:tab w:leader="none" w:pos="344"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to secure Indebtedness (including Capital Lease Obligations) permitted by clause (iv) of the second paragraph of Section 4.09 covering only the assets acquired with such Indebtedness;</w:t>
      </w:r>
    </w:p>
    <w:p>
      <w:pPr>
        <w:spacing w:after="0" w:line="162" w:lineRule="exact"/>
        <w:rPr>
          <w:rFonts w:ascii="Courier New" w:cs="Courier New" w:eastAsia="Courier New" w:hAnsi="Courier New"/>
          <w:sz w:val="14"/>
          <w:szCs w:val="14"/>
          <w:color w:val="auto"/>
        </w:rPr>
      </w:pPr>
    </w:p>
    <w:p>
      <w:pPr>
        <w:ind w:left="343" w:hanging="343"/>
        <w:spacing w:after="0"/>
        <w:tabs>
          <w:tab w:leader="none" w:pos="343"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date of this Indenture;</w:t>
      </w:r>
    </w:p>
    <w:p>
      <w:pPr>
        <w:spacing w:after="0" w:line="175" w:lineRule="exact"/>
        <w:rPr>
          <w:rFonts w:ascii="Courier New" w:cs="Courier New" w:eastAsia="Courier New" w:hAnsi="Courier New"/>
          <w:sz w:val="14"/>
          <w:szCs w:val="14"/>
          <w:color w:val="auto"/>
        </w:rPr>
      </w:pPr>
    </w:p>
    <w:p>
      <w:pPr>
        <w:ind w:left="-437" w:right="3379" w:firstLine="437"/>
        <w:spacing w:after="0" w:line="254" w:lineRule="auto"/>
        <w:tabs>
          <w:tab w:leader="none" w:pos="344"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is required in conformity with GAAP has been made therefor;</w:t>
      </w:r>
    </w:p>
    <w:p>
      <w:pPr>
        <w:spacing w:after="0" w:line="162" w:lineRule="exact"/>
        <w:rPr>
          <w:rFonts w:ascii="Courier New" w:cs="Courier New" w:eastAsia="Courier New" w:hAnsi="Courier New"/>
          <w:sz w:val="14"/>
          <w:szCs w:val="14"/>
          <w:color w:val="auto"/>
        </w:rPr>
      </w:pPr>
    </w:p>
    <w:p>
      <w:pPr>
        <w:ind w:left="-437" w:right="3279" w:firstLine="437"/>
        <w:spacing w:after="0" w:line="255" w:lineRule="auto"/>
        <w:tabs>
          <w:tab w:leader="none" w:pos="344"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incurred in the ordinary course of business of the Company or any Restricted Subsidiary with respect to obligations that do not exceed $5.0 million at any one time outstanding;</w:t>
      </w:r>
    </w:p>
    <w:p>
      <w:pPr>
        <w:spacing w:after="0" w:line="162" w:lineRule="exact"/>
        <w:rPr>
          <w:rFonts w:ascii="Courier New" w:cs="Courier New" w:eastAsia="Courier New" w:hAnsi="Courier New"/>
          <w:sz w:val="14"/>
          <w:szCs w:val="14"/>
          <w:color w:val="auto"/>
        </w:rPr>
      </w:pPr>
    </w:p>
    <w:p>
      <w:pPr>
        <w:ind w:left="-437" w:right="3639" w:firstLine="437"/>
        <w:spacing w:after="0" w:line="258" w:lineRule="auto"/>
        <w:tabs>
          <w:tab w:leader="none" w:pos="43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assets of Unrestricted Subsidiaries that secure Non-Recourse Debt of Unrestricted Subsidiaries;</w:t>
      </w:r>
    </w:p>
    <w:p>
      <w:pPr>
        <w:spacing w:after="0" w:line="159" w:lineRule="exact"/>
        <w:rPr>
          <w:rFonts w:ascii="Courier New" w:cs="Courier New" w:eastAsia="Courier New" w:hAnsi="Courier New"/>
          <w:sz w:val="14"/>
          <w:szCs w:val="14"/>
          <w:color w:val="auto"/>
        </w:rPr>
      </w:pPr>
    </w:p>
    <w:p>
      <w:pPr>
        <w:ind w:left="-437" w:right="3639" w:firstLine="437"/>
        <w:spacing w:after="0" w:line="255" w:lineRule="auto"/>
        <w:tabs>
          <w:tab w:leader="none" w:pos="43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to secure Indebtedness that is pari passu in right of payment with the Notes, provided that the Notes are equally and ratably secured thereby.</w:t>
      </w:r>
    </w:p>
    <w:p>
      <w:pPr>
        <w:spacing w:after="0" w:line="162" w:lineRule="exact"/>
        <w:rPr>
          <w:rFonts w:ascii="Courier New" w:cs="Courier New" w:eastAsia="Courier New" w:hAnsi="Courier New"/>
          <w:sz w:val="14"/>
          <w:szCs w:val="14"/>
          <w:color w:val="auto"/>
        </w:rPr>
      </w:pPr>
    </w:p>
    <w:p>
      <w:pPr>
        <w:jc w:val="both"/>
        <w:ind w:left="-437" w:right="3279" w:firstLine="437"/>
        <w:spacing w:after="0" w:line="258" w:lineRule="auto"/>
        <w:tabs>
          <w:tab w:leader="none" w:pos="43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Permitted Refinancing Indebtedness where the Liens securing indebtedness being refinanced were permitted under this Indenture;</w:t>
      </w:r>
    </w:p>
    <w:p>
      <w:pPr>
        <w:spacing w:after="0" w:line="159" w:lineRule="exact"/>
        <w:rPr>
          <w:rFonts w:ascii="Courier New" w:cs="Courier New" w:eastAsia="Courier New" w:hAnsi="Courier New"/>
          <w:sz w:val="14"/>
          <w:szCs w:val="14"/>
          <w:color w:val="auto"/>
        </w:rPr>
      </w:pPr>
    </w:p>
    <w:p>
      <w:pPr>
        <w:ind w:left="-437" w:right="3279" w:firstLine="437"/>
        <w:spacing w:after="0" w:line="256" w:lineRule="auto"/>
        <w:tabs>
          <w:tab w:leader="none" w:pos="43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easements, rights-of-way, zoning and similar restrictions and other similar encumbrances or title defects incurred or imposed, as applicable, in the ordinary course of business and consistent with industry practices;</w:t>
      </w:r>
    </w:p>
    <w:p>
      <w:pPr>
        <w:spacing w:after="0" w:line="327" w:lineRule="exact"/>
        <w:rPr>
          <w:rFonts w:ascii="Courier New" w:cs="Courier New" w:eastAsia="Courier New" w:hAnsi="Courier New"/>
          <w:sz w:val="14"/>
          <w:szCs w:val="14"/>
          <w:color w:val="auto"/>
        </w:rPr>
      </w:pPr>
    </w:p>
    <w:p>
      <w:pPr>
        <w:ind w:left="-437" w:right="3979" w:firstLine="437"/>
        <w:spacing w:after="0" w:line="258" w:lineRule="auto"/>
        <w:tabs>
          <w:tab w:leader="none" w:pos="43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or title of a lessor under any Capital Lease Obligation;</w:t>
      </w:r>
    </w:p>
    <w:p>
      <w:pPr>
        <w:spacing w:after="0" w:line="159" w:lineRule="exact"/>
        <w:rPr>
          <w:rFonts w:ascii="Courier New" w:cs="Courier New" w:eastAsia="Courier New" w:hAnsi="Courier New"/>
          <w:sz w:val="14"/>
          <w:szCs w:val="14"/>
          <w:color w:val="auto"/>
        </w:rPr>
      </w:pPr>
    </w:p>
    <w:p>
      <w:pPr>
        <w:ind w:left="-437" w:right="3539" w:firstLine="437"/>
        <w:spacing w:after="0" w:line="255" w:lineRule="auto"/>
        <w:tabs>
          <w:tab w:leader="none" w:pos="43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reimbursement obligations with respect to commercial letters of credit which encumber documents and other property relating to letters of credit and products and proceeds thereof;</w:t>
      </w:r>
    </w:p>
    <w:p>
      <w:pPr>
        <w:spacing w:after="0" w:line="162" w:lineRule="exact"/>
        <w:rPr>
          <w:rFonts w:ascii="Courier New" w:cs="Courier New" w:eastAsia="Courier New" w:hAnsi="Courier New"/>
          <w:sz w:val="14"/>
          <w:szCs w:val="14"/>
          <w:color w:val="auto"/>
        </w:rPr>
      </w:pPr>
    </w:p>
    <w:p>
      <w:pPr>
        <w:ind w:left="-437" w:right="3379" w:firstLine="437"/>
        <w:spacing w:after="0" w:line="255" w:lineRule="auto"/>
        <w:tabs>
          <w:tab w:leader="none" w:pos="431"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encumbering deposits made to secure obligations arising from statutory, regulatory, contractual or warranty obligations, including rights of offset and set-off;</w:t>
      </w:r>
    </w:p>
    <w:p>
      <w:pPr>
        <w:spacing w:after="0" w:line="162" w:lineRule="exact"/>
        <w:rPr>
          <w:sz w:val="20"/>
          <w:szCs w:val="20"/>
          <w:color w:val="auto"/>
        </w:rPr>
      </w:pPr>
    </w:p>
    <w:p>
      <w:pPr>
        <w:ind w:left="2523"/>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362"/>
          </w:cols>
          <w:pgMar w:left="1097" w:top="620" w:right="1440" w:bottom="1440" w:gutter="0" w:footer="0" w:header="0"/>
        </w:sectPr>
      </w:pPr>
    </w:p>
    <w:bookmarkStart w:id="131" w:name="page132"/>
    <w:bookmarkEnd w:id="131"/>
    <w:p>
      <w:pPr>
        <w:ind w:left="440" w:right="3539" w:firstLine="437"/>
        <w:spacing w:after="0" w:line="258" w:lineRule="auto"/>
        <w:tabs>
          <w:tab w:leader="none" w:pos="1308"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Hedging Obligations which Hedging Obligations relate to Indebtedness that is otherwise permitted under this Indenture;</w:t>
      </w:r>
    </w:p>
    <w:p>
      <w:pPr>
        <w:spacing w:after="0" w:line="159" w:lineRule="exact"/>
        <w:rPr>
          <w:rFonts w:ascii="Courier New" w:cs="Courier New" w:eastAsia="Courier New" w:hAnsi="Courier New"/>
          <w:sz w:val="14"/>
          <w:szCs w:val="14"/>
          <w:color w:val="auto"/>
        </w:rPr>
      </w:pPr>
    </w:p>
    <w:p>
      <w:pPr>
        <w:ind w:left="1320" w:hanging="443"/>
        <w:spacing w:after="0"/>
        <w:tabs>
          <w:tab w:leader="none" w:pos="13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or subleases granted to others;</w:t>
      </w:r>
    </w:p>
    <w:p>
      <w:pPr>
        <w:spacing w:after="0" w:line="175" w:lineRule="exact"/>
        <w:rPr>
          <w:rFonts w:ascii="Courier New" w:cs="Courier New" w:eastAsia="Courier New" w:hAnsi="Courier New"/>
          <w:sz w:val="14"/>
          <w:szCs w:val="14"/>
          <w:color w:val="auto"/>
        </w:rPr>
      </w:pPr>
    </w:p>
    <w:p>
      <w:pPr>
        <w:ind w:left="1320" w:hanging="443"/>
        <w:spacing w:after="0"/>
        <w:tabs>
          <w:tab w:leader="none" w:pos="13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under licensing agreements;</w:t>
      </w:r>
    </w:p>
    <w:p>
      <w:pPr>
        <w:spacing w:after="0" w:line="175" w:lineRule="exact"/>
        <w:rPr>
          <w:rFonts w:ascii="Courier New" w:cs="Courier New" w:eastAsia="Courier New" w:hAnsi="Courier New"/>
          <w:sz w:val="14"/>
          <w:szCs w:val="14"/>
          <w:color w:val="auto"/>
        </w:rPr>
      </w:pPr>
    </w:p>
    <w:p>
      <w:pPr>
        <w:ind w:left="440" w:right="3799" w:firstLine="437"/>
        <w:spacing w:after="0" w:line="258" w:lineRule="auto"/>
        <w:tabs>
          <w:tab w:leader="none" w:pos="1308"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from filing Uniform Commercial Code financing statements regarding leases;</w:t>
      </w:r>
    </w:p>
    <w:p>
      <w:pPr>
        <w:spacing w:after="0" w:line="159" w:lineRule="exact"/>
        <w:rPr>
          <w:rFonts w:ascii="Courier New" w:cs="Courier New" w:eastAsia="Courier New" w:hAnsi="Courier New"/>
          <w:sz w:val="14"/>
          <w:szCs w:val="14"/>
          <w:color w:val="auto"/>
        </w:rPr>
      </w:pPr>
    </w:p>
    <w:p>
      <w:pPr>
        <w:ind w:left="1320" w:hanging="443"/>
        <w:spacing w:after="0"/>
        <w:tabs>
          <w:tab w:leader="none" w:pos="13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judgment Liens not giving rise to an Event of Default;</w:t>
      </w:r>
    </w:p>
    <w:p>
      <w:pPr>
        <w:spacing w:after="0" w:line="175" w:lineRule="exact"/>
        <w:rPr>
          <w:rFonts w:ascii="Courier New" w:cs="Courier New" w:eastAsia="Courier New" w:hAnsi="Courier New"/>
          <w:sz w:val="14"/>
          <w:szCs w:val="14"/>
          <w:color w:val="auto"/>
        </w:rPr>
      </w:pPr>
    </w:p>
    <w:p>
      <w:pPr>
        <w:ind w:left="440" w:right="3279" w:firstLine="437"/>
        <w:spacing w:after="0" w:line="253" w:lineRule="auto"/>
        <w:tabs>
          <w:tab w:leader="none" w:pos="1308"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encumbering property of the Company or a Restricted Subsidiary consisting of carriers, warehousemen, mechanics, materialmen, repairmen and landlords, and other Liens arising by operation of law and incurred in the ordinary course of business for sums which are not overdue or which are being contested in good faith by appropriate proceedings and (if so contested) for which appropriate reserves with respect thereto have been established and maintained on the books of the Company or a Restricted Subsidiary in accordance with GAAP; and</w:t>
      </w:r>
    </w:p>
    <w:p>
      <w:pPr>
        <w:spacing w:after="0" w:line="164" w:lineRule="exact"/>
        <w:rPr>
          <w:rFonts w:ascii="Courier New" w:cs="Courier New" w:eastAsia="Courier New" w:hAnsi="Courier New"/>
          <w:sz w:val="14"/>
          <w:szCs w:val="14"/>
          <w:color w:val="auto"/>
        </w:rPr>
      </w:pPr>
    </w:p>
    <w:p>
      <w:pPr>
        <w:ind w:left="440" w:right="3459" w:firstLine="437"/>
        <w:spacing w:after="0" w:line="253" w:lineRule="auto"/>
        <w:tabs>
          <w:tab w:leader="none" w:pos="1308"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encumbering property of the Company or a Restricted Subsidiary incurred in the ordinary course of business in connection with workers' compensation, unemployment insurance, or other forms of governmental insurance or benefits, or to secure performance of bids, tenders, statutory obligations, leases, and contracts (other than for Indebtedness) entered into in the ordinary course of business of the Company or a Restricted Subsidiary.</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"Permitted Refinancing Indebtedness" means any Indebtedness of the Company or any of its Restricted Subsidiaries issued in exchange for, or the net proceeds of which are used to extend, refinance, renew, replace, defease or refund other Indebtedness of the Company or any of its Restricted Subsidiaries (other than intercompany Indebtedness); provided that:</w:t>
      </w:r>
    </w:p>
    <w:p>
      <w:pPr>
        <w:spacing w:after="0" w:line="162" w:lineRule="exact"/>
        <w:rPr>
          <w:sz w:val="20"/>
          <w:szCs w:val="20"/>
          <w:color w:val="auto"/>
        </w:rPr>
      </w:pPr>
    </w:p>
    <w:p>
      <w:pPr>
        <w:ind w:left="440" w:right="3279" w:firstLine="437"/>
        <w:spacing w:after="0" w:line="253" w:lineRule="auto"/>
        <w:tabs>
          <w:tab w:leader="none" w:pos="1221"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w:t>
      </w:r>
    </w:p>
    <w:p>
      <w:pPr>
        <w:spacing w:after="0" w:line="165"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Indebtedness being extended, refinanced, renewed, replaced, defeased or refunded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132" w:name="page133"/>
    <w:bookmarkEnd w:id="132"/>
    <w:p>
      <w:pPr>
        <w:ind w:left="440" w:right="3379" w:firstLine="437"/>
        <w:spacing w:after="0" w:line="255" w:lineRule="auto"/>
        <w:tabs>
          <w:tab w:leader="none" w:pos="1221"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Indebtedness is incurred by the Company or by the Restricted Subsidiary who is the obligor on the Indebtedness being extended, refinanced, renewed, replaced, defeased or refunded.</w:t>
      </w:r>
    </w:p>
    <w:p>
      <w:pPr>
        <w:spacing w:after="0" w:line="162"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"Person" means any individual, corporation, partnership, joint venture, association, joint-stock company, trust, unincorporated organization, limited liability company or government or other entity.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"Principals" means Catherine L. Hughes and Alfred C. Liggins, III.</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"Private Placement Legend" means the legend set forth in Section 2.06(g)(i) to be placed on all Notes issued under this Indenture except where otherwise permitted by the provisions of this Indenture.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"QIB" means a "qualified institutional buyer" as defined in Rule 144A.</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"Registration Rights Agreement" means the Registration Rights Agreement, dated as of May 18, 2001, by and among the Company and the other parties named on the signature pages thereof, as such agreement may be amended, modified or supplemented from time to time, and, with respect to any Additional Notes, one or more registration rights agreements between the Company and the other parties thereto, as such agreement(s) may be amended, modified or supplemented from time to time, relating to rights given by the Company to the purchasers of Additional Notes to register such Additional Notes under the Securities Act.</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"Regulation S" means Regulation S promulgated under the Securities Act.</w:t>
      </w:r>
    </w:p>
    <w:p>
      <w:pPr>
        <w:spacing w:after="0" w:line="17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"Regulation S Global Note" means a Regulation S Temporary Global Note or Regulation S Permanent Global Note, as appropriate.</w:t>
      </w:r>
    </w:p>
    <w:p>
      <w:pPr>
        <w:spacing w:after="0" w:line="160"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"Regulation S Permanent Global Note" means a permanent global Note in the form of Exhibit A-1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"Regulation S Temporary Global Note" means a temporary global Note in the form of Exhibit A-2 hereto bearing the Private Placement Legend and deposited with or on behalf of and registered in the name of the Depositary or its nominee, issued in a denomination equal to the outstanding principal amount of the Notes initially sold in reliance on Rule 903 of Regulation 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"Related Party" means:</w:t>
      </w:r>
    </w:p>
    <w:p>
      <w:pPr>
        <w:spacing w:after="0" w:line="175" w:lineRule="exact"/>
        <w:rPr>
          <w:sz w:val="20"/>
          <w:szCs w:val="20"/>
          <w:color w:val="auto"/>
        </w:rPr>
      </w:pPr>
    </w:p>
    <w:p>
      <w:pPr>
        <w:ind w:left="440" w:right="3279" w:firstLine="437"/>
        <w:spacing w:after="0" w:line="258" w:lineRule="auto"/>
        <w:tabs>
          <w:tab w:leader="none" w:pos="1221"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controlling stockholder, 80% (or more) owned Subsidiary, or immediate family member (in the case of an individual) of any Principal; or</w:t>
      </w:r>
    </w:p>
    <w:p>
      <w:pPr>
        <w:spacing w:after="0" w:line="159" w:lineRule="exact"/>
        <w:rPr>
          <w:rFonts w:ascii="Courier New" w:cs="Courier New" w:eastAsia="Courier New" w:hAnsi="Courier New"/>
          <w:sz w:val="14"/>
          <w:szCs w:val="14"/>
          <w:color w:val="auto"/>
        </w:rPr>
      </w:pPr>
    </w:p>
    <w:p>
      <w:pPr>
        <w:ind w:left="440" w:right="3379" w:firstLine="437"/>
        <w:spacing w:after="0" w:line="254" w:lineRule="auto"/>
        <w:tabs>
          <w:tab w:leader="none" w:pos="1221"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trust, corporation, partnership or other entity, the beneficiaries, stockholders, partners, owners or Persons beneficially holding an 80% or more controlling interest of which consist of any one or more Principals and/or such other Persons referred to in the immediately preceding clause (1).</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"Representative" means, as the case may be, a trustee, agent or representative appointed for the holders of any Senior Debt under an agreement to which such Senior Debt was issued.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33" w:name="page134"/>
    <w:bookmarkEnd w:id="133"/>
    <w:p>
      <w:pPr>
        <w:ind w:right="3539" w:firstLine="434"/>
        <w:spacing w:after="0" w:line="258" w:lineRule="auto"/>
        <w:rPr>
          <w:sz w:val="20"/>
          <w:szCs w:val="20"/>
          <w:color w:val="auto"/>
        </w:rPr>
      </w:pPr>
      <w:r>
        <w:rPr>
          <w:rFonts w:ascii="Courier New" w:cs="Courier New" w:eastAsia="Courier New" w:hAnsi="Courier New"/>
          <w:sz w:val="14"/>
          <w:szCs w:val="14"/>
          <w:color w:val="auto"/>
        </w:rPr>
        <w:t>"Restricted Definitive Note" means a Definitive Note bearing the Private Placement Legend.</w:t>
      </w:r>
    </w:p>
    <w:p>
      <w:pPr>
        <w:spacing w:after="0" w:line="160"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"Restricted Global Note" means a Global Note bearing the Private Placement Legend.</w:t>
      </w:r>
    </w:p>
    <w:p>
      <w:pPr>
        <w:spacing w:after="0" w:line="160" w:lineRule="exact"/>
        <w:rPr>
          <w:sz w:val="20"/>
          <w:szCs w:val="20"/>
          <w:color w:val="auto"/>
        </w:rPr>
      </w:pPr>
    </w:p>
    <w:p>
      <w:pPr>
        <w:ind w:right="4059" w:firstLine="434"/>
        <w:spacing w:after="0" w:line="258" w:lineRule="auto"/>
        <w:rPr>
          <w:sz w:val="20"/>
          <w:szCs w:val="20"/>
          <w:color w:val="auto"/>
        </w:rPr>
      </w:pPr>
      <w:r>
        <w:rPr>
          <w:rFonts w:ascii="Courier New" w:cs="Courier New" w:eastAsia="Courier New" w:hAnsi="Courier New"/>
          <w:sz w:val="14"/>
          <w:szCs w:val="14"/>
          <w:color w:val="auto"/>
        </w:rPr>
        <w:t>"Restricted Investment" means an Investment other than a Permitted Investment.</w:t>
      </w:r>
    </w:p>
    <w:p>
      <w:pPr>
        <w:spacing w:after="0" w:line="160"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"Restricted Period" means the 40-day restricted period as defined in Regulation S.</w:t>
      </w:r>
    </w:p>
    <w:p>
      <w:pPr>
        <w:spacing w:after="0" w:line="160"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"Restricted Subsidiary" means, except Satellite One, L.L.C., all current and future Domestic Subsidiaries of the Company, other than Unrestricted Subsidiaries.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"Rule 144" means Rule 144 promulgated under the Securities Act.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"Rule 144A" means Rule 144A promulgated under the Securities Act.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"Rule 903" means Rule 903 promulgated under the Securities Act.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"Rule 904" means Rule 904 promulgated the Securities Act.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 means the Securities and Exchange Commission.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"Securities Act" means the Securities Act of 1933, as amended.</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"Senior Debt" means (i) all Indebtedness of the Company or any Guarantor outstanding under the Credit Facility and all Hedging Obligations with respect thereto, (ii) any other Indebtedness of the Company or any Guarantor permitted to be incurred under the terms of this Indenture, unless the instrument under which such Indebtedness is incurred expressly provides that it is on a parity with or subordinated in right of payment to the Notes or any Subsidiary Guarantee, and (iii) all Obligations with respect to the items listed in the preceding clauses (i) and (ii). Notwithstanding anything to the contrary in the preceding sentence, Senior Debt will not include (w) any liability for federal, state, local or other taxes owed or owing by the Company, (x) any intercompany Indebtedness of the Company or any of its Restricted Subsidiaries to the Company or any of its Affiliates; (y) any trade payables; or (z) the portion of any Indebtedness that is incurred in violation of this Indenture.</w:t>
      </w:r>
    </w:p>
    <w:p>
      <w:pPr>
        <w:spacing w:after="0" w:line="163"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"Senior Guarantees" means the Guarantees by the Guarantors of Obligations under the Credit Facilities.</w:t>
      </w:r>
    </w:p>
    <w:p>
      <w:pPr>
        <w:spacing w:after="0" w:line="160"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"Shelf Registration Statement" means the Shelf Registration Statement as defined in the Registration Rights Agreement.</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"Significant Subsidiary" means any Subsidiary that would be a "significant subsidiary" as defined in Article 1, Rule 1-02 of Regulation S-X, promulgated pursuant to the Securities Act, as such Regulation is in effect on the date hereof.</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"Stated Maturity"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16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"Subsidiary" means, with respect to any specified Person: (i) any corporation, association or other business entity of which more than 50% of the total voting power of shares of Capital Stock entitled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134" w:name="page135"/>
    <w:bookmarkEnd w:id="134"/>
    <w:p>
      <w:pPr>
        <w:ind w:right="3279"/>
        <w:spacing w:after="0" w:line="253" w:lineRule="auto"/>
        <w:rPr>
          <w:sz w:val="20"/>
          <w:szCs w:val="20"/>
          <w:color w:val="auto"/>
        </w:rPr>
      </w:pPr>
      <w:r>
        <w:rPr>
          <w:rFonts w:ascii="Courier New" w:cs="Courier New" w:eastAsia="Courier New" w:hAnsi="Courier New"/>
          <w:sz w:val="14"/>
          <w:szCs w:val="14"/>
          <w:color w:val="auto"/>
        </w:rPr>
        <w:t>(without regard to the occurrence of any contingency) to vote in the election of directors, managers or trustees of the corporation, association or other business entity is at the time owned or controlled, directly or indirectly, by that Person or one or more of the other Subsidiaries of that Person (or a combination thereof); and (ii) 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6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"Subsidiary Guarantee" means the Guarantee by each Guarantor of the Company's payment obligations under this Indenture and on the Notes, executed pursuant to the provisions of this Indenture.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"TIA" means the Trust Indenture Act of 1939 (15 U.S.C. (S)(S) 77aaa-77bbbb)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in effect on the date on which this Indenture is qualified under the TIA.</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"Trust Officer," when used with respect to the Trustee, means any officer within the corporate trust administration group of the Trustee (or any successor group of the Trustee) or any other officer of the Trustee customarily performing functions similar to those performed by any such officers and also means, with respect to a particular corporate trust matter, any other officer to whom such matter is referred because of his knowledge of and familiarity with the particular subject.</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"Trustee" means the party named as such above until a successor replaces it in accordance with the applicable provisions of this Indenture and thereafter means the successor serving hereunder.</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"Unrestricted Global Note" means a permanent global Note substantially in the form of Exhibit A-1 attached hereto that bears the Global Note Legend and that has the "Schedule of Exchanges of Interests in the Global Note" attached thereto, and that is deposited with or on behalf of and registered in the name of the Depositary, representing a series of Notes that do not bear the Private Placement Legend.</w:t>
      </w:r>
    </w:p>
    <w:p>
      <w:pPr>
        <w:spacing w:after="0" w:line="16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"Unrestricted Definitive Note" means one or more Definitive Notes that do not bear and are not required to bear the Private Placement Legend.</w:t>
      </w:r>
    </w:p>
    <w:p>
      <w:pPr>
        <w:spacing w:after="0" w:line="160" w:lineRule="exact"/>
        <w:rPr>
          <w:sz w:val="20"/>
          <w:szCs w:val="20"/>
          <w:color w:val="auto"/>
        </w:rPr>
      </w:pPr>
    </w:p>
    <w:p>
      <w:pPr>
        <w:ind w:right="3279" w:firstLine="434"/>
        <w:spacing w:after="0" w:line="256" w:lineRule="auto"/>
        <w:rPr>
          <w:sz w:val="20"/>
          <w:szCs w:val="20"/>
          <w:color w:val="auto"/>
        </w:rPr>
      </w:pPr>
      <w:r>
        <w:rPr>
          <w:rFonts w:ascii="Courier New" w:cs="Courier New" w:eastAsia="Courier New" w:hAnsi="Courier New"/>
          <w:sz w:val="14"/>
          <w:szCs w:val="14"/>
          <w:color w:val="auto"/>
        </w:rPr>
        <w:t>"Unrestricted Subsidiary" means any Subsidiary of the Company that is designated by the Board of Directors as an Unrestricted Subsidiary pursuant to a resolution of the Board of Directors, but only to the extent that such Subsidiary:</w:t>
      </w:r>
    </w:p>
    <w:p>
      <w:pPr>
        <w:spacing w:after="0" w:line="327" w:lineRule="exact"/>
        <w:rPr>
          <w:sz w:val="20"/>
          <w:szCs w:val="20"/>
          <w:color w:val="auto"/>
        </w:rPr>
      </w:pPr>
    </w:p>
    <w:p>
      <w:pPr>
        <w:ind w:left="1220" w:hanging="343"/>
        <w:spacing w:after="0"/>
        <w:tabs>
          <w:tab w:leader="none" w:pos="12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no Indebtedness other than Non-Recourse Debt;</w:t>
      </w:r>
    </w:p>
    <w:p>
      <w:pPr>
        <w:spacing w:after="0" w:line="175" w:lineRule="exact"/>
        <w:rPr>
          <w:rFonts w:ascii="Courier New" w:cs="Courier New" w:eastAsia="Courier New" w:hAnsi="Courier New"/>
          <w:sz w:val="14"/>
          <w:szCs w:val="14"/>
          <w:color w:val="auto"/>
        </w:rPr>
      </w:pPr>
    </w:p>
    <w:p>
      <w:pPr>
        <w:ind w:left="440" w:right="3279" w:firstLine="437"/>
        <w:spacing w:after="0" w:line="254" w:lineRule="auto"/>
        <w:tabs>
          <w:tab w:leader="none" w:pos="1221"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not party to any agreement, contract, arrangement or understanding with the Company or any Restricted Subsidiary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329" w:lineRule="exact"/>
        <w:rPr>
          <w:rFonts w:ascii="Courier New" w:cs="Courier New" w:eastAsia="Courier New" w:hAnsi="Courier New"/>
          <w:sz w:val="14"/>
          <w:szCs w:val="14"/>
          <w:color w:val="auto"/>
        </w:rPr>
      </w:pPr>
    </w:p>
    <w:p>
      <w:pPr>
        <w:ind w:left="440" w:right="3459" w:firstLine="437"/>
        <w:spacing w:after="0" w:line="254" w:lineRule="auto"/>
        <w:tabs>
          <w:tab w:leader="none" w:pos="1221"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 Person with respect to which neither the Company nor any of the Restricted Subsidiaries has any direct or indirect obligation to maintain or preserve such Person's financial condition or to cause such Person to achieve any specified levels of operating results; and</w:t>
      </w:r>
    </w:p>
    <w:p>
      <w:pPr>
        <w:spacing w:after="0" w:line="163" w:lineRule="exact"/>
        <w:rPr>
          <w:rFonts w:ascii="Courier New" w:cs="Courier New" w:eastAsia="Courier New" w:hAnsi="Courier New"/>
          <w:sz w:val="14"/>
          <w:szCs w:val="14"/>
          <w:color w:val="auto"/>
        </w:rPr>
      </w:pPr>
    </w:p>
    <w:p>
      <w:pPr>
        <w:ind w:left="440" w:right="3279" w:firstLine="437"/>
        <w:spacing w:after="0" w:line="255" w:lineRule="auto"/>
        <w:tabs>
          <w:tab w:leader="none" w:pos="1221"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not guaranteed or otherwise directly or indirectly provided credit support for any Indebtedness of the Company or any of the Restricted Subsidiaries.</w:t>
      </w:r>
    </w:p>
    <w:p>
      <w:pPr>
        <w:spacing w:after="0" w:line="162" w:lineRule="exact"/>
        <w:rPr>
          <w:sz w:val="20"/>
          <w:szCs w:val="20"/>
          <w:color w:val="auto"/>
        </w:rPr>
      </w:pPr>
    </w:p>
    <w:p>
      <w:pPr>
        <w:ind w:right="3979" w:firstLine="434"/>
        <w:spacing w:after="0" w:line="255" w:lineRule="auto"/>
        <w:rPr>
          <w:sz w:val="20"/>
          <w:szCs w:val="20"/>
          <w:color w:val="auto"/>
        </w:rPr>
      </w:pPr>
      <w:r>
        <w:rPr>
          <w:rFonts w:ascii="Courier New" w:cs="Courier New" w:eastAsia="Courier New" w:hAnsi="Courier New"/>
          <w:sz w:val="14"/>
          <w:szCs w:val="14"/>
          <w:color w:val="auto"/>
        </w:rPr>
        <w:t>Any designation of a Subsidiary of the Company as an Unrestricted Subsidiary will be evidenced to the Trustee by filing with the Trustee a certified copy of the Board Resolution giving effect to such</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135" w:name="page136"/>
    <w:bookmarkEnd w:id="135"/>
    <w:p>
      <w:pPr>
        <w:ind w:right="3279"/>
        <w:spacing w:after="0" w:line="252" w:lineRule="auto"/>
        <w:rPr>
          <w:sz w:val="20"/>
          <w:szCs w:val="20"/>
          <w:color w:val="auto"/>
        </w:rPr>
      </w:pPr>
      <w:r>
        <w:rPr>
          <w:rFonts w:ascii="Courier New" w:cs="Courier New" w:eastAsia="Courier New" w:hAnsi="Courier New"/>
          <w:sz w:val="14"/>
          <w:szCs w:val="14"/>
          <w:color w:val="auto"/>
        </w:rPr>
        <w:t>designation and an officers' certificate certifying that such designation complied with the preceding conditions and was permitted by the terms of Section 4.07 hereof.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as of such date and, if such Indebtedness is not permitted to be incurred as of such date pursuant to Section 4.09, the Company will be in default under such section. The Board of Directors of the Company may at any time designate any Unrestricted Subsidiary to be a Restricted Subsidiary; provided that such designation will be deemed to be an incurrence of Indebtedness by a Restricted Subsidiary of any outstanding Indebtedness of such Unrestricted Subsidiary and such designation will only be permitted if (1) such Indebtedness is permitted pursuant to Section 4.09 calculated on a pro forma basis as if such designation had occurred at the beginning of the four-quarter reference period; and (2) no Default or Event of Default would be in existence following such designation.</w:t>
      </w:r>
    </w:p>
    <w:p>
      <w:pPr>
        <w:spacing w:after="0" w:line="340"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"U.S. Person" means a U.S. person as defined in Rule 902(o) under the Securities Act.</w:t>
      </w:r>
    </w:p>
    <w:p>
      <w:pPr>
        <w:spacing w:after="0" w:line="16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"Voting Stock" of any Person as of any date means the Capital Stock of such Person that is at the time entitled to vote in the election of the Board of Directors of such Person.</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"Weighted Average Life to Maturity"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 (ii) the then outstanding principal amount of such Indebtedness.</w:t>
      </w:r>
    </w:p>
    <w:p>
      <w:pPr>
        <w:spacing w:after="0" w:line="165"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"Wholly Owned Restricted Subsidiary"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6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1.02.</w:t>
        <w:tab/>
        <w:t>Other Definitions.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5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Defined in</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Term</w:t>
            </w:r>
          </w:p>
        </w:tc>
        <w:tc>
          <w:tcPr>
            <w:tcW w:w="5120" w:type="dxa"/>
            <w:vAlign w:val="bottom"/>
          </w:tcPr>
          <w:p>
            <w:pPr>
              <w:ind w:left="4160"/>
              <w:spacing w:after="0"/>
              <w:rPr>
                <w:sz w:val="20"/>
                <w:szCs w:val="20"/>
                <w:color w:val="auto"/>
              </w:rPr>
            </w:pPr>
            <w:r>
              <w:rPr>
                <w:rFonts w:ascii="Courier New" w:cs="Courier New" w:eastAsia="Courier New" w:hAnsi="Courier New"/>
                <w:sz w:val="14"/>
                <w:szCs w:val="14"/>
                <w:color w:val="auto"/>
              </w:rPr>
              <w:t>Section</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3"/>
              </w:rPr>
              <w:t>- -----------------------------------------------------------------------------------</w:t>
            </w:r>
          </w:p>
        </w:tc>
        <w:tc>
          <w:tcPr>
            <w:tcW w:w="5120" w:type="dxa"/>
            <w:vAlign w:val="bottom"/>
          </w:tcPr>
          <w:p>
            <w:pPr>
              <w:ind w:left="4160"/>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"Affiliate Transaction"............................................................</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"Asset Sale Offer".................................................................</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"Authentication Order".............................................................</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"Change of Control Offer"..........................................................</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4.15</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"Change of Control Payment"........................................................</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4.15</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"Change of Control Payment Date"...................................................</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4.15</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"Covenant Defeasance"..............................................................</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8.03</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"Event of Default".................................................................</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6.01</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"Excess Proceeds"..................................................................</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4.10</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"incur"............................................................................</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4.09</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"Incurrence Notice"................................................................</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4.09</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"Legal Defeasance".................................................................</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8.02</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"Offer Amount".....................................................................</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"Offer Period".....................................................................</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"Paying Agent".....................................................................</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"Payment Blockage Notice"..........................................................</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10.03</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"Payment Default"..................................................................</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6.01</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"Permitted Debt"...................................................................</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4.09</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"Purchase Date"....................................................................</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"Registrar"........................................................................</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9"/>
                <w:szCs w:val="9"/>
                <w:color w:val="auto"/>
                <w:w w:val="75"/>
              </w:rPr>
              <w:t>"Restricted Payments"..............................................................</w:t>
            </w:r>
          </w:p>
        </w:tc>
        <w:tc>
          <w:tcPr>
            <w:tcW w:w="5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4.07</w:t>
            </w:r>
          </w:p>
        </w:tc>
      </w:tr>
      <w:tr>
        <w:trPr>
          <w:trHeight w:val="501"/>
        </w:trPr>
        <w:tc>
          <w:tcPr>
            <w:tcW w:w="3400" w:type="dxa"/>
            <w:vAlign w:val="bottom"/>
          </w:tcPr>
          <w:p>
            <w:pPr>
              <w:spacing w:after="0"/>
              <w:rPr>
                <w:sz w:val="24"/>
                <w:szCs w:val="24"/>
                <w:color w:val="auto"/>
              </w:rPr>
            </w:pPr>
          </w:p>
        </w:tc>
        <w:tc>
          <w:tcPr>
            <w:tcW w:w="5120" w:type="dxa"/>
            <w:vAlign w:val="bottom"/>
          </w:tcPr>
          <w:p>
            <w:pPr>
              <w:jc w:val="right"/>
              <w:ind w:right="4888"/>
              <w:spacing w:after="0"/>
              <w:rPr>
                <w:sz w:val="20"/>
                <w:szCs w:val="20"/>
                <w:color w:val="auto"/>
              </w:rPr>
            </w:pPr>
            <w:r>
              <w:rPr>
                <w:rFonts w:ascii="Courier New" w:cs="Courier New" w:eastAsia="Courier New" w:hAnsi="Courier New"/>
                <w:sz w:val="14"/>
                <w:szCs w:val="14"/>
                <w:color w:val="auto"/>
                <w:w w:val="83"/>
              </w:rPr>
              <w:t>19</w:t>
            </w:r>
          </w:p>
        </w:tc>
      </w:tr>
    </w:tbl>
    <w:p>
      <w:pPr>
        <w:sectPr>
          <w:pgSz w:w="11900" w:h="16838" w:orient="portrait"/>
          <w:cols w:equalWidth="0" w:num="1">
            <w:col w:w="10239"/>
          </w:cols>
          <w:pgMar w:left="220" w:top="620" w:right="1440" w:bottom="1440" w:gutter="0" w:footer="0" w:header="0"/>
        </w:sectPr>
      </w:pPr>
    </w:p>
    <w:bookmarkStart w:id="136" w:name="page137"/>
    <w:bookmarkEnd w:id="136"/>
    <w:p>
      <w:pPr>
        <w:ind w:left="180"/>
        <w:spacing w:after="0"/>
        <w:tabs>
          <w:tab w:leader="none" w:pos="1460" w:val="left"/>
        </w:tabs>
        <w:rPr>
          <w:sz w:val="20"/>
          <w:szCs w:val="20"/>
          <w:color w:val="auto"/>
        </w:rPr>
      </w:pPr>
      <w:r>
        <w:rPr>
          <w:rFonts w:ascii="Courier New" w:cs="Courier New" w:eastAsia="Courier New" w:hAnsi="Courier New"/>
          <w:sz w:val="14"/>
          <w:szCs w:val="14"/>
          <w:color w:val="auto"/>
        </w:rPr>
        <w:t>Section 1.03.</w:t>
        <w:tab/>
        <w:t>Incorporation by Reference of Trust Indenture Act.</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Whenever this Indenture refers to a provision of the TIA, the provision is incorporated by reference in and made a part of this Indenture.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TIA terms used in this Indenture have the following meanings: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"indenture securities" means the Notes;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"indenture security Holder" means a Holder of a Note;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"indenture to be qualified" means this Indenture;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"indenture trustee" or "institutional trustee" means the Trustee; and</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"obligor" on the Notes and the Subsidiary Guarantees means the Company and the Guarantors, respectively, and any successor obligor upon the Notes and the Subsidiary Guarantees, respectively.</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All other terms used in this Indenture that are defined by the TIA, defined by TIA reference to another statute or defined by SEC rule under the TIA have the meanings so assigned to them.</w:t>
      </w:r>
    </w:p>
    <w:p>
      <w:pPr>
        <w:spacing w:after="0" w:line="16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1.04.</w:t>
        <w:tab/>
        <w:t>Rules of Construction.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Unless the context otherwise requires:</w:t>
      </w:r>
    </w:p>
    <w:p>
      <w:pPr>
        <w:spacing w:after="0" w:line="175" w:lineRule="exact"/>
        <w:rPr>
          <w:sz w:val="20"/>
          <w:szCs w:val="20"/>
          <w:color w:val="auto"/>
        </w:rPr>
      </w:pPr>
    </w:p>
    <w:p>
      <w:pPr>
        <w:ind w:left="1660" w:hanging="349"/>
        <w:spacing w:after="0"/>
        <w:tabs>
          <w:tab w:leader="none" w:pos="16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 has the meaning assigned to it;</w:t>
      </w:r>
    </w:p>
    <w:p>
      <w:pPr>
        <w:spacing w:after="0" w:line="175" w:lineRule="exact"/>
        <w:rPr>
          <w:rFonts w:ascii="Courier New" w:cs="Courier New" w:eastAsia="Courier New" w:hAnsi="Courier New"/>
          <w:sz w:val="14"/>
          <w:szCs w:val="14"/>
          <w:color w:val="auto"/>
        </w:rPr>
      </w:pPr>
    </w:p>
    <w:p>
      <w:pPr>
        <w:ind w:left="880" w:right="3719" w:firstLine="431"/>
        <w:spacing w:after="0" w:line="258" w:lineRule="auto"/>
        <w:tabs>
          <w:tab w:leader="none" w:pos="1661"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accounting term not otherwise defined has the meaning assigned to it in accordance with GAAP;</w:t>
      </w:r>
    </w:p>
    <w:p>
      <w:pPr>
        <w:spacing w:after="0" w:line="159" w:lineRule="exact"/>
        <w:rPr>
          <w:rFonts w:ascii="Courier New" w:cs="Courier New" w:eastAsia="Courier New" w:hAnsi="Courier New"/>
          <w:sz w:val="14"/>
          <w:szCs w:val="14"/>
          <w:color w:val="auto"/>
        </w:rPr>
      </w:pPr>
    </w:p>
    <w:p>
      <w:pPr>
        <w:ind w:left="1660" w:hanging="349"/>
        <w:spacing w:after="0"/>
        <w:tabs>
          <w:tab w:leader="none" w:pos="16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is not exclusive;</w:t>
      </w:r>
    </w:p>
    <w:p>
      <w:pPr>
        <w:spacing w:after="0" w:line="175" w:lineRule="exact"/>
        <w:rPr>
          <w:rFonts w:ascii="Courier New" w:cs="Courier New" w:eastAsia="Courier New" w:hAnsi="Courier New"/>
          <w:sz w:val="14"/>
          <w:szCs w:val="14"/>
          <w:color w:val="auto"/>
        </w:rPr>
      </w:pPr>
    </w:p>
    <w:p>
      <w:pPr>
        <w:ind w:left="880" w:right="3459" w:firstLine="431"/>
        <w:spacing w:after="0" w:line="258" w:lineRule="auto"/>
        <w:tabs>
          <w:tab w:leader="none" w:pos="1661"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words in the singular include the plural, and in the plural include the singular;</w:t>
      </w:r>
    </w:p>
    <w:p>
      <w:pPr>
        <w:spacing w:after="0" w:line="159" w:lineRule="exact"/>
        <w:rPr>
          <w:rFonts w:ascii="Courier New" w:cs="Courier New" w:eastAsia="Courier New" w:hAnsi="Courier New"/>
          <w:sz w:val="14"/>
          <w:szCs w:val="14"/>
          <w:color w:val="auto"/>
        </w:rPr>
      </w:pPr>
    </w:p>
    <w:p>
      <w:pPr>
        <w:ind w:left="1660" w:hanging="349"/>
        <w:spacing w:after="0"/>
        <w:tabs>
          <w:tab w:leader="none" w:pos="16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apply to successive events and transactions; and</w:t>
      </w:r>
    </w:p>
    <w:p>
      <w:pPr>
        <w:spacing w:after="0" w:line="175" w:lineRule="exact"/>
        <w:rPr>
          <w:rFonts w:ascii="Courier New" w:cs="Courier New" w:eastAsia="Courier New" w:hAnsi="Courier New"/>
          <w:sz w:val="14"/>
          <w:szCs w:val="14"/>
          <w:color w:val="auto"/>
        </w:rPr>
      </w:pPr>
    </w:p>
    <w:p>
      <w:pPr>
        <w:ind w:left="880" w:right="3459" w:firstLine="431"/>
        <w:spacing w:after="0" w:line="255" w:lineRule="auto"/>
        <w:tabs>
          <w:tab w:leader="none" w:pos="1661"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sections of or rules under the Securities Act shall be deemed to include substitute, replacement of successor sections or rules adopted by the SEC from time to time.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137" w:name="page138"/>
    <w:bookmarkEnd w:id="137"/>
    <w:p>
      <w:pPr>
        <w:ind w:left="3040"/>
        <w:spacing w:after="0"/>
        <w:rPr>
          <w:sz w:val="20"/>
          <w:szCs w:val="20"/>
          <w:color w:val="auto"/>
        </w:rPr>
      </w:pPr>
      <w:r>
        <w:rPr>
          <w:rFonts w:ascii="Courier New" w:cs="Courier New" w:eastAsia="Courier New" w:hAnsi="Courier New"/>
          <w:sz w:val="14"/>
          <w:szCs w:val="14"/>
          <w:color w:val="auto"/>
        </w:rPr>
        <w:t>ARTICLE 2.</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THE NOTES</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2.01.</w:t>
        <w:tab/>
        <w:t>Form and Dating.</w:t>
      </w:r>
    </w:p>
    <w:p>
      <w:pPr>
        <w:spacing w:after="0" w:line="175" w:lineRule="exact"/>
        <w:rPr>
          <w:sz w:val="20"/>
          <w:szCs w:val="20"/>
          <w:color w:val="auto"/>
        </w:rPr>
      </w:pPr>
    </w:p>
    <w:p>
      <w:pPr>
        <w:ind w:right="3379" w:firstLine="443"/>
        <w:spacing w:after="0" w:line="254" w:lineRule="auto"/>
        <w:tabs>
          <w:tab w:leader="none" w:pos="781"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The Notes and the Trustee's certificate of authentication shall be substantially in the form of Exhibit A hereto. The Notes may have notations, legends or endorsements required by law, stock exchange rule or usage. Each Note shall be dated the date of its authentication. The Notes shall be in denominations of $1,000 and integral multiples thereof.</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terms and provisions contained in the Notes shall constitute, and are hereby expressly made, a part of this Indenture and the Company,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65" w:lineRule="exact"/>
        <w:rPr>
          <w:sz w:val="20"/>
          <w:szCs w:val="20"/>
          <w:color w:val="auto"/>
        </w:rPr>
      </w:pPr>
    </w:p>
    <w:p>
      <w:pPr>
        <w:ind w:right="3279" w:firstLine="443"/>
        <w:spacing w:after="0" w:line="252" w:lineRule="auto"/>
        <w:tabs>
          <w:tab w:leader="none" w:pos="781"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Notes. Notes issued in global form shall be substantially in the form of Exhibit A-1 or A-2 attached hereto (including the Global Note Legend thereon and the "Schedule of Exchanges of Interests in the Global Note" attached thereto). Notes issued in definitive form shall be substantially in the form of Exhibit A-1 attached hereto (but without the Global Note Legend thereon and without the "Schedule of Exchanges of Interests in the Global Note" attached thereto). Each Global Note shall represent such of the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73" w:lineRule="exact"/>
        <w:rPr>
          <w:rFonts w:ascii="Courier New" w:cs="Courier New" w:eastAsia="Courier New" w:hAnsi="Courier New"/>
          <w:sz w:val="14"/>
          <w:szCs w:val="14"/>
          <w:color w:val="auto"/>
        </w:rPr>
      </w:pPr>
    </w:p>
    <w:p>
      <w:pPr>
        <w:ind w:right="3279" w:firstLine="443"/>
        <w:spacing w:after="0" w:line="252" w:lineRule="auto"/>
        <w:tabs>
          <w:tab w:leader="none" w:pos="781"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Temporary Global Notes. Notes offered and sold in reliance on Regulation S shall be issued initially in the form of the Regulation S Temporary Global Note, which shall be deposited on behalf of the purchasers of the Notes represented thereby with the Trustee, at its New York office, as custodian for the Depositary, and registered in the name of the Depositary or the nominee of the Depositary for the accounts of designated agents holding on behalf of Euroclear or Clearstream, duly executed by the Company and authenticated by the Trustee as hereinafter provided. The Restricted Period shall be terminated upon the receipt by the Trustee of (i) a written certificate from the Depositary, together with copies of certificates from Euroclear and Clearstream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will take delivery of a beneficial ownership interest in a 144A Global Note or an IAI Global Note bearing a Private Placement Legend, all as contemplated by Section 2.06(a)(ii) hereof), and (ii) an Officers' Certificate from the Company. Following the termination of the Restricted Period, beneficial interests in the Regulation S Temporary Global Note shall be exchanged for beneficial interests in Regulation S Permanent Global Notes pursuant to the Applicable Procedures. Simultaneously with the authentication of Regulation S Permanent Global Notes, the Trustee shall cancel the Regulation S Temporary Global Note. The aggregate principal amount of the Regulation S Temporary Global Note and the Regulation S Permanent Global Notes may from time to time be increased or decreased by adjustments made on the records of the Trustee and the Depositary or its nominee, as the case may be, in connection with transfers of interest as hereinafter provided.</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138" w:name="page139"/>
    <w:bookmarkEnd w:id="138"/>
    <w:p>
      <w:pPr>
        <w:ind w:right="3379" w:firstLine="443"/>
        <w:spacing w:after="0" w:line="253" w:lineRule="auto"/>
        <w:tabs>
          <w:tab w:leader="none" w:pos="781"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Euroclear and Clearstream Procedures Applicable. The provisions of the "Operating Procedures of the Euroclear System" and "Terms and Conditions Governing Use of Euroclear" and the "General Terms and Conditions of Clearstream" and "Customer Handbook" of Clearstream shall be applicable to transfers of beneficial interests in the Regulation S Temporary Global Note and the Regulation S Permanent Global Notes that are held by Participants through Euroclear or Clearstream.</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2.02.</w:t>
        <w:tab/>
        <w:t>Execution and Authentication.</w:t>
      </w:r>
    </w:p>
    <w:p>
      <w:pPr>
        <w:spacing w:after="0" w:line="175" w:lineRule="exact"/>
        <w:rPr>
          <w:sz w:val="20"/>
          <w:szCs w:val="20"/>
          <w:color w:val="auto"/>
        </w:rPr>
      </w:pPr>
    </w:p>
    <w:p>
      <w:pPr>
        <w:jc w:val="both"/>
        <w:ind w:right="3539" w:firstLine="434"/>
        <w:spacing w:after="0" w:line="255" w:lineRule="auto"/>
        <w:rPr>
          <w:sz w:val="20"/>
          <w:szCs w:val="20"/>
          <w:color w:val="auto"/>
        </w:rPr>
      </w:pPr>
      <w:r>
        <w:rPr>
          <w:rFonts w:ascii="Courier New" w:cs="Courier New" w:eastAsia="Courier New" w:hAnsi="Courier New"/>
          <w:sz w:val="14"/>
          <w:szCs w:val="14"/>
          <w:color w:val="auto"/>
        </w:rPr>
        <w:t>Two Officers shall sign the Notes for the Company by manual or facsimile signature. The Company's seal shall be reproduced on the Notes and may be in facsimile form.</w:t>
      </w:r>
    </w:p>
    <w:p>
      <w:pPr>
        <w:spacing w:after="0" w:line="16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If an Officer whose signature is on a Note no longer holds that office at the time a Note is authenticated, the Note shall nevertheless be valid.</w:t>
      </w:r>
    </w:p>
    <w:p>
      <w:pPr>
        <w:spacing w:after="0" w:line="16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A Note shall not be valid until authenticated by the manual signature of the Trustee. The signature shall be conclusive evidence that the Note has been authenticated under this Indenture.</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Trustee shall, upon a written order of the Company signed by two Officers (an "Authentication Order"), authenticate Notes for original issue up to the aggregate principal amount stated in paragraph 4 of the Notes. The aggregate principal amount of Notes outstanding at any time may not exceed such amount except as provided in Section 2.07 hereof.</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6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2.03.</w:t>
        <w:tab/>
        <w:t>Registrar and Paying Agent.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shall maintain an office or agency where Notes may be presented for registration of transfer or for exchange ("Registrar") and an office or agency where Notes may be presented for payment ("Paying Agent"). The Registrar shall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shall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164"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Company initially appoints The Depository Trust Company ("DTC") to act as Depositary with respect to the Global Notes.</w:t>
      </w:r>
    </w:p>
    <w:p>
      <w:pPr>
        <w:spacing w:after="0" w:line="160"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The Company initially appoints the Trustee to act as the Registrar and Paying Agent and to act as Custodian with respect to the Global Notes.</w:t>
      </w:r>
    </w:p>
    <w:p>
      <w:pPr>
        <w:spacing w:after="0" w:line="16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2.04.</w:t>
        <w:tab/>
        <w:t>Paying Agent to Hold Money in Trust.</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Company shall require each Paying Agent other than the Trustee to agree in writing that the Paying Agent will hold in trust for the benefit of Holders or the Trustee all money held by the Paying Agent for the payment of principal, premium or Liquidated Damages, if any, or interest on the Notes, and</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139" w:name="page140"/>
    <w:bookmarkEnd w:id="139"/>
    <w:p>
      <w:pPr>
        <w:ind w:right="3279"/>
        <w:spacing w:after="0" w:line="253" w:lineRule="auto"/>
        <w:rPr>
          <w:sz w:val="20"/>
          <w:szCs w:val="20"/>
          <w:color w:val="auto"/>
        </w:rPr>
      </w:pPr>
      <w:r>
        <w:rPr>
          <w:rFonts w:ascii="Courier New" w:cs="Courier New" w:eastAsia="Courier New" w:hAnsi="Courier New"/>
          <w:sz w:val="14"/>
          <w:szCs w:val="14"/>
          <w:color w:val="auto"/>
        </w:rPr>
        <w:t>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the Holders all money held by it as Paying Agent. Upon any bankruptcy or reorganization proceedings relating to the Company, the Trustee shall serve as Paying Agent for the Notes.</w:t>
      </w:r>
    </w:p>
    <w:p>
      <w:pPr>
        <w:spacing w:after="0" w:line="16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2.05.</w:t>
        <w:tab/>
        <w:t>Holder Lists.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Trustee shall preserve in as current a form as is reasonably practicable the most recent list available to it of the names and addresses of all Holders and shall otherwise comply with TIA (S) 312(a).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 and the Company shall otherwise comply with TIA (S) 312(a).</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2.06.</w:t>
        <w:tab/>
        <w:t>Transfer and Exchange.</w:t>
      </w:r>
    </w:p>
    <w:p>
      <w:pPr>
        <w:spacing w:after="0" w:line="175" w:lineRule="exact"/>
        <w:rPr>
          <w:sz w:val="20"/>
          <w:szCs w:val="20"/>
          <w:color w:val="auto"/>
        </w:rPr>
      </w:pPr>
    </w:p>
    <w:p>
      <w:pPr>
        <w:ind w:right="3279" w:firstLine="443"/>
        <w:spacing w:after="0" w:line="252" w:lineRule="auto"/>
        <w:tabs>
          <w:tab w:leader="none" w:pos="781"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and Exchange of Global Notes. A Global Note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 (i)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 or</w:t>
      </w:r>
    </w:p>
    <w:p>
      <w:pPr>
        <w:spacing w:after="0" w:line="3" w:lineRule="exact"/>
        <w:rPr>
          <w:rFonts w:ascii="Courier New" w:cs="Courier New" w:eastAsia="Courier New" w:hAnsi="Courier New"/>
          <w:sz w:val="14"/>
          <w:szCs w:val="14"/>
          <w:color w:val="auto"/>
        </w:rPr>
      </w:pPr>
    </w:p>
    <w:p>
      <w:pPr>
        <w:ind w:right="3379" w:firstLine="9"/>
        <w:spacing w:after="0" w:line="252" w:lineRule="auto"/>
        <w:tabs>
          <w:tab w:leader="none" w:pos="434"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in its sole discretion determines that the Global Notes (in whole but not in part) should be exchanged for Definitive Notes and delivers a written notice to such effect to the Trustee; provided that in no event shall the Regulation S Temporary Global Note be exchanged by the Company for Definitive Notes prior to (x) the expiration of the Restricted Period and (y) the receipt by the Registrar of any certificates required pursuant to Rule 903(b)(3)(ii)(B) under the Securities Act. Upon the occurrence of either of the preceding events in (i) or (ii) above, Definitive Notes shall be issued in such names as the Depositary shall instruct the Trustee. Global Notes also may be exchanged or replaced, in whole or in part, as provided in Sections 2.07 and</w:t>
      </w:r>
    </w:p>
    <w:p>
      <w:pPr>
        <w:spacing w:after="0" w:line="3" w:lineRule="exact"/>
        <w:rPr>
          <w:rFonts w:ascii="Courier New" w:cs="Courier New" w:eastAsia="Courier New" w:hAnsi="Courier New"/>
          <w:sz w:val="14"/>
          <w:szCs w:val="14"/>
          <w:color w:val="auto"/>
        </w:rPr>
      </w:pPr>
    </w:p>
    <w:p>
      <w:pPr>
        <w:ind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(f) hereof.</w:t>
      </w:r>
    </w:p>
    <w:p>
      <w:pPr>
        <w:spacing w:after="0" w:line="164" w:lineRule="exact"/>
        <w:rPr>
          <w:rFonts w:ascii="Courier New" w:cs="Courier New" w:eastAsia="Courier New" w:hAnsi="Courier New"/>
          <w:sz w:val="14"/>
          <w:szCs w:val="14"/>
          <w:color w:val="auto"/>
        </w:rPr>
      </w:pPr>
    </w:p>
    <w:p>
      <w:pPr>
        <w:ind w:right="3379" w:firstLine="443"/>
        <w:spacing w:after="0" w:line="253" w:lineRule="auto"/>
        <w:tabs>
          <w:tab w:leader="none" w:pos="781"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and Exchange of Beneficial Interests in the Global Notes.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spacing w:after="0" w:line="164" w:lineRule="exact"/>
        <w:rPr>
          <w:rFonts w:ascii="Courier New" w:cs="Courier New" w:eastAsia="Courier New" w:hAnsi="Courier New"/>
          <w:sz w:val="14"/>
          <w:szCs w:val="14"/>
          <w:color w:val="auto"/>
        </w:rPr>
      </w:pPr>
    </w:p>
    <w:p>
      <w:pPr>
        <w:ind w:left="440" w:right="3539" w:firstLine="437"/>
        <w:spacing w:after="0" w:line="255" w:lineRule="auto"/>
        <w:tabs>
          <w:tab w:leader="none" w:pos="1221" w:val="left"/>
        </w:tabs>
        <w:numPr>
          <w:ilvl w:val="2"/>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Beneficial Interests in the Same Global Note. Beneficial interests in any Restricted Global Note may be transferred to Persons who take delivery thereof in the form</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140" w:name="page141"/>
    <w:bookmarkEnd w:id="140"/>
    <w:p>
      <w:pPr>
        <w:ind w:right="3279"/>
        <w:spacing w:after="0" w:line="253" w:lineRule="auto"/>
        <w:rPr>
          <w:sz w:val="20"/>
          <w:szCs w:val="20"/>
          <w:color w:val="auto"/>
        </w:rPr>
      </w:pPr>
      <w:r>
        <w:rPr>
          <w:rFonts w:ascii="Courier New" w:cs="Courier New" w:eastAsia="Courier New" w:hAnsi="Courier New"/>
          <w:sz w:val="14"/>
          <w:szCs w:val="14"/>
          <w:color w:val="auto"/>
        </w:rPr>
        <w:t>of a beneficial interest in the same Restricted Global Note in accordance with the transfer restrictions set forth in the Private Placement Legend; provided, however, that prior to the expiration of the Restricted Period, transfers of beneficial interests in the Regulation S Temporary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spacing w:after="0" w:line="331" w:lineRule="exact"/>
        <w:rPr>
          <w:sz w:val="20"/>
          <w:szCs w:val="20"/>
          <w:color w:val="auto"/>
        </w:rPr>
      </w:pPr>
    </w:p>
    <w:p>
      <w:pPr>
        <w:ind w:right="3279" w:firstLine="437"/>
        <w:spacing w:after="0" w:line="252" w:lineRule="auto"/>
        <w:tabs>
          <w:tab w:leader="none" w:pos="868"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Transfers and Exchanges of Beneficial Interests in Global Notes. In connection with all transfers and exchanges of beneficial interests that are not subject to Section 2.06(b)(i) above, the transferor of such beneficial interest must deliver to the Registrar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provided that in no event shall Definitive Notes be issued upon the transfer or exchange of beneficial interests in the Regulation S Temporary Global Note prior to (x) the expiration of the Restricted Period and (y) the receipt by the Registrar of any certificates required pursuant to Rule 903 under the Securities Act. Upon consummation of an Exchange Offer by the Company in accordance with Section 2.06(f) hereof, the requirements of this Section 2.06(b)(ii) shall be deemed to have been satisfied upon receipt by the Registrar of the instructions contained in the Letter of Transmittal delivered by the Holder of such beneficial interests in the Restricted Global Notes. Upon satisfaction of all of the requirements for transfer or exchange of beneficial interests in Global Notes contained in this Indenture and the Notes or otherwise applicable under the Securities Act, and upon receipt by the Trustee of an Opinion of Counsel, reasonably acceptable to the Trustee, with respect to such matters, if requested by the Trustee, the Trustee shall adjust the principal amount of the relevant Global Note(s) pursuant to Section 2.06(h) hereof.</w:t>
      </w:r>
    </w:p>
    <w:p>
      <w:pPr>
        <w:spacing w:after="0" w:line="346" w:lineRule="exact"/>
        <w:rPr>
          <w:rFonts w:ascii="Courier New" w:cs="Courier New" w:eastAsia="Courier New" w:hAnsi="Courier New"/>
          <w:sz w:val="14"/>
          <w:szCs w:val="14"/>
          <w:color w:val="auto"/>
        </w:rPr>
      </w:pPr>
    </w:p>
    <w:p>
      <w:pPr>
        <w:ind w:right="3539" w:firstLine="437"/>
        <w:spacing w:after="0" w:line="253" w:lineRule="auto"/>
        <w:tabs>
          <w:tab w:leader="none" w:pos="955"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of Beneficial Interests to Another Restricted Global Note. A beneficial interest in any Restricted Global Note may be transferred to a Person who takes delivery thereof in the form of a beneficial interest in another Restricted Global Note if the transfer complies with the requirements of Section 2.06(b)(ii) above and the Registrar receives the following:</w:t>
      </w:r>
    </w:p>
    <w:p>
      <w:pPr>
        <w:spacing w:after="0" w:line="165" w:lineRule="exact"/>
        <w:rPr>
          <w:rFonts w:ascii="Courier New" w:cs="Courier New" w:eastAsia="Courier New" w:hAnsi="Courier New"/>
          <w:sz w:val="14"/>
          <w:szCs w:val="14"/>
          <w:color w:val="auto"/>
        </w:rPr>
      </w:pPr>
    </w:p>
    <w:p>
      <w:pPr>
        <w:ind w:left="440" w:right="3379" w:firstLine="431"/>
        <w:spacing w:after="0" w:line="254" w:lineRule="auto"/>
        <w:tabs>
          <w:tab w:leader="none" w:pos="1221"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transferee will take delivery in the form of a beneficial interest in the 144A Global Note, then the transferor must deliver a certificate in the form of Exhibit B hereto, including the certifications in item (1) thereof;</w:t>
      </w:r>
    </w:p>
    <w:p>
      <w:pPr>
        <w:spacing w:after="0" w:line="163" w:lineRule="exact"/>
        <w:rPr>
          <w:rFonts w:ascii="Courier New" w:cs="Courier New" w:eastAsia="Courier New" w:hAnsi="Courier New"/>
          <w:sz w:val="14"/>
          <w:szCs w:val="14"/>
          <w:color w:val="auto"/>
        </w:rPr>
      </w:pPr>
    </w:p>
    <w:p>
      <w:pPr>
        <w:ind w:left="440" w:right="3279" w:firstLine="431"/>
        <w:spacing w:after="0" w:line="254" w:lineRule="auto"/>
        <w:tabs>
          <w:tab w:leader="none" w:pos="1221"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transferee will take delivery in the form of a beneficial interest in the Regulation S Temporary Global Note or the Regulation S Permanent Global Note, then the transferor must deliver a certificate in the form of Exhibit B hereto, including the certifications in item (2) thereof; and</w:t>
      </w:r>
    </w:p>
    <w:p>
      <w:pPr>
        <w:spacing w:after="0" w:line="16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799"/>
          </w:cols>
          <w:pgMar w:left="660" w:top="620" w:right="1440" w:bottom="1440" w:gutter="0" w:footer="0" w:header="0"/>
        </w:sectPr>
      </w:pPr>
    </w:p>
    <w:bookmarkStart w:id="141" w:name="page142"/>
    <w:bookmarkEnd w:id="141"/>
    <w:p>
      <w:pPr>
        <w:ind w:left="880" w:right="3459" w:firstLine="431"/>
        <w:spacing w:after="0" w:line="254" w:lineRule="auto"/>
        <w:tabs>
          <w:tab w:leader="none" w:pos="1661"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transferee will take delivery in the form of a beneficial interest in the IAI Global Note, then the transferor must deliver a certificate in the form of Exhibit B hereto, including the certifications and certificates and Opinion of Counsel required by item (3) thereof, if applicable.</w:t>
      </w:r>
    </w:p>
    <w:p>
      <w:pPr>
        <w:spacing w:after="0" w:line="162" w:lineRule="exact"/>
        <w:rPr>
          <w:rFonts w:ascii="Courier New" w:cs="Courier New" w:eastAsia="Courier New" w:hAnsi="Courier New"/>
          <w:sz w:val="14"/>
          <w:szCs w:val="14"/>
          <w:color w:val="auto"/>
        </w:rPr>
      </w:pPr>
    </w:p>
    <w:p>
      <w:pPr>
        <w:ind w:left="440" w:right="3379" w:firstLine="437"/>
        <w:spacing w:after="0" w:line="253" w:lineRule="auto"/>
        <w:tabs>
          <w:tab w:leader="none" w:pos="1308"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and Exchange of Beneficial Interests in a Restricted Global Note for Beneficial Interests in the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above and:</w:t>
      </w:r>
    </w:p>
    <w:p>
      <w:pPr>
        <w:spacing w:after="0" w:line="164" w:lineRule="exact"/>
        <w:rPr>
          <w:rFonts w:ascii="Courier New" w:cs="Courier New" w:eastAsia="Courier New" w:hAnsi="Courier New"/>
          <w:sz w:val="14"/>
          <w:szCs w:val="14"/>
          <w:color w:val="auto"/>
        </w:rPr>
      </w:pPr>
    </w:p>
    <w:p>
      <w:pPr>
        <w:ind w:left="880" w:right="3279" w:firstLine="431"/>
        <w:spacing w:after="0" w:line="253" w:lineRule="auto"/>
        <w:tabs>
          <w:tab w:leader="none" w:pos="1661"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exchange or transfer is effected pursuant to the Exchange Offer in accordance with the Registration Rights Agreement and the holder of the beneficial interest to be transferred, in the case of an exchange, or the transferee, in the case of a transfer, certifies in the applicable Letter of Transmittal that it is not (1) a broker-dealer, (2) a Person participating in the distribution of the Exchange Notes or (3) a Person who is an affiliate (as defined in Rule 144) of the Company;</w:t>
      </w:r>
    </w:p>
    <w:p>
      <w:pPr>
        <w:spacing w:after="0" w:line="331" w:lineRule="exact"/>
        <w:rPr>
          <w:rFonts w:ascii="Courier New" w:cs="Courier New" w:eastAsia="Courier New" w:hAnsi="Courier New"/>
          <w:sz w:val="14"/>
          <w:szCs w:val="14"/>
          <w:color w:val="auto"/>
        </w:rPr>
      </w:pPr>
    </w:p>
    <w:p>
      <w:pPr>
        <w:ind w:left="880" w:right="3379" w:firstLine="431"/>
        <w:spacing w:after="0" w:line="258" w:lineRule="auto"/>
        <w:tabs>
          <w:tab w:leader="none" w:pos="1661"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effected pursuant to the Shelf Registration Statement in accordance with the Registration Rights Agreement;</w:t>
      </w:r>
    </w:p>
    <w:p>
      <w:pPr>
        <w:spacing w:after="0" w:line="159" w:lineRule="exact"/>
        <w:rPr>
          <w:rFonts w:ascii="Courier New" w:cs="Courier New" w:eastAsia="Courier New" w:hAnsi="Courier New"/>
          <w:sz w:val="14"/>
          <w:szCs w:val="14"/>
          <w:color w:val="auto"/>
        </w:rPr>
      </w:pPr>
    </w:p>
    <w:p>
      <w:pPr>
        <w:ind w:left="880" w:right="3379" w:firstLine="431"/>
        <w:spacing w:after="0" w:line="255" w:lineRule="auto"/>
        <w:tabs>
          <w:tab w:leader="none" w:pos="1661"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effected by a Broker-Dealer pursuant to the Exchange Offer Registration Statement in accordance with the Registration Rights Agreement; or</w:t>
      </w:r>
    </w:p>
    <w:p>
      <w:pPr>
        <w:spacing w:after="0" w:line="162" w:lineRule="exact"/>
        <w:rPr>
          <w:rFonts w:ascii="Courier New" w:cs="Courier New" w:eastAsia="Courier New" w:hAnsi="Courier New"/>
          <w:sz w:val="14"/>
          <w:szCs w:val="14"/>
          <w:color w:val="auto"/>
        </w:rPr>
      </w:pPr>
    </w:p>
    <w:p>
      <w:pPr>
        <w:ind w:left="1660" w:hanging="349"/>
        <w:spacing w:after="0"/>
        <w:tabs>
          <w:tab w:leader="none" w:pos="1660"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Registrar receives the following:</w:t>
      </w:r>
    </w:p>
    <w:p>
      <w:pPr>
        <w:spacing w:after="0" w:line="175" w:lineRule="exact"/>
        <w:rPr>
          <w:rFonts w:ascii="Courier New" w:cs="Courier New" w:eastAsia="Courier New" w:hAnsi="Courier New"/>
          <w:sz w:val="14"/>
          <w:szCs w:val="14"/>
          <w:color w:val="auto"/>
        </w:rPr>
      </w:pPr>
    </w:p>
    <w:p>
      <w:pPr>
        <w:ind w:left="1320" w:right="3459" w:firstLine="425"/>
        <w:spacing w:after="0" w:line="254" w:lineRule="auto"/>
        <w:tabs>
          <w:tab w:leader="none" w:pos="2101" w:val="left"/>
        </w:tabs>
        <w:numPr>
          <w:ilvl w:val="2"/>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162" w:lineRule="exact"/>
        <w:rPr>
          <w:rFonts w:ascii="Courier New" w:cs="Courier New" w:eastAsia="Courier New" w:hAnsi="Courier New"/>
          <w:sz w:val="14"/>
          <w:szCs w:val="14"/>
          <w:color w:val="auto"/>
        </w:rPr>
      </w:pPr>
    </w:p>
    <w:p>
      <w:pPr>
        <w:ind w:left="1320" w:right="3379" w:firstLine="425"/>
        <w:spacing w:after="0" w:line="253" w:lineRule="auto"/>
        <w:tabs>
          <w:tab w:leader="none" w:pos="2101" w:val="left"/>
        </w:tabs>
        <w:numPr>
          <w:ilvl w:val="2"/>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165" w:lineRule="exact"/>
        <w:rPr>
          <w:sz w:val="20"/>
          <w:szCs w:val="20"/>
          <w:color w:val="auto"/>
        </w:rPr>
      </w:pPr>
    </w:p>
    <w:p>
      <w:pPr>
        <w:ind w:left="880" w:right="3279"/>
        <w:spacing w:after="0" w:line="253" w:lineRule="auto"/>
        <w:rPr>
          <w:sz w:val="20"/>
          <w:szCs w:val="20"/>
          <w:color w:val="auto"/>
        </w:rPr>
      </w:pPr>
      <w:r>
        <w:rPr>
          <w:rFonts w:ascii="Courier New" w:cs="Courier New" w:eastAsia="Courier New" w:hAnsi="Courier New"/>
          <w:sz w:val="14"/>
          <w:szCs w:val="14"/>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If any such transfer is effected pursuant to subparagraph (B) or (D)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subparagraph (B) or (D) above.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142" w:name="page143"/>
    <w:bookmarkEnd w:id="142"/>
    <w:p>
      <w:pPr>
        <w:ind w:right="3639" w:firstLine="434"/>
        <w:spacing w:after="0" w:line="255" w:lineRule="auto"/>
        <w:rPr>
          <w:sz w:val="20"/>
          <w:szCs w:val="20"/>
          <w:color w:val="auto"/>
        </w:rPr>
      </w:pPr>
      <w:r>
        <w:rPr>
          <w:rFonts w:ascii="Courier New" w:cs="Courier New" w:eastAsia="Courier New" w:hAnsi="Courier New"/>
          <w:sz w:val="14"/>
          <w:szCs w:val="14"/>
          <w:color w:val="auto"/>
        </w:rPr>
        <w:t>Beneficial interests in an Unrestricted Global Note cannot be exchanged for, or transferred to Persons who take delivery thereof in the form of, a beneficial interest in a Restricted Global Note.</w:t>
      </w:r>
    </w:p>
    <w:p>
      <w:pPr>
        <w:spacing w:after="0" w:line="162" w:lineRule="exact"/>
        <w:rPr>
          <w:sz w:val="20"/>
          <w:szCs w:val="20"/>
          <w:color w:val="auto"/>
        </w:rPr>
      </w:pPr>
    </w:p>
    <w:p>
      <w:pPr>
        <w:ind w:left="800" w:hanging="357"/>
        <w:spacing w:after="0"/>
        <w:tabs>
          <w:tab w:leader="none" w:pos="80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or Exchange of Beneficial Interests for Definitive Notes.</w:t>
      </w:r>
    </w:p>
    <w:p>
      <w:pPr>
        <w:spacing w:after="0" w:line="175" w:lineRule="exact"/>
        <w:rPr>
          <w:rFonts w:ascii="Courier New" w:cs="Courier New" w:eastAsia="Courier New" w:hAnsi="Courier New"/>
          <w:sz w:val="14"/>
          <w:szCs w:val="14"/>
          <w:color w:val="auto"/>
        </w:rPr>
      </w:pPr>
    </w:p>
    <w:p>
      <w:pPr>
        <w:ind w:left="440" w:right="3379" w:firstLine="437"/>
        <w:spacing w:after="0" w:line="253" w:lineRule="auto"/>
        <w:tabs>
          <w:tab w:leader="none" w:pos="1221"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Interests in Restricted Global Notes to Restricted Definitive Notes.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65" w:lineRule="exact"/>
        <w:rPr>
          <w:rFonts w:ascii="Courier New" w:cs="Courier New" w:eastAsia="Courier New" w:hAnsi="Courier New"/>
          <w:sz w:val="14"/>
          <w:szCs w:val="14"/>
          <w:color w:val="auto"/>
        </w:rPr>
      </w:pPr>
    </w:p>
    <w:p>
      <w:pPr>
        <w:ind w:left="880" w:right="3279" w:firstLine="431"/>
        <w:spacing w:after="0" w:line="254" w:lineRule="auto"/>
        <w:tabs>
          <w:tab w:leader="none" w:pos="1661" w:val="left"/>
        </w:tabs>
        <w:numPr>
          <w:ilvl w:val="2"/>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62" w:lineRule="exact"/>
        <w:rPr>
          <w:rFonts w:ascii="Courier New" w:cs="Courier New" w:eastAsia="Courier New" w:hAnsi="Courier New"/>
          <w:sz w:val="14"/>
          <w:szCs w:val="14"/>
          <w:color w:val="auto"/>
        </w:rPr>
      </w:pPr>
    </w:p>
    <w:p>
      <w:pPr>
        <w:ind w:left="880" w:right="3279" w:firstLine="431"/>
        <w:spacing w:after="0" w:line="254" w:lineRule="auto"/>
        <w:tabs>
          <w:tab w:leader="none" w:pos="1661" w:val="left"/>
        </w:tabs>
        <w:numPr>
          <w:ilvl w:val="2"/>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beneficial interest is being transferred to a QIB in accordance with Rule 144A under the Securities Act, a certificate to the effect set forth in Exhibit B hereto, including the certifications in item (1) thereof;</w:t>
      </w:r>
    </w:p>
    <w:p>
      <w:pPr>
        <w:spacing w:after="0" w:line="163" w:lineRule="exact"/>
        <w:rPr>
          <w:rFonts w:ascii="Courier New" w:cs="Courier New" w:eastAsia="Courier New" w:hAnsi="Courier New"/>
          <w:sz w:val="14"/>
          <w:szCs w:val="14"/>
          <w:color w:val="auto"/>
        </w:rPr>
      </w:pPr>
    </w:p>
    <w:p>
      <w:pPr>
        <w:ind w:left="1660" w:hanging="349"/>
        <w:spacing w:after="0"/>
        <w:tabs>
          <w:tab w:leader="none" w:pos="1660" w:val="left"/>
        </w:tabs>
        <w:numPr>
          <w:ilvl w:val="2"/>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beneficial interest is being transferred to a</w:t>
      </w:r>
    </w:p>
    <w:p>
      <w:pPr>
        <w:spacing w:after="0" w:line="8" w:lineRule="exact"/>
        <w:rPr>
          <w:sz w:val="20"/>
          <w:szCs w:val="20"/>
          <w:color w:val="auto"/>
        </w:rPr>
      </w:pPr>
    </w:p>
    <w:p>
      <w:pPr>
        <w:ind w:left="880" w:right="3279"/>
        <w:spacing w:after="0" w:line="254" w:lineRule="auto"/>
        <w:rPr>
          <w:sz w:val="20"/>
          <w:szCs w:val="20"/>
          <w:color w:val="auto"/>
        </w:rPr>
      </w:pPr>
      <w:r>
        <w:rPr>
          <w:rFonts w:ascii="Courier New" w:cs="Courier New" w:eastAsia="Courier New" w:hAnsi="Courier New"/>
          <w:sz w:val="14"/>
          <w:szCs w:val="14"/>
          <w:color w:val="auto"/>
        </w:rPr>
        <w:t>Non-U.S. Person in an offshore transaction in accordance with Rule 903 or Rule 904 under the Securities Act, a certificate to the effect set forth in Exhibit B hereto, including the certifications in item (2) thereof;</w:t>
      </w:r>
    </w:p>
    <w:p>
      <w:pPr>
        <w:spacing w:after="0" w:line="163" w:lineRule="exact"/>
        <w:rPr>
          <w:sz w:val="20"/>
          <w:szCs w:val="20"/>
          <w:color w:val="auto"/>
        </w:rPr>
      </w:pPr>
    </w:p>
    <w:p>
      <w:pPr>
        <w:jc w:val="both"/>
        <w:ind w:left="880" w:right="3279" w:firstLine="431"/>
        <w:spacing w:after="0" w:line="254" w:lineRule="auto"/>
        <w:tabs>
          <w:tab w:leader="none" w:pos="1661"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beneficial interest is being transferred pursuant to an exemption from the registration requirements of the Securities Act in accordance with Rule 144 under the Securities Act, a certificate to the effect set forth in Exhibit B hereto, including the certifications in item (3)(a) thereof;</w:t>
      </w:r>
    </w:p>
    <w:p>
      <w:pPr>
        <w:spacing w:after="0" w:line="162" w:lineRule="exact"/>
        <w:rPr>
          <w:rFonts w:ascii="Courier New" w:cs="Courier New" w:eastAsia="Courier New" w:hAnsi="Courier New"/>
          <w:sz w:val="14"/>
          <w:szCs w:val="14"/>
          <w:color w:val="auto"/>
        </w:rPr>
      </w:pPr>
    </w:p>
    <w:p>
      <w:pPr>
        <w:ind w:left="880" w:right="3279" w:firstLine="431"/>
        <w:spacing w:after="0" w:line="253" w:lineRule="auto"/>
        <w:tabs>
          <w:tab w:leader="none" w:pos="1661"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beneficial interest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332" w:lineRule="exact"/>
        <w:rPr>
          <w:rFonts w:ascii="Courier New" w:cs="Courier New" w:eastAsia="Courier New" w:hAnsi="Courier New"/>
          <w:sz w:val="14"/>
          <w:szCs w:val="14"/>
          <w:color w:val="auto"/>
        </w:rPr>
      </w:pPr>
    </w:p>
    <w:p>
      <w:pPr>
        <w:ind w:left="880" w:right="3279" w:firstLine="431"/>
        <w:spacing w:after="0" w:line="254" w:lineRule="auto"/>
        <w:tabs>
          <w:tab w:leader="none" w:pos="1661"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beneficial interest is being transferred to the Company or any of its Subsidiaries, a certificate to the effect set forth in Exhibit B hereto, including the certifications in item (3)(b) thereof; or</w:t>
      </w:r>
    </w:p>
    <w:p>
      <w:pPr>
        <w:spacing w:after="0" w:line="163" w:lineRule="exact"/>
        <w:rPr>
          <w:rFonts w:ascii="Courier New" w:cs="Courier New" w:eastAsia="Courier New" w:hAnsi="Courier New"/>
          <w:sz w:val="14"/>
          <w:szCs w:val="14"/>
          <w:color w:val="auto"/>
        </w:rPr>
      </w:pPr>
    </w:p>
    <w:p>
      <w:pPr>
        <w:ind w:left="880" w:right="3279" w:firstLine="431"/>
        <w:spacing w:after="0" w:line="254" w:lineRule="auto"/>
        <w:tabs>
          <w:tab w:leader="none" w:pos="1661"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63" w:lineRule="exact"/>
        <w:rPr>
          <w:sz w:val="20"/>
          <w:szCs w:val="20"/>
          <w:color w:val="auto"/>
        </w:rPr>
      </w:pPr>
    </w:p>
    <w:p>
      <w:pPr>
        <w:ind w:left="440" w:right="3459"/>
        <w:spacing w:after="0" w:line="253" w:lineRule="auto"/>
        <w:rPr>
          <w:sz w:val="20"/>
          <w:szCs w:val="20"/>
          <w:color w:val="auto"/>
        </w:rPr>
      </w:pPr>
      <w:r>
        <w:rPr>
          <w:rFonts w:ascii="Courier New" w:cs="Courier New" w:eastAsia="Courier New" w:hAnsi="Courier New"/>
          <w:sz w:val="14"/>
          <w:szCs w:val="14"/>
          <w:color w:val="auto"/>
        </w:rPr>
        <w:t>the Trustee shall cause the aggregate principal amount of the applicable Global Note to be reduced accordingly pursuant to Section 2.06(h)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143" w:name="page144"/>
    <w:bookmarkEnd w:id="143"/>
    <w:p>
      <w:pPr>
        <w:ind w:right="3539"/>
        <w:spacing w:after="0" w:line="253" w:lineRule="auto"/>
        <w:rPr>
          <w:sz w:val="20"/>
          <w:szCs w:val="20"/>
          <w:color w:val="auto"/>
        </w:rPr>
      </w:pPr>
      <w:r>
        <w:rPr>
          <w:rFonts w:ascii="Courier New" w:cs="Courier New" w:eastAsia="Courier New" w:hAnsi="Courier New"/>
          <w:sz w:val="14"/>
          <w:szCs w:val="14"/>
          <w:color w:val="auto"/>
        </w:rPr>
        <w:t>the Participant or Indirect Participant. The Trustee shall deliver such Definitive Notes to the Persons in whose names such Notes are so registered. Any Definitive Note issued in exchange for a beneficial interest in a Restricted Global Note pursuant to this Section 2.06(c)(i) shall bear the Private Placement Legend and shall be subject to all restrictions on transfer contained therein.</w:t>
      </w:r>
    </w:p>
    <w:p>
      <w:pPr>
        <w:spacing w:after="0" w:line="165" w:lineRule="exact"/>
        <w:rPr>
          <w:sz w:val="20"/>
          <w:szCs w:val="20"/>
          <w:color w:val="auto"/>
        </w:rPr>
      </w:pPr>
    </w:p>
    <w:p>
      <w:pPr>
        <w:ind w:right="3279" w:firstLine="437"/>
        <w:spacing w:after="0" w:line="253" w:lineRule="auto"/>
        <w:tabs>
          <w:tab w:leader="none" w:pos="868"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Interests in Regulation S Temporary Global Note to Definitive Notes. Notwithstanding Sections 2.06(c)(i)(A) and (C) hereof, a beneficial interest in the Regulation S Temporary Global Note may not be exchanged for a Definitive Note or transferred to a Person who takes delivery thereof in the form of a Definitive Note prior to (x) the expiration of the Restricted Period and (y) the receipt by the Registrar of any certificates required pursuant to Rule 903(b)(3)(ii)(B) under the Securities Act, except in the case of a transfer pursuant to an exemption from the registration requirements of the Securities Act other than Rule 903 or Rule 904.</w:t>
      </w:r>
    </w:p>
    <w:p>
      <w:pPr>
        <w:spacing w:after="0" w:line="331" w:lineRule="exact"/>
        <w:rPr>
          <w:rFonts w:ascii="Courier New" w:cs="Courier New" w:eastAsia="Courier New" w:hAnsi="Courier New"/>
          <w:sz w:val="14"/>
          <w:szCs w:val="14"/>
          <w:color w:val="auto"/>
        </w:rPr>
      </w:pPr>
    </w:p>
    <w:p>
      <w:pPr>
        <w:ind w:right="3379" w:firstLine="437"/>
        <w:spacing w:after="0" w:line="254" w:lineRule="auto"/>
        <w:tabs>
          <w:tab w:leader="none" w:pos="955"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Interests in Restricted Global Notes to Unrestricted Definitive Notes. A Holder of a beneficial interest in a Restricted Global Note may exchange such beneficial interest for an Unrestricted Definitive Note or may transfer such beneficial interest to a Person who takes delivery thereof in the form of an Unrestricted Definitive Note only if:</w:t>
      </w:r>
    </w:p>
    <w:p>
      <w:pPr>
        <w:spacing w:after="0" w:line="162" w:lineRule="exact"/>
        <w:rPr>
          <w:rFonts w:ascii="Courier New" w:cs="Courier New" w:eastAsia="Courier New" w:hAnsi="Courier New"/>
          <w:sz w:val="14"/>
          <w:szCs w:val="14"/>
          <w:color w:val="auto"/>
        </w:rPr>
      </w:pPr>
    </w:p>
    <w:p>
      <w:pPr>
        <w:ind w:left="440" w:right="3279" w:firstLine="431"/>
        <w:spacing w:after="0" w:line="253" w:lineRule="auto"/>
        <w:tabs>
          <w:tab w:leader="none" w:pos="1221"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exchange or transfer is effected pursuant to the Exchange Offer in accordance with the Registration Rights Agreement and the Holder of such beneficial interest, in the case of an exchange, or the transferee, in the case of a transfer, certifies in the applicable Letter of Transmittal that it is not (1) a broker-dealer, (2) a Person participating in the distribution of the Exchange Notes or (3) a Person who is an affiliate (as defined in Rule 144) of the Company;</w:t>
      </w:r>
    </w:p>
    <w:p>
      <w:pPr>
        <w:spacing w:after="0" w:line="331" w:lineRule="exact"/>
        <w:rPr>
          <w:rFonts w:ascii="Courier New" w:cs="Courier New" w:eastAsia="Courier New" w:hAnsi="Courier New"/>
          <w:sz w:val="14"/>
          <w:szCs w:val="14"/>
          <w:color w:val="auto"/>
        </w:rPr>
      </w:pPr>
    </w:p>
    <w:p>
      <w:pPr>
        <w:ind w:left="440" w:right="3379" w:firstLine="431"/>
        <w:spacing w:after="0" w:line="258" w:lineRule="auto"/>
        <w:tabs>
          <w:tab w:leader="none" w:pos="1221"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effected pursuant to the Shelf Registration Statement in accordance with the Registration Rights Agreement;</w:t>
      </w:r>
    </w:p>
    <w:p>
      <w:pPr>
        <w:spacing w:after="0" w:line="159" w:lineRule="exact"/>
        <w:rPr>
          <w:rFonts w:ascii="Courier New" w:cs="Courier New" w:eastAsia="Courier New" w:hAnsi="Courier New"/>
          <w:sz w:val="14"/>
          <w:szCs w:val="14"/>
          <w:color w:val="auto"/>
        </w:rPr>
      </w:pPr>
    </w:p>
    <w:p>
      <w:pPr>
        <w:ind w:left="440" w:right="3379" w:firstLine="431"/>
        <w:spacing w:after="0" w:line="255" w:lineRule="auto"/>
        <w:tabs>
          <w:tab w:leader="none" w:pos="1221"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effected by a Broker-Dealer pursuant to the Exchange Offer Registration Statement in accordance with the Registration Rights Agreement; or</w:t>
      </w:r>
    </w:p>
    <w:p>
      <w:pPr>
        <w:spacing w:after="0" w:line="162" w:lineRule="exact"/>
        <w:rPr>
          <w:rFonts w:ascii="Courier New" w:cs="Courier New" w:eastAsia="Courier New" w:hAnsi="Courier New"/>
          <w:sz w:val="14"/>
          <w:szCs w:val="14"/>
          <w:color w:val="auto"/>
        </w:rPr>
      </w:pPr>
    </w:p>
    <w:p>
      <w:pPr>
        <w:ind w:left="1220" w:hanging="349"/>
        <w:spacing w:after="0"/>
        <w:tabs>
          <w:tab w:leader="none" w:pos="1220"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Registrar receives the following:</w:t>
      </w:r>
    </w:p>
    <w:p>
      <w:pPr>
        <w:spacing w:after="0" w:line="175" w:lineRule="exact"/>
        <w:rPr>
          <w:rFonts w:ascii="Courier New" w:cs="Courier New" w:eastAsia="Courier New" w:hAnsi="Courier New"/>
          <w:sz w:val="14"/>
          <w:szCs w:val="14"/>
          <w:color w:val="auto"/>
        </w:rPr>
      </w:pPr>
    </w:p>
    <w:p>
      <w:pPr>
        <w:ind w:left="880" w:right="3459" w:firstLine="425"/>
        <w:spacing w:after="0" w:line="253" w:lineRule="auto"/>
        <w:tabs>
          <w:tab w:leader="none" w:pos="1661" w:val="left"/>
        </w:tabs>
        <w:numPr>
          <w:ilvl w:val="2"/>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of such beneficial interest in a Restricted Global Note proposes to exchange such beneficial interest for a Definitive Note that does not bear the Private Placement Legend, a certificate from such holder in the form of Exhibit C hereto, including the certifications in item (1)(b) thereof; or</w:t>
      </w:r>
    </w:p>
    <w:p>
      <w:pPr>
        <w:spacing w:after="0" w:line="165" w:lineRule="exact"/>
        <w:rPr>
          <w:rFonts w:ascii="Courier New" w:cs="Courier New" w:eastAsia="Courier New" w:hAnsi="Courier New"/>
          <w:sz w:val="14"/>
          <w:szCs w:val="14"/>
          <w:color w:val="auto"/>
        </w:rPr>
      </w:pPr>
    </w:p>
    <w:p>
      <w:pPr>
        <w:ind w:left="880" w:right="3379" w:firstLine="425"/>
        <w:spacing w:after="0" w:line="253" w:lineRule="auto"/>
        <w:tabs>
          <w:tab w:leader="none" w:pos="1661" w:val="left"/>
        </w:tabs>
        <w:numPr>
          <w:ilvl w:val="2"/>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of such beneficial interest in a Restricted Global Note proposes to transfer such beneficial interest to a Person who shall take delivery thereof in the form of a Definitive Note that does not bear the Private Placement Legend, a certificate from such holder in the form of Exhibit B hereto, including the certifications in item (4) thereof;</w:t>
      </w:r>
    </w:p>
    <w:p>
      <w:pPr>
        <w:spacing w:after="0" w:line="165"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6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799"/>
          </w:cols>
          <w:pgMar w:left="660" w:top="620" w:right="1440" w:bottom="1440" w:gutter="0" w:footer="0" w:header="0"/>
        </w:sectPr>
      </w:pPr>
    </w:p>
    <w:bookmarkStart w:id="144" w:name="page145"/>
    <w:bookmarkEnd w:id="144"/>
    <w:p>
      <w:pPr>
        <w:ind w:left="-3" w:right="3279" w:firstLine="437"/>
        <w:spacing w:after="0" w:line="252" w:lineRule="auto"/>
        <w:tabs>
          <w:tab w:leader="none" w:pos="1038"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Interests in Unrestricted Global Notes to Unrestricted Definitive Notes. If any holder of a 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2.06(b)(ii) hereof, the Trustee shall cause the aggregate principal amount of the applicable Global Note to be reduced accordingly pursuant to Section 2.06(h) hereof, and the Company shall execute and the Trustee shall authenticate and deliver to the Person designated in the instructions a Definitive Note in the appropriate principal amount. Any Definitive Note issued in exchange for a beneficial interest pursuant to this Section 2.06(c)(iii)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pursuant to this Section 2.06(c)(iii) shall not bear the Private Placement Legend.</w:t>
      </w:r>
    </w:p>
    <w:p>
      <w:pPr>
        <w:spacing w:after="0" w:line="174" w:lineRule="exact"/>
        <w:rPr>
          <w:rFonts w:ascii="Courier New" w:cs="Courier New" w:eastAsia="Courier New" w:hAnsi="Courier New"/>
          <w:sz w:val="14"/>
          <w:szCs w:val="14"/>
          <w:color w:val="auto"/>
        </w:rPr>
      </w:pPr>
    </w:p>
    <w:p>
      <w:pPr>
        <w:ind w:left="357" w:hanging="357"/>
        <w:spacing w:after="0"/>
        <w:tabs>
          <w:tab w:leader="none" w:pos="357"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and Exchange of Definitive Notes for Beneficial Interests.</w:t>
      </w:r>
    </w:p>
    <w:p>
      <w:pPr>
        <w:spacing w:after="0" w:line="175" w:lineRule="exact"/>
        <w:rPr>
          <w:rFonts w:ascii="Courier New" w:cs="Courier New" w:eastAsia="Courier New" w:hAnsi="Courier New"/>
          <w:sz w:val="14"/>
          <w:szCs w:val="14"/>
          <w:color w:val="auto"/>
        </w:rPr>
      </w:pPr>
    </w:p>
    <w:p>
      <w:pPr>
        <w:ind w:left="-3" w:right="3279" w:firstLine="437"/>
        <w:spacing w:after="0" w:line="253" w:lineRule="auto"/>
        <w:tabs>
          <w:tab w:leader="none" w:pos="778" w:val="left"/>
        </w:tabs>
        <w:numPr>
          <w:ilvl w:val="1"/>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Definitive Notes to Beneficial Interests in Restricted Global Notes.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65" w:lineRule="exact"/>
        <w:rPr>
          <w:rFonts w:ascii="Courier New" w:cs="Courier New" w:eastAsia="Courier New" w:hAnsi="Courier New"/>
          <w:sz w:val="14"/>
          <w:szCs w:val="14"/>
          <w:color w:val="auto"/>
        </w:rPr>
      </w:pPr>
    </w:p>
    <w:p>
      <w:pPr>
        <w:ind w:left="437" w:right="3379" w:firstLine="431"/>
        <w:spacing w:after="0" w:line="254" w:lineRule="auto"/>
        <w:tabs>
          <w:tab w:leader="none" w:pos="1218" w:val="left"/>
        </w:tabs>
        <w:numPr>
          <w:ilvl w:val="2"/>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163" w:lineRule="exact"/>
        <w:rPr>
          <w:rFonts w:ascii="Courier New" w:cs="Courier New" w:eastAsia="Courier New" w:hAnsi="Courier New"/>
          <w:sz w:val="14"/>
          <w:szCs w:val="14"/>
          <w:color w:val="auto"/>
        </w:rPr>
      </w:pPr>
    </w:p>
    <w:p>
      <w:pPr>
        <w:ind w:left="437" w:right="3279" w:firstLine="431"/>
        <w:spacing w:after="0" w:line="254" w:lineRule="auto"/>
        <w:tabs>
          <w:tab w:leader="none" w:pos="1218" w:val="left"/>
        </w:tabs>
        <w:numPr>
          <w:ilvl w:val="2"/>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Restricted Definitive Note is being transferred to a QIB in accordance with Rule 144A under the Securities Act, a certificate to the effect set forth in Exhibit B hereto, including the certifications in item (1) thereof;</w:t>
      </w:r>
    </w:p>
    <w:p>
      <w:pPr>
        <w:spacing w:after="0" w:line="163" w:lineRule="exact"/>
        <w:rPr>
          <w:rFonts w:ascii="Courier New" w:cs="Courier New" w:eastAsia="Courier New" w:hAnsi="Courier New"/>
          <w:sz w:val="14"/>
          <w:szCs w:val="14"/>
          <w:color w:val="auto"/>
        </w:rPr>
      </w:pPr>
    </w:p>
    <w:p>
      <w:pPr>
        <w:ind w:left="437" w:right="3279" w:firstLine="431"/>
        <w:spacing w:after="0" w:line="254" w:lineRule="auto"/>
        <w:tabs>
          <w:tab w:leader="none" w:pos="1218" w:val="left"/>
        </w:tabs>
        <w:numPr>
          <w:ilvl w:val="2"/>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Restricted Definitive Note is being transferred to a Non-U.S. Person in an offshore transaction in accordance with Rule 903 or Rule 904 under the Securities Act, a certificate to the effect set forth in Exhibit B hereto, including the certifications in item (2) thereof;</w:t>
      </w:r>
    </w:p>
    <w:p>
      <w:pPr>
        <w:spacing w:after="0" w:line="162" w:lineRule="exact"/>
        <w:rPr>
          <w:rFonts w:ascii="Courier New" w:cs="Courier New" w:eastAsia="Courier New" w:hAnsi="Courier New"/>
          <w:sz w:val="14"/>
          <w:szCs w:val="14"/>
          <w:color w:val="auto"/>
        </w:rPr>
      </w:pPr>
    </w:p>
    <w:p>
      <w:pPr>
        <w:ind w:left="437" w:right="3279" w:firstLine="431"/>
        <w:spacing w:after="0" w:line="254" w:lineRule="auto"/>
        <w:tabs>
          <w:tab w:leader="none" w:pos="1218" w:val="left"/>
        </w:tabs>
        <w:numPr>
          <w:ilvl w:val="2"/>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Restricted Definitive Note is being transferred pursuant to an exemption from the registration requirements of the Securities Act in accordance with Rule 144 under the Securities Act, a certificate to the effect set forth in Exhibit B hereto, including the certifications in item (3)(a) thereof;</w:t>
      </w:r>
    </w:p>
    <w:p>
      <w:pPr>
        <w:spacing w:after="0" w:line="162" w:lineRule="exact"/>
        <w:rPr>
          <w:rFonts w:ascii="Courier New" w:cs="Courier New" w:eastAsia="Courier New" w:hAnsi="Courier New"/>
          <w:sz w:val="14"/>
          <w:szCs w:val="14"/>
          <w:color w:val="auto"/>
        </w:rPr>
      </w:pPr>
    </w:p>
    <w:p>
      <w:pPr>
        <w:ind w:left="437" w:right="3279" w:firstLine="431"/>
        <w:spacing w:after="0" w:line="253" w:lineRule="auto"/>
        <w:tabs>
          <w:tab w:leader="none" w:pos="1218" w:val="left"/>
        </w:tabs>
        <w:numPr>
          <w:ilvl w:val="2"/>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 (3) thereof, if applicable;</w:t>
      </w:r>
    </w:p>
    <w:p>
      <w:pPr>
        <w:spacing w:after="0" w:line="332" w:lineRule="exact"/>
        <w:rPr>
          <w:rFonts w:ascii="Courier New" w:cs="Courier New" w:eastAsia="Courier New" w:hAnsi="Courier New"/>
          <w:sz w:val="14"/>
          <w:szCs w:val="14"/>
          <w:color w:val="auto"/>
        </w:rPr>
      </w:pPr>
    </w:p>
    <w:p>
      <w:pPr>
        <w:jc w:val="both"/>
        <w:ind w:left="437" w:right="3539" w:firstLine="431"/>
        <w:spacing w:after="0" w:line="252" w:lineRule="auto"/>
        <w:tabs>
          <w:tab w:leader="none" w:pos="1218" w:val="left"/>
        </w:tabs>
        <w:numPr>
          <w:ilvl w:val="2"/>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Restricted Definitive Note is being transferred to the Company or any of its Subsidiaries, a certificate to the effect set forth in Exhibit B hereto, including the certifications in item</w:t>
      </w:r>
    </w:p>
    <w:p>
      <w:pPr>
        <w:spacing w:after="0" w:line="1"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(3)(b) thereof; or</w:t>
      </w:r>
    </w:p>
    <w:p>
      <w:pPr>
        <w:spacing w:after="0" w:line="175" w:lineRule="exact"/>
        <w:rPr>
          <w:sz w:val="20"/>
          <w:szCs w:val="20"/>
          <w:color w:val="auto"/>
        </w:rPr>
      </w:pPr>
    </w:p>
    <w:p>
      <w:pPr>
        <w:ind w:left="2957"/>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796"/>
          </w:cols>
          <w:pgMar w:left="663" w:top="620" w:right="1440" w:bottom="1440" w:gutter="0" w:footer="0" w:header="0"/>
        </w:sectPr>
      </w:pPr>
    </w:p>
    <w:bookmarkStart w:id="145" w:name="page146"/>
    <w:bookmarkEnd w:id="145"/>
    <w:p>
      <w:pPr>
        <w:ind w:left="440" w:right="3459" w:firstLine="431"/>
        <w:spacing w:after="0" w:line="254" w:lineRule="auto"/>
        <w:tabs>
          <w:tab w:leader="none" w:pos="1221"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163"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Trustee shall cancel the Restricted Definitive Note, increase or cause to be increased the aggregate principal amount of, in the case of clause</w:t>
      </w:r>
    </w:p>
    <w:p>
      <w:pPr>
        <w:spacing w:after="0" w:line="1" w:lineRule="exact"/>
        <w:rPr>
          <w:sz w:val="20"/>
          <w:szCs w:val="20"/>
          <w:color w:val="auto"/>
        </w:rPr>
      </w:pPr>
    </w:p>
    <w:p>
      <w:pPr>
        <w:ind w:left="360" w:hanging="357"/>
        <w:spacing w:after="0"/>
        <w:tabs>
          <w:tab w:leader="none" w:pos="36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the appropriate Restricted Global Note, in the case of clause</w:t>
      </w:r>
    </w:p>
    <w:p>
      <w:pPr>
        <w:spacing w:after="0" w:line="8" w:lineRule="exact"/>
        <w:rPr>
          <w:rFonts w:ascii="Courier New" w:cs="Courier New" w:eastAsia="Courier New" w:hAnsi="Courier New"/>
          <w:sz w:val="14"/>
          <w:szCs w:val="14"/>
          <w:color w:val="auto"/>
        </w:rPr>
      </w:pPr>
    </w:p>
    <w:p>
      <w:pPr>
        <w:ind w:right="3719" w:firstLine="3"/>
        <w:spacing w:after="0" w:line="258" w:lineRule="auto"/>
        <w:tabs>
          <w:tab w:leader="none" w:pos="347"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the 144A Global Note, in the case of clause (C) above, the Regulation S Global Note, and in all other cases, the IAI Global Note.</w:t>
      </w:r>
    </w:p>
    <w:p>
      <w:pPr>
        <w:spacing w:after="0" w:line="159" w:lineRule="exact"/>
        <w:rPr>
          <w:rFonts w:ascii="Courier New" w:cs="Courier New" w:eastAsia="Courier New" w:hAnsi="Courier New"/>
          <w:sz w:val="14"/>
          <w:szCs w:val="14"/>
          <w:color w:val="auto"/>
        </w:rPr>
      </w:pPr>
    </w:p>
    <w:p>
      <w:pPr>
        <w:ind w:right="3279" w:firstLine="437"/>
        <w:spacing w:after="0" w:line="254" w:lineRule="auto"/>
        <w:tabs>
          <w:tab w:leader="none" w:pos="868"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Definitive Notes to Beneficial Interests in Unrestricted Global Notes.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w:t>
      </w:r>
    </w:p>
    <w:p>
      <w:pPr>
        <w:spacing w:after="0" w:line="329" w:lineRule="exact"/>
        <w:rPr>
          <w:rFonts w:ascii="Courier New" w:cs="Courier New" w:eastAsia="Courier New" w:hAnsi="Courier New"/>
          <w:sz w:val="14"/>
          <w:szCs w:val="14"/>
          <w:color w:val="auto"/>
        </w:rPr>
      </w:pPr>
    </w:p>
    <w:p>
      <w:pPr>
        <w:ind w:left="440" w:right="3279" w:firstLine="431"/>
        <w:spacing w:after="0" w:line="253" w:lineRule="auto"/>
        <w:tabs>
          <w:tab w:leader="none" w:pos="1221" w:val="left"/>
        </w:tabs>
        <w:numPr>
          <w:ilvl w:val="2"/>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(1) a broker-dealer, (2) a Person participating in the distribution of the Exchange Notes or (3) a Person who is an affiliate (as defined in Rule 144) of the Company;</w:t>
      </w:r>
    </w:p>
    <w:p>
      <w:pPr>
        <w:spacing w:after="0" w:line="164" w:lineRule="exact"/>
        <w:rPr>
          <w:rFonts w:ascii="Courier New" w:cs="Courier New" w:eastAsia="Courier New" w:hAnsi="Courier New"/>
          <w:sz w:val="14"/>
          <w:szCs w:val="14"/>
          <w:color w:val="auto"/>
        </w:rPr>
      </w:pPr>
    </w:p>
    <w:p>
      <w:pPr>
        <w:ind w:left="440" w:right="3379" w:firstLine="431"/>
        <w:spacing w:after="0" w:line="258" w:lineRule="auto"/>
        <w:tabs>
          <w:tab w:leader="none" w:pos="1221" w:val="left"/>
        </w:tabs>
        <w:numPr>
          <w:ilvl w:val="2"/>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effected pursuant to the Shelf Registration Statement in accordance with the Registration Rights Agreement;</w:t>
      </w:r>
    </w:p>
    <w:p>
      <w:pPr>
        <w:spacing w:after="0" w:line="159" w:lineRule="exact"/>
        <w:rPr>
          <w:rFonts w:ascii="Courier New" w:cs="Courier New" w:eastAsia="Courier New" w:hAnsi="Courier New"/>
          <w:sz w:val="14"/>
          <w:szCs w:val="14"/>
          <w:color w:val="auto"/>
        </w:rPr>
      </w:pPr>
    </w:p>
    <w:p>
      <w:pPr>
        <w:ind w:left="440" w:right="3379" w:firstLine="431"/>
        <w:spacing w:after="0" w:line="255" w:lineRule="auto"/>
        <w:tabs>
          <w:tab w:leader="none" w:pos="1221" w:val="left"/>
        </w:tabs>
        <w:numPr>
          <w:ilvl w:val="2"/>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transfer is effected by a Broker-Dealer pursuant to the Exchange Offer Registration Statement in accordance with the Registration Rights Agreement; or</w:t>
      </w:r>
    </w:p>
    <w:p>
      <w:pPr>
        <w:spacing w:after="0" w:line="162" w:lineRule="exact"/>
        <w:rPr>
          <w:rFonts w:ascii="Courier New" w:cs="Courier New" w:eastAsia="Courier New" w:hAnsi="Courier New"/>
          <w:sz w:val="14"/>
          <w:szCs w:val="14"/>
          <w:color w:val="auto"/>
        </w:rPr>
      </w:pPr>
    </w:p>
    <w:p>
      <w:pPr>
        <w:ind w:left="1220" w:hanging="349"/>
        <w:spacing w:after="0"/>
        <w:tabs>
          <w:tab w:leader="none" w:pos="1220" w:val="left"/>
        </w:tabs>
        <w:numPr>
          <w:ilvl w:val="2"/>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Registrar receives the following:</w:t>
      </w:r>
    </w:p>
    <w:p>
      <w:pPr>
        <w:spacing w:after="0" w:line="175" w:lineRule="exact"/>
        <w:rPr>
          <w:rFonts w:ascii="Courier New" w:cs="Courier New" w:eastAsia="Courier New" w:hAnsi="Courier New"/>
          <w:sz w:val="14"/>
          <w:szCs w:val="14"/>
          <w:color w:val="auto"/>
        </w:rPr>
      </w:pPr>
    </w:p>
    <w:p>
      <w:pPr>
        <w:ind w:left="880" w:right="3279" w:firstLine="425"/>
        <w:spacing w:after="0" w:line="254" w:lineRule="auto"/>
        <w:tabs>
          <w:tab w:leader="none" w:pos="1661" w:val="left"/>
        </w:tabs>
        <w:numPr>
          <w:ilvl w:val="3"/>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330" w:lineRule="exact"/>
        <w:rPr>
          <w:rFonts w:ascii="Courier New" w:cs="Courier New" w:eastAsia="Courier New" w:hAnsi="Courier New"/>
          <w:sz w:val="14"/>
          <w:szCs w:val="14"/>
          <w:color w:val="auto"/>
        </w:rPr>
      </w:pPr>
    </w:p>
    <w:p>
      <w:pPr>
        <w:ind w:left="880" w:right="3459" w:firstLine="425"/>
        <w:spacing w:after="0" w:line="254" w:lineRule="auto"/>
        <w:tabs>
          <w:tab w:leader="none" w:pos="1661" w:val="left"/>
        </w:tabs>
        <w:numPr>
          <w:ilvl w:val="3"/>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162"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Upon satisfaction of the conditions of any of the subparagraphs in this Section 2.06(d)(ii), the Trustee shall cancel the Definitive Notes and increase or cause to be increased the aggregate principal amount of the Unrestricted Global Note.</w:t>
      </w:r>
    </w:p>
    <w:p>
      <w:pPr>
        <w:spacing w:after="0" w:line="16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799"/>
          </w:cols>
          <w:pgMar w:left="660" w:top="620" w:right="1440" w:bottom="1440" w:gutter="0" w:footer="0" w:header="0"/>
        </w:sectPr>
      </w:pPr>
    </w:p>
    <w:bookmarkStart w:id="146" w:name="page147"/>
    <w:bookmarkEnd w:id="146"/>
    <w:p>
      <w:pPr>
        <w:ind w:right="3279" w:firstLine="437"/>
        <w:spacing w:after="0" w:line="253" w:lineRule="auto"/>
        <w:tabs>
          <w:tab w:leader="none" w:pos="955"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Unrestricted Definitive Notes to Beneficial Interests in Unrestricted Global Notes.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If any such exchange or transfer from a Definitive Note to a beneficial interest is effected pursuant to subparagraphs (ii)(B), (ii)(D) or (iii)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332" w:lineRule="exact"/>
        <w:rPr>
          <w:sz w:val="20"/>
          <w:szCs w:val="20"/>
          <w:color w:val="auto"/>
        </w:rPr>
      </w:pPr>
    </w:p>
    <w:p>
      <w:pPr>
        <w:ind w:left="-440" w:right="3279" w:firstLine="443"/>
        <w:spacing w:after="0" w:line="253" w:lineRule="auto"/>
        <w:tabs>
          <w:tab w:leader="none" w:pos="341"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and Exchange of Definitive Notes for Definitive Notes. Upon request by a Holder of Definitive Notes and such Holder's compliance with the 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2.06(e).</w:t>
      </w:r>
    </w:p>
    <w:p>
      <w:pPr>
        <w:spacing w:after="0" w:line="331" w:lineRule="exact"/>
        <w:rPr>
          <w:rFonts w:ascii="Courier New" w:cs="Courier New" w:eastAsia="Courier New" w:hAnsi="Courier New"/>
          <w:sz w:val="14"/>
          <w:szCs w:val="14"/>
          <w:color w:val="auto"/>
        </w:rPr>
      </w:pPr>
    </w:p>
    <w:p>
      <w:pPr>
        <w:ind w:right="3279" w:firstLine="437"/>
        <w:spacing w:after="0" w:line="254" w:lineRule="auto"/>
        <w:tabs>
          <w:tab w:leader="none" w:pos="781"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Definitive Notes to Restricted Definitive Notes. Any Restricted Definitive Note may be transferred to and registered in the name of Persons who take delivery thereof in the form of a Restricted Definitive Note if the Registrar receives the following:</w:t>
      </w:r>
    </w:p>
    <w:p>
      <w:pPr>
        <w:spacing w:after="0" w:line="163" w:lineRule="exact"/>
        <w:rPr>
          <w:rFonts w:ascii="Courier New" w:cs="Courier New" w:eastAsia="Courier New" w:hAnsi="Courier New"/>
          <w:sz w:val="14"/>
          <w:szCs w:val="14"/>
          <w:color w:val="auto"/>
        </w:rPr>
      </w:pPr>
    </w:p>
    <w:p>
      <w:pPr>
        <w:jc w:val="both"/>
        <w:ind w:left="440" w:right="3379" w:firstLine="431"/>
        <w:spacing w:after="0" w:line="254" w:lineRule="auto"/>
        <w:tabs>
          <w:tab w:leader="none" w:pos="1221" w:val="left"/>
        </w:tabs>
        <w:numPr>
          <w:ilvl w:val="2"/>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transfer will be made pursuant to Rule 144A under the Securities Act, then the transferor must deliver a certificate in the form of Exhibit B hereto, including the certifications in item (1) thereof;</w:t>
      </w:r>
    </w:p>
    <w:p>
      <w:pPr>
        <w:spacing w:after="0" w:line="163" w:lineRule="exact"/>
        <w:rPr>
          <w:rFonts w:ascii="Courier New" w:cs="Courier New" w:eastAsia="Courier New" w:hAnsi="Courier New"/>
          <w:sz w:val="14"/>
          <w:szCs w:val="14"/>
          <w:color w:val="auto"/>
        </w:rPr>
      </w:pPr>
    </w:p>
    <w:p>
      <w:pPr>
        <w:jc w:val="both"/>
        <w:ind w:left="440" w:right="3539" w:firstLine="431"/>
        <w:spacing w:after="0" w:line="254" w:lineRule="auto"/>
        <w:tabs>
          <w:tab w:leader="none" w:pos="1221" w:val="left"/>
        </w:tabs>
        <w:numPr>
          <w:ilvl w:val="2"/>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transfer will be made pursuant to Rule 903 or Rule 904, then the transferor must deliver a certificate in the form of Exhibit B hereto, including the certifications in item (2) thereof; and</w:t>
      </w:r>
    </w:p>
    <w:p>
      <w:pPr>
        <w:spacing w:after="0" w:line="163" w:lineRule="exact"/>
        <w:rPr>
          <w:rFonts w:ascii="Courier New" w:cs="Courier New" w:eastAsia="Courier New" w:hAnsi="Courier New"/>
          <w:sz w:val="14"/>
          <w:szCs w:val="14"/>
          <w:color w:val="auto"/>
        </w:rPr>
      </w:pPr>
    </w:p>
    <w:p>
      <w:pPr>
        <w:ind w:left="440" w:right="3279" w:firstLine="431"/>
        <w:spacing w:after="0" w:line="254" w:lineRule="auto"/>
        <w:tabs>
          <w:tab w:leader="none" w:pos="1221" w:val="left"/>
        </w:tabs>
        <w:numPr>
          <w:ilvl w:val="2"/>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transfer will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162" w:lineRule="exact"/>
        <w:rPr>
          <w:rFonts w:ascii="Courier New" w:cs="Courier New" w:eastAsia="Courier New" w:hAnsi="Courier New"/>
          <w:sz w:val="14"/>
          <w:szCs w:val="14"/>
          <w:color w:val="auto"/>
        </w:rPr>
      </w:pPr>
    </w:p>
    <w:p>
      <w:pPr>
        <w:ind w:right="3279" w:firstLine="437"/>
        <w:spacing w:after="0" w:line="254" w:lineRule="auto"/>
        <w:tabs>
          <w:tab w:leader="none" w:pos="868"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Definitive Notes to Unrestricted Definitive Notes. Any Restricted Definitive Note may be exchanged by the Holder thereof for an Unrestricted Definitive Note or transferred to a Person or Persons who take delivery thereof in the form of an Unrestricted Definitive Note if:</w:t>
      </w:r>
    </w:p>
    <w:p>
      <w:pPr>
        <w:spacing w:after="0" w:line="163" w:lineRule="exact"/>
        <w:rPr>
          <w:rFonts w:ascii="Courier New" w:cs="Courier New" w:eastAsia="Courier New" w:hAnsi="Courier New"/>
          <w:sz w:val="14"/>
          <w:szCs w:val="14"/>
          <w:color w:val="auto"/>
        </w:rPr>
      </w:pPr>
    </w:p>
    <w:p>
      <w:pPr>
        <w:ind w:left="440" w:right="3379" w:firstLine="431"/>
        <w:spacing w:after="0" w:line="253" w:lineRule="auto"/>
        <w:tabs>
          <w:tab w:leader="none" w:pos="1221" w:val="left"/>
        </w:tabs>
        <w:numPr>
          <w:ilvl w:val="2"/>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(1) a broker-dealer, (2) a Person participating in the distribution</w:t>
      </w:r>
    </w:p>
    <w:p>
      <w:pPr>
        <w:spacing w:after="0" w:line="16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799"/>
          </w:cols>
          <w:pgMar w:left="660" w:top="620" w:right="1440" w:bottom="1440" w:gutter="0" w:footer="0" w:header="0"/>
        </w:sectPr>
      </w:pPr>
    </w:p>
    <w:bookmarkStart w:id="147" w:name="page148"/>
    <w:bookmarkEnd w:id="147"/>
    <w:p>
      <w:pPr>
        <w:ind w:left="437" w:right="3379"/>
        <w:spacing w:after="0" w:line="258" w:lineRule="auto"/>
        <w:rPr>
          <w:sz w:val="20"/>
          <w:szCs w:val="20"/>
          <w:color w:val="auto"/>
        </w:rPr>
      </w:pPr>
      <w:r>
        <w:rPr>
          <w:rFonts w:ascii="Courier New" w:cs="Courier New" w:eastAsia="Courier New" w:hAnsi="Courier New"/>
          <w:sz w:val="14"/>
          <w:szCs w:val="14"/>
          <w:color w:val="auto"/>
        </w:rPr>
        <w:t>of the Exchange Notes or (3) a Person who is an affiliate (as defined in Rule 144) of the Company;</w:t>
      </w:r>
    </w:p>
    <w:p>
      <w:pPr>
        <w:spacing w:after="0" w:line="160" w:lineRule="exact"/>
        <w:rPr>
          <w:sz w:val="20"/>
          <w:szCs w:val="20"/>
          <w:color w:val="auto"/>
        </w:rPr>
      </w:pPr>
    </w:p>
    <w:p>
      <w:pPr>
        <w:ind w:left="437" w:right="3719" w:firstLine="431"/>
        <w:spacing w:after="0" w:line="255" w:lineRule="auto"/>
        <w:tabs>
          <w:tab w:leader="none" w:pos="1218"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transfer is effected pursuant to the Shelf Registration Statement in accordance with the Registration Rights Agreement;</w:t>
      </w:r>
    </w:p>
    <w:p>
      <w:pPr>
        <w:spacing w:after="0" w:line="162" w:lineRule="exact"/>
        <w:rPr>
          <w:rFonts w:ascii="Courier New" w:cs="Courier New" w:eastAsia="Courier New" w:hAnsi="Courier New"/>
          <w:sz w:val="14"/>
          <w:szCs w:val="14"/>
          <w:color w:val="auto"/>
        </w:rPr>
      </w:pPr>
    </w:p>
    <w:p>
      <w:pPr>
        <w:ind w:left="437" w:right="3379" w:firstLine="431"/>
        <w:spacing w:after="0" w:line="255" w:lineRule="auto"/>
        <w:tabs>
          <w:tab w:leader="none" w:pos="1218"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transfer is effected by a Broker-Dealer pursuant to the Exchange Offer Registration Statement in accordance with the Registration Rights Agreement; or</w:t>
      </w:r>
    </w:p>
    <w:p>
      <w:pPr>
        <w:spacing w:after="0" w:line="162" w:lineRule="exact"/>
        <w:rPr>
          <w:rFonts w:ascii="Courier New" w:cs="Courier New" w:eastAsia="Courier New" w:hAnsi="Courier New"/>
          <w:sz w:val="14"/>
          <w:szCs w:val="14"/>
          <w:color w:val="auto"/>
        </w:rPr>
      </w:pPr>
    </w:p>
    <w:p>
      <w:pPr>
        <w:ind w:left="1217" w:hanging="349"/>
        <w:spacing w:after="0"/>
        <w:tabs>
          <w:tab w:leader="none" w:pos="1217"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Registrar receives the following:</w:t>
      </w:r>
    </w:p>
    <w:p>
      <w:pPr>
        <w:spacing w:after="0" w:line="175" w:lineRule="exact"/>
        <w:rPr>
          <w:rFonts w:ascii="Courier New" w:cs="Courier New" w:eastAsia="Courier New" w:hAnsi="Courier New"/>
          <w:sz w:val="14"/>
          <w:szCs w:val="14"/>
          <w:color w:val="auto"/>
        </w:rPr>
      </w:pPr>
    </w:p>
    <w:p>
      <w:pPr>
        <w:ind w:left="877" w:right="3459" w:firstLine="425"/>
        <w:spacing w:after="0" w:line="254" w:lineRule="auto"/>
        <w:tabs>
          <w:tab w:leader="none" w:pos="1658"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163" w:lineRule="exact"/>
        <w:rPr>
          <w:rFonts w:ascii="Courier New" w:cs="Courier New" w:eastAsia="Courier New" w:hAnsi="Courier New"/>
          <w:sz w:val="14"/>
          <w:szCs w:val="14"/>
          <w:color w:val="auto"/>
        </w:rPr>
      </w:pPr>
    </w:p>
    <w:p>
      <w:pPr>
        <w:ind w:left="877" w:right="3379" w:firstLine="425"/>
        <w:spacing w:after="0" w:line="254" w:lineRule="auto"/>
        <w:tabs>
          <w:tab w:leader="none" w:pos="1658"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162" w:lineRule="exact"/>
        <w:rPr>
          <w:sz w:val="20"/>
          <w:szCs w:val="20"/>
          <w:color w:val="auto"/>
        </w:rPr>
      </w:pPr>
    </w:p>
    <w:p>
      <w:pPr>
        <w:ind w:left="437" w:right="3279"/>
        <w:spacing w:after="0" w:line="253" w:lineRule="auto"/>
        <w:rPr>
          <w:sz w:val="20"/>
          <w:szCs w:val="20"/>
          <w:color w:val="auto"/>
        </w:rPr>
      </w:pPr>
      <w:r>
        <w:rPr>
          <w:rFonts w:ascii="Courier New" w:cs="Courier New" w:eastAsia="Courier New" w:hAnsi="Courier New"/>
          <w:sz w:val="14"/>
          <w:szCs w:val="14"/>
          <w:color w:val="auto"/>
        </w:rPr>
        <w:t>and, in each such case set forth in this subparagraph (D), if the Registrar so requests,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332" w:lineRule="exact"/>
        <w:rPr>
          <w:sz w:val="20"/>
          <w:szCs w:val="20"/>
          <w:color w:val="auto"/>
        </w:rPr>
      </w:pPr>
    </w:p>
    <w:p>
      <w:pPr>
        <w:ind w:left="-3" w:right="3279" w:firstLine="437"/>
        <w:spacing w:after="0" w:line="253" w:lineRule="auto"/>
        <w:tabs>
          <w:tab w:leader="none" w:pos="952"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Unrestricted Definitive Notes to Unrestricted Definitive Notes.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65" w:lineRule="exact"/>
        <w:rPr>
          <w:rFonts w:ascii="Courier New" w:cs="Courier New" w:eastAsia="Courier New" w:hAnsi="Courier New"/>
          <w:sz w:val="14"/>
          <w:szCs w:val="14"/>
          <w:color w:val="auto"/>
        </w:rPr>
      </w:pPr>
    </w:p>
    <w:p>
      <w:pPr>
        <w:ind w:left="-443" w:right="3279" w:firstLine="443"/>
        <w:spacing w:after="0" w:line="252" w:lineRule="auto"/>
        <w:tabs>
          <w:tab w:leader="none" w:pos="338"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Offer. Upon the occurrence of the Exchange Offer in accordance with the Registration Rights Agreement, the Company shall issue and, upon receipt of an Authentication Order in accordance with Section 2.02, the Trustee shall authenticate (i) one or more Unrestricted Global Notes in an aggregate principal amount equal to the principal amount of the beneficial interests in the Restricted Global Notes tendered for acceptance by Persons that certify in the applicable Letters of Transmittal that (x) they are not Broker-Dealers, (y) they are not participating in a distribution of the Exchange Notes and (z) they are not affiliates (as defined in Rule 144) of the Company, and accepted for exchange in the Exchange Offer and (ii) Definitive Notes in an aggregate principal amount equal to the principal amount of the Restricted Definitive Notes accepted for exchange in the Exchange Offer. Concurrently with the issuance of such Notes, the Trustee shall cause the aggregate principal amount of the applicable Restricted Global Notes to be reduced accordingly, and the Company shall execute and the Trustee shall authenticate and deliver to the Persons designated by the Holders of Definitive Notes so accepted Definitive Notes in the appropriate principal amount.</w:t>
      </w:r>
    </w:p>
    <w:p>
      <w:pPr>
        <w:spacing w:after="0" w:line="339" w:lineRule="exact"/>
        <w:rPr>
          <w:rFonts w:ascii="Courier New" w:cs="Courier New" w:eastAsia="Courier New" w:hAnsi="Courier New"/>
          <w:sz w:val="14"/>
          <w:szCs w:val="14"/>
          <w:color w:val="auto"/>
        </w:rPr>
      </w:pPr>
    </w:p>
    <w:p>
      <w:pPr>
        <w:ind w:left="-443" w:right="3459" w:firstLine="443"/>
        <w:spacing w:after="0" w:line="255" w:lineRule="auto"/>
        <w:tabs>
          <w:tab w:leader="none" w:pos="338"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Legends. The following legends shall appear on the face of all Global Notes and Definitive Notes issued under this Indenture unless specifically stated otherwise in the applicable provisions of this Indenture.</w:t>
      </w:r>
    </w:p>
    <w:p>
      <w:pPr>
        <w:spacing w:after="0" w:line="162" w:lineRule="exact"/>
        <w:rPr>
          <w:sz w:val="20"/>
          <w:szCs w:val="20"/>
          <w:color w:val="auto"/>
        </w:rPr>
      </w:pPr>
    </w:p>
    <w:p>
      <w:pPr>
        <w:ind w:left="2957"/>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9796"/>
          </w:cols>
          <w:pgMar w:left="663" w:top="620" w:right="1440" w:bottom="1440" w:gutter="0" w:footer="0" w:header="0"/>
        </w:sectPr>
      </w:pPr>
    </w:p>
    <w:bookmarkStart w:id="148" w:name="page149"/>
    <w:bookmarkEnd w:id="148"/>
    <w:p>
      <w:pPr>
        <w:ind w:left="1220" w:hanging="343"/>
        <w:spacing w:after="0"/>
        <w:tabs>
          <w:tab w:leader="none" w:pos="122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Private Placement Legend.</w:t>
      </w:r>
    </w:p>
    <w:p>
      <w:pPr>
        <w:spacing w:after="0" w:line="175" w:lineRule="exact"/>
        <w:rPr>
          <w:rFonts w:ascii="Courier New" w:cs="Courier New" w:eastAsia="Courier New" w:hAnsi="Courier New"/>
          <w:sz w:val="14"/>
          <w:szCs w:val="14"/>
          <w:color w:val="auto"/>
        </w:rPr>
      </w:pPr>
    </w:p>
    <w:p>
      <w:pPr>
        <w:ind w:left="880" w:right="3539" w:firstLine="431"/>
        <w:spacing w:after="0" w:line="254" w:lineRule="auto"/>
        <w:tabs>
          <w:tab w:leader="none" w:pos="1661"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permitted by subparagraph (B) below, each Global Note and each Definitive Note (and all Notes issued in exchange therefor or substitution thereof) shall bear the legend in substantially the following form:</w:t>
      </w:r>
    </w:p>
    <w:p>
      <w:pPr>
        <w:spacing w:after="0" w:line="163"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SECURITY (OR ITS PREDECESSOR) EVIDENCED HEREBY WAS ORIGINALLY ISSUED IN A TRANSACTION EXEMPT FROM REGISTRATION UNDER SECTION 5 OF THE UNITED STATES SECURITIES ACT OF 1933, AS AMENDED (THE "SECURITIES ACT"), AND THE SECURITY EVIDENCED HEREBY MAY NOT BE OFFERED, SOLD OR OTHERWISE TRANSFERRED IN THE ABSENCE OF SUCH REGISTRATION OR AN APPLICABLE EXEMPTION THEREFROM. EACH PURCHASER OF THE SECURITY EVIDENCED HEREBY IS HEREBY NOTIFIED THAT THE SELLER MAY BE RELYING ON THE EXEMPTION FROM THE PROVISIONS OF SECTION 5 OF THE SECURITIES ACT PROVIDED BY RULE 144A THEREUNDER. THE HOLDER OF THE SECURITY EVIDENCED HEREBY AGREES FOR THE BENEFIT OF THE ISSUER THAT</w:t>
      </w:r>
    </w:p>
    <w:p>
      <w:pPr>
        <w:spacing w:after="0" w:line="164" w:lineRule="exact"/>
        <w:rPr>
          <w:sz w:val="20"/>
          <w:szCs w:val="20"/>
          <w:color w:val="auto"/>
        </w:rPr>
      </w:pPr>
    </w:p>
    <w:p>
      <w:pPr>
        <w:ind w:left="440" w:hanging="431"/>
        <w:spacing w:after="0"/>
        <w:tabs>
          <w:tab w:leader="none" w:pos="44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SECURITY MAY BE RESOLD, PLEDGED OR OTHERWISE TRANSFERRED ONLY</w:t>
      </w:r>
    </w:p>
    <w:p>
      <w:pPr>
        <w:spacing w:after="0" w:line="175" w:lineRule="exact"/>
        <w:rPr>
          <w:rFonts w:ascii="Courier New" w:cs="Courier New" w:eastAsia="Courier New" w:hAnsi="Courier New"/>
          <w:sz w:val="14"/>
          <w:szCs w:val="14"/>
          <w:color w:val="auto"/>
        </w:rPr>
      </w:pPr>
    </w:p>
    <w:p>
      <w:pPr>
        <w:ind w:left="440" w:right="3279" w:firstLine="437"/>
        <w:spacing w:after="0" w:line="252" w:lineRule="auto"/>
        <w:tabs>
          <w:tab w:leader="none" w:pos="1221"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TO A PERSON WHO IS A QUALIFIED INSTITUTIONAL BUYER (AS DEFINED IN RULE 144A UNDER THE SECURITIES ACT) IN A TRANSACTION MEETING THE REQUIREMENTS OF RULE 144A, (b) IN A TRANSACTION MEETING THE REQUIREMENTS OF RULE 144 UNDER THE SECURITIES ACT, (c) OUTSIDE THE UNITED STATES TO A FOREIGN PERSON IN A TRANSACTION MEETING THE REQUIREMENTS OF RULE 904 UNDER THE SECURITIES ACT, (d) TO AN INSTITUTIONAL "ACCREDITED INVESTOR" (AS DEFINED IN RULE 501(a)(1), (2), (3) OR (7) OF THE SECURITIES ACT (AN</w:t>
      </w:r>
    </w:p>
    <w:p>
      <w:pPr>
        <w:spacing w:after="0" w:line="2" w:lineRule="exact"/>
        <w:rPr>
          <w:rFonts w:ascii="Courier New" w:cs="Courier New" w:eastAsia="Courier New" w:hAnsi="Courier New"/>
          <w:sz w:val="14"/>
          <w:szCs w:val="14"/>
          <w:color w:val="auto"/>
        </w:rPr>
      </w:pPr>
    </w:p>
    <w:p>
      <w:pPr>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"INSTITUTIONAL ACCREDITED INVESTOR")) THAT, PRIOR TO SUCH TRANSFER, FURNISHES THE TRUSTEE A SIGNED LETTER CONTAINING CERTAIN REPRESENTATIONS AND AGREEMENTS (THE FORM OF WHICH CAN BE OBTAINED FROM THE TRUSTEE) AND, IF SUCH TRANSFER IS IN RESPECT OF AN AGGREGATE PRINCIPAL AMOUNT OF NOTES LESS THAN $250,000, AN OPINION OF COUNSEL ACCEPTABLE TO THE ISSUER THAT SUCH TRANSFER IS IN COMPLIANCE WITH THE SECURITIES ACT, OR (e) IN ACCORDANCE WITH ANOTHER EXEMPTION FROM THE REGISTRATION REQUIREMENTS OF THE SECURITIES ACT (AND BASED UPON AN OPINION OF COUNSEL IF THE ISSUER SO REQUESTS),</w:t>
      </w:r>
    </w:p>
    <w:p>
      <w:pPr>
        <w:spacing w:after="0" w:line="164"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ISSUER, OR</w:t>
      </w:r>
    </w:p>
    <w:p>
      <w:pPr>
        <w:spacing w:after="0" w:line="175" w:lineRule="exact"/>
        <w:rPr>
          <w:rFonts w:ascii="Courier New" w:cs="Courier New" w:eastAsia="Courier New" w:hAnsi="Courier New"/>
          <w:sz w:val="14"/>
          <w:szCs w:val="14"/>
          <w:color w:val="auto"/>
        </w:rPr>
      </w:pPr>
    </w:p>
    <w:p>
      <w:pPr>
        <w:ind w:left="440" w:right="3279" w:firstLine="437"/>
        <w:spacing w:after="0" w:line="255" w:lineRule="auto"/>
        <w:tabs>
          <w:tab w:leader="none" w:pos="1395"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EFFECTIVE REGISTRATION STATEMENT AND, IN EACH CASE, IN ACCORDANCE WITH ANY APPLICABLE SECURITIES LAWS OF ANY STATE OF THE UNITED STATES OR ANY OTHER APPLICABLE JURISDICTION AND</w:t>
      </w:r>
    </w:p>
    <w:p>
      <w:pPr>
        <w:spacing w:after="0" w:line="162" w:lineRule="exact"/>
        <w:rPr>
          <w:rFonts w:ascii="Courier New" w:cs="Courier New" w:eastAsia="Courier New" w:hAnsi="Courier New"/>
          <w:sz w:val="14"/>
          <w:szCs w:val="14"/>
          <w:color w:val="auto"/>
        </w:rPr>
      </w:pPr>
    </w:p>
    <w:p>
      <w:pPr>
        <w:ind w:right="3539" w:firstLine="9"/>
        <w:spacing w:after="0" w:line="255" w:lineRule="auto"/>
        <w:tabs>
          <w:tab w:leader="none" w:pos="434"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WILL, AND EACH SUBSEQUENT HOLDER IS REQUIRED TO, NOTIFY ANY PURCHASER FROM IT OF THE SECURITY EVIDENCED HEREBY OF THE RESALE RESTRICTIONS SET FORTH IN (A) ABOVE."</w:t>
      </w:r>
    </w:p>
    <w:p>
      <w:pPr>
        <w:spacing w:after="0" w:line="162" w:lineRule="exact"/>
        <w:rPr>
          <w:rFonts w:ascii="Courier New" w:cs="Courier New" w:eastAsia="Courier New" w:hAnsi="Courier New"/>
          <w:sz w:val="14"/>
          <w:szCs w:val="14"/>
          <w:color w:val="auto"/>
        </w:rPr>
      </w:pPr>
    </w:p>
    <w:p>
      <w:pPr>
        <w:ind w:left="880" w:right="3379" w:firstLine="431"/>
        <w:spacing w:after="0" w:line="254" w:lineRule="auto"/>
        <w:tabs>
          <w:tab w:leader="none" w:pos="1661" w:val="left"/>
        </w:tabs>
        <w:numPr>
          <w:ilvl w:val="2"/>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any Global Note or Definitive Note issued pursuant to subparagraphs (b)(iv), (c)(iii), (c)(iv), (d)(ii), (d)(iii), (e)(ii), (e)(iii) or (f) to this Section 2.06 (and all Notes issued in exchange therefor or substitution thereof) shall not bear the Private Placement Legend.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149" w:name="page150"/>
    <w:bookmarkEnd w:id="149"/>
    <w:p>
      <w:pPr>
        <w:ind w:left="440" w:right="3799" w:firstLine="437"/>
        <w:spacing w:after="0" w:line="258" w:lineRule="auto"/>
        <w:tabs>
          <w:tab w:leader="none" w:pos="1308"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Note Legend. Each Global Note shall bear a legend in substantially the following form:</w:t>
      </w:r>
    </w:p>
    <w:p>
      <w:pPr>
        <w:spacing w:after="0" w:line="160"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2.07 OF THE INDENTURE, (II) THIS GLOBAL NOTE MAY BE EXCHANGED IN WHOLE BUT NOT IN PART PURSUANT TO SECTION 2.06(a) OF THE INDENTURE,</w:t>
      </w:r>
    </w:p>
    <w:p>
      <w:pPr>
        <w:spacing w:after="0" w:line="2" w:lineRule="exact"/>
        <w:rPr>
          <w:sz w:val="20"/>
          <w:szCs w:val="20"/>
          <w:color w:val="auto"/>
        </w:rPr>
      </w:pPr>
    </w:p>
    <w:p>
      <w:pPr>
        <w:jc w:val="both"/>
        <w:ind w:right="3279" w:firstLine="9"/>
        <w:spacing w:after="0" w:line="255" w:lineRule="auto"/>
        <w:tabs>
          <w:tab w:leader="none" w:pos="521"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GLOBAL NOTE MAY BE DELIVERED TO THE TRUSTEE FOR CANCELLATION PURSUANT TO SECTION 2.11 OF THE INDENTURE AND (IV) THIS GLOBAL NOTE MAY BE TRANSFERRED TO A SUCCESSOR DEPOSITARY WITH THE PRIOR WRITTEN CONSENT OF THE COMPANY."</w:t>
      </w:r>
    </w:p>
    <w:p>
      <w:pPr>
        <w:spacing w:after="0" w:line="162" w:lineRule="exact"/>
        <w:rPr>
          <w:sz w:val="20"/>
          <w:szCs w:val="20"/>
          <w:color w:val="auto"/>
        </w:rPr>
      </w:pPr>
    </w:p>
    <w:p>
      <w:pPr>
        <w:ind w:left="440" w:right="3539" w:firstLine="437"/>
        <w:spacing w:after="0" w:line="255" w:lineRule="auto"/>
        <w:tabs>
          <w:tab w:leader="none" w:pos="1395"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Regulation S Temporary Global Note Legend. The Regulation S Temporary Global Note shall bear a legend in substantially the following form:</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162" w:lineRule="exact"/>
        <w:rPr>
          <w:sz w:val="20"/>
          <w:szCs w:val="20"/>
          <w:color w:val="auto"/>
        </w:rPr>
      </w:pPr>
    </w:p>
    <w:p>
      <w:pPr>
        <w:ind w:right="3279" w:firstLine="443"/>
        <w:spacing w:after="0" w:line="252" w:lineRule="auto"/>
        <w:tabs>
          <w:tab w:leader="none" w:pos="781"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 and/or Adjustment of Global Notes.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73"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 Relating to Transfers and Exchanges.</w:t>
      </w:r>
    </w:p>
    <w:p>
      <w:pPr>
        <w:spacing w:after="0" w:line="175" w:lineRule="exact"/>
        <w:rPr>
          <w:rFonts w:ascii="Courier New" w:cs="Courier New" w:eastAsia="Courier New" w:hAnsi="Courier New"/>
          <w:sz w:val="14"/>
          <w:szCs w:val="14"/>
          <w:color w:val="auto"/>
        </w:rPr>
      </w:pPr>
    </w:p>
    <w:p>
      <w:pPr>
        <w:ind w:left="440" w:right="3539" w:firstLine="437"/>
        <w:spacing w:after="0" w:line="255" w:lineRule="auto"/>
        <w:tabs>
          <w:tab w:leader="none" w:pos="1221"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permit registrations of transfers and exchanges, the Company shall execute and the Trustee shall authenticate Global Notes and Definitive Notes upon the Company's order or at the Registrar's request.</w:t>
      </w:r>
    </w:p>
    <w:p>
      <w:pPr>
        <w:spacing w:after="0" w:line="162" w:lineRule="exact"/>
        <w:rPr>
          <w:rFonts w:ascii="Courier New" w:cs="Courier New" w:eastAsia="Courier New" w:hAnsi="Courier New"/>
          <w:sz w:val="14"/>
          <w:szCs w:val="14"/>
          <w:color w:val="auto"/>
        </w:rPr>
      </w:pPr>
    </w:p>
    <w:p>
      <w:pPr>
        <w:ind w:left="440" w:right="3379" w:firstLine="437"/>
        <w:spacing w:after="0" w:line="253" w:lineRule="auto"/>
        <w:tabs>
          <w:tab w:leader="none" w:pos="1308"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service charge shall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2.10, 3.06, 3.09, 4.10, 4.15 and 9.05 hereof).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20" w:right="1440" w:bottom="1440" w:gutter="0" w:footer="0" w:header="0"/>
        </w:sectPr>
      </w:pPr>
    </w:p>
    <w:bookmarkStart w:id="150" w:name="page151"/>
    <w:bookmarkEnd w:id="150"/>
    <w:p>
      <w:pPr>
        <w:ind w:left="440" w:right="3379" w:firstLine="437"/>
        <w:spacing w:after="0" w:line="255" w:lineRule="auto"/>
        <w:tabs>
          <w:tab w:leader="none" w:pos="1395"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Registrar shall not be required to register the transfer of or exchange any Note selected for redemption in whole or in part, except the unredeemed portion of any Note being redeemed in part.</w:t>
      </w:r>
    </w:p>
    <w:p>
      <w:pPr>
        <w:spacing w:after="0" w:line="162" w:lineRule="exact"/>
        <w:rPr>
          <w:rFonts w:ascii="Courier New" w:cs="Courier New" w:eastAsia="Courier New" w:hAnsi="Courier New"/>
          <w:sz w:val="14"/>
          <w:szCs w:val="14"/>
          <w:color w:val="auto"/>
        </w:rPr>
      </w:pPr>
    </w:p>
    <w:p>
      <w:pPr>
        <w:ind w:left="440" w:right="3279" w:firstLine="437"/>
        <w:spacing w:after="0" w:line="254" w:lineRule="auto"/>
        <w:tabs>
          <w:tab w:leader="none" w:pos="1308"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Global Notes and Definitive Notes issued upon any registration of transfer or exchange of Global Notes or Definitive Notes shall be the valid obligations of the Company, evidencing the same debt, and entitled to the same benefits under this Indenture, as the Global Notes or Definitive Notes surrendered upon such registration of transfer or exchange.</w:t>
      </w:r>
    </w:p>
    <w:p>
      <w:pPr>
        <w:spacing w:after="0" w:line="329" w:lineRule="exact"/>
        <w:rPr>
          <w:rFonts w:ascii="Courier New" w:cs="Courier New" w:eastAsia="Courier New" w:hAnsi="Courier New"/>
          <w:sz w:val="14"/>
          <w:szCs w:val="14"/>
          <w:color w:val="auto"/>
        </w:rPr>
      </w:pPr>
    </w:p>
    <w:p>
      <w:pPr>
        <w:ind w:left="440" w:right="3279" w:firstLine="437"/>
        <w:spacing w:after="0" w:line="253" w:lineRule="auto"/>
        <w:tabs>
          <w:tab w:leader="none" w:pos="1221"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required (A) to issue, to register the transfer of or to exchange any Notes during a period beginning at the opening of business 15 days before the day of any selection of Notes for redemption under Section 3.02 hereof and ending at the close of business on the day of selection,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w:t>
      </w:r>
    </w:p>
    <w:p>
      <w:pPr>
        <w:spacing w:after="0" w:line="164" w:lineRule="exact"/>
        <w:rPr>
          <w:rFonts w:ascii="Courier New" w:cs="Courier New" w:eastAsia="Courier New" w:hAnsi="Courier New"/>
          <w:sz w:val="14"/>
          <w:szCs w:val="14"/>
          <w:color w:val="auto"/>
        </w:rPr>
      </w:pPr>
    </w:p>
    <w:p>
      <w:pPr>
        <w:ind w:left="440" w:right="3379" w:firstLine="437"/>
        <w:spacing w:after="0" w:line="253" w:lineRule="auto"/>
        <w:tabs>
          <w:tab w:leader="none" w:pos="1308"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(subject to the provisions of the Notes for record dates), and none of the Trustee, any Agent or the Company shall be affected by notice to the contrary.</w:t>
      </w:r>
    </w:p>
    <w:p>
      <w:pPr>
        <w:spacing w:after="0" w:line="164" w:lineRule="exact"/>
        <w:rPr>
          <w:rFonts w:ascii="Courier New" w:cs="Courier New" w:eastAsia="Courier New" w:hAnsi="Courier New"/>
          <w:sz w:val="14"/>
          <w:szCs w:val="14"/>
          <w:color w:val="auto"/>
        </w:rPr>
      </w:pPr>
    </w:p>
    <w:p>
      <w:pPr>
        <w:ind w:left="440" w:right="3279" w:firstLine="437"/>
        <w:spacing w:after="0" w:line="258" w:lineRule="auto"/>
        <w:tabs>
          <w:tab w:leader="none" w:pos="1395"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authenticate Global Notes and Definitive Notes in accordance with the provisions of Section 2.02 hereof.</w:t>
      </w:r>
    </w:p>
    <w:p>
      <w:pPr>
        <w:spacing w:after="0" w:line="159" w:lineRule="exact"/>
        <w:rPr>
          <w:rFonts w:ascii="Courier New" w:cs="Courier New" w:eastAsia="Courier New" w:hAnsi="Courier New"/>
          <w:sz w:val="14"/>
          <w:szCs w:val="14"/>
          <w:color w:val="auto"/>
        </w:rPr>
      </w:pPr>
    </w:p>
    <w:p>
      <w:pPr>
        <w:ind w:left="440" w:right="3379" w:firstLine="437"/>
        <w:spacing w:after="0" w:line="256" w:lineRule="auto"/>
        <w:tabs>
          <w:tab w:leader="none" w:pos="1481"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certifications, certificates and Opinions of Counsel required to be submitted to the Registrar pursuant to this Section 2.06 to effect a registration of transfer or exchange may be submitted by facsimile.</w:t>
      </w:r>
    </w:p>
    <w:p>
      <w:pPr>
        <w:spacing w:after="0" w:line="32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2.07.</w:t>
        <w:tab/>
        <w:t>Replacement Notes.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If any mutilated Note is surrendered to the Trustee or the Company and the Trustee receives evidence to its satisfaction of the destruction, loss or theft of any Note, the Company shall issue and the Trustee, upon receipt of an Authentication Order, shall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may charge for its expenses in replacing a Note.</w:t>
      </w:r>
    </w:p>
    <w:p>
      <w:pPr>
        <w:spacing w:after="0" w:line="164"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Every replacement Note is an additional obligation of the Company and shall be entitled to all of the benefits of this Indenture equally and proportionately with all other Notes duly issued hereunder.</w:t>
      </w:r>
    </w:p>
    <w:p>
      <w:pPr>
        <w:spacing w:after="0" w:line="16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2.08.</w:t>
        <w:tab/>
        <w:t>Outstanding Notes.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as not outstanding. Except as set forth in Section 2.09 hereof, a Note does not cease to be outstanding because the Company or an Affiliate of the Company holds the Note; however, Notes held by the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151" w:name="page152"/>
    <w:bookmarkEnd w:id="151"/>
    <w:p>
      <w:pPr>
        <w:ind w:right="3279"/>
        <w:spacing w:after="0" w:line="258" w:lineRule="auto"/>
        <w:rPr>
          <w:sz w:val="20"/>
          <w:szCs w:val="20"/>
          <w:color w:val="auto"/>
        </w:rPr>
      </w:pPr>
      <w:r>
        <w:rPr>
          <w:rFonts w:ascii="Courier New" w:cs="Courier New" w:eastAsia="Courier New" w:hAnsi="Courier New"/>
          <w:sz w:val="14"/>
          <w:szCs w:val="14"/>
          <w:color w:val="auto"/>
        </w:rPr>
        <w:t>Company or a Subsidiary of the Company shall not be deemed to be outstanding for purposes of Section 3.07(b) hereof.</w:t>
      </w:r>
    </w:p>
    <w:p>
      <w:pPr>
        <w:spacing w:after="0" w:line="160"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If a Note is replaced pursuant to Section 2.07 hereof, it ceases to be outstanding unless the Trustee receives proof satisfactory to it that the replaced Note is held by a bona fide purchaser.</w:t>
      </w:r>
    </w:p>
    <w:p>
      <w:pPr>
        <w:spacing w:after="0" w:line="16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If the principal amount of any Note is considered paid under Section 4.01 hereof, it ceases to be outstanding and interest on it ceases to accrue.</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If the Paying Agent (other than the Company, a Subsidiary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6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2.09.</w:t>
        <w:tab/>
        <w:t>Treasury Notes.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determining whether the Holders of the required principal amount of Notes have concurred in any direction, waiver or consent, Notes owned by the Company, or by any Person directly or indirectly controlling or controlled by or under direct or indirect common control with the Company,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2.10.</w:t>
        <w:tab/>
        <w:t>Temporary Notes.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Until certificates representing Notes are ready for delivery, the Company may prepare and the Trustee, upon receipt of an Authentication Order, shall authenticate temporary Notes. Temporary Notes shall be substantially in the form of certificated Notes but may have variations that the Company considers appropriate for temporary Notes and as shall be reasonably acceptable to the Trustee. Without unreasonable delay, the Company shall prepare and the Trustee shall authenticate definitive Notes in exchange for temporary Notes.</w:t>
      </w:r>
    </w:p>
    <w:p>
      <w:pPr>
        <w:spacing w:after="0" w:line="16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Holders of temporary Notes shall be entitled to all of the benefits of this Indenture.</w:t>
      </w:r>
    </w:p>
    <w:p>
      <w:pPr>
        <w:spacing w:after="0" w:line="16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2.11.</w:t>
        <w:tab/>
        <w:t>Cancellation.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at any time may deliver Notes to the Trustee for cancellation.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Registrar and Paying Agent shall forward to the Trustee any Notes</w:t>
      </w:r>
    </w:p>
    <w:p>
      <w:pPr>
        <w:spacing w:after="0" w:line="8" w:lineRule="exact"/>
        <w:rPr>
          <w:sz w:val="20"/>
          <w:szCs w:val="20"/>
          <w:color w:val="auto"/>
        </w:rPr>
      </w:pPr>
    </w:p>
    <w:p>
      <w:pPr>
        <w:spacing w:after="0"/>
        <w:tabs>
          <w:tab w:leader="none" w:pos="6240" w:val="left"/>
        </w:tabs>
        <w:rPr>
          <w:sz w:val="20"/>
          <w:szCs w:val="20"/>
          <w:color w:val="auto"/>
        </w:rPr>
      </w:pPr>
      <w:r>
        <w:rPr>
          <w:rFonts w:ascii="Courier New" w:cs="Courier New" w:eastAsia="Courier New" w:hAnsi="Courier New"/>
          <w:sz w:val="14"/>
          <w:szCs w:val="14"/>
          <w:color w:val="auto"/>
        </w:rPr>
        <w:t>surrendered to them for registration of transfer, exchange or payment.</w:t>
        <w:tab/>
        <w:t>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and no one else shall cancel all Notes surrendered for registration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exchange, payment, replacement or cancellation and shall destroy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canceled Notes (subject to the record retention requirement of the Exchange</w:t>
      </w:r>
    </w:p>
    <w:p>
      <w:pPr>
        <w:spacing w:after="0" w:line="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Act).</w:t>
        <w:tab/>
        <w:t>Certification of the destruction of all canceled Notes shall be delivered</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to the Company.</w:t>
        <w:tab/>
        <w:t>The Company may not issue new Notes to replace Notes that 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paid or that have been delivered to the Trustee for cancellation.</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2.12.</w:t>
        <w:tab/>
        <w:t>Defaulted Interest.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If the Company defaults in a payment of interest on the Notes, the Company shall pay the defaulted interest in any lawful manner plus, to the extent lawful, interest payable on the defaulted interest, to the Persons who are Holders on a subsequent special record date, in each case at the rate provided in the Notes and in Section 4.01 hereof. The Company shall notify the Trustee in writing of the amount of defaulted interest proposed to be paid on each Note and the date of the proposed payment. The Company shall fix or cause to be fixed each such special record date and payment date, provided that no</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152" w:name="page153"/>
    <w:bookmarkEnd w:id="152"/>
    <w:p>
      <w:pPr>
        <w:ind w:right="3279"/>
        <w:spacing w:after="0" w:line="253" w:lineRule="auto"/>
        <w:rPr>
          <w:sz w:val="20"/>
          <w:szCs w:val="20"/>
          <w:color w:val="auto"/>
        </w:rPr>
      </w:pPr>
      <w:r>
        <w:rPr>
          <w:rFonts w:ascii="Courier New" w:cs="Courier New" w:eastAsia="Courier New" w:hAnsi="Courier New"/>
          <w:sz w:val="14"/>
          <w:szCs w:val="14"/>
          <w:color w:val="auto"/>
        </w:rPr>
        <w:t>such special record date shall be less than 10 days prior to the related payment date for such defaulted interest. At least 15 days before the special record date, the Company (or, upon the written request of the Company, the Trustee in the name and at the expense of the Company) shall mail or cause to be mailed to Holders a notice that states the special record date, the related payment date and the amount of such interest to be paid.</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3.</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REDEMPTION AND PREPAYMENT</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3.01.</w:t>
        <w:tab/>
        <w:t>Notices to Trustee.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the Company elects to redeem Notes pursuant to the optional redemption provisions of Section 3.07 hereof, it shall furnish to the Trustee, at least 45 days, or such shorter period to which the Trustee may consent, but not more than 75 days before a redemption date, an Officers' Certificate setting forth (i) the clause of this Indenture pursuant to which the redemption shall occur, (ii) the redemption date, (iii) the principal amount of Notes to be redeemed and (iv) the redemption price.</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3.02.</w:t>
        <w:tab/>
        <w:t>Selection of Notes to Be Redeemed.</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less than all of the Notes are to be redeemed or purchased in an offer to purchase at any time, the Trustee shall select the Notes to be redeemed or purchased among the Holders of the Notes in compliance with the requirements of the principal national securities exchange, if any, on which the Notes are listed or, if the Notes are not so listed, on a pro rata basis, by lot or in accordance with any other method the Trustee considers fair and appropriate. In the event of partial redemption by lot, the particular Notes to be redeemed shall be selected, unless otherwise provided herein, not less than 30 nor more than 60 days prior to the redemption date by the Trustee from the outstanding Notes not previously called for redemption.</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Trustee shall promptly notify the Company in writing of the Notes selected for redemption and, in the case of any Note selected for partial redemption, the principal amount thereof to be redeemed. Notes and portions of Notes selected shall be in amounts of $1,000 or whole multiples of $1,000; except that if all of the Notes of a Holder are to be redeemed, the entire outstanding amount of Notes held by such Holder, even if not a multiple of $1,000, shall be redeemed. Except as provided in the preceding sentence, provisions of this Indenture that apply to Notes called for redemption also apply to portions of Notes called for redemption.</w:t>
      </w:r>
    </w:p>
    <w:p>
      <w:pPr>
        <w:spacing w:after="0" w:line="16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3.03.</w:t>
        <w:tab/>
        <w:t>Notice of Redemption.</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Subject to the provisions of Section 3.09 hereof, at least 30 days but not more than 60 days before a redemption date, the Company shall mail or cause to be mailed, by first class mail, a notice of redemption to each Holder whose Notes are to be redeemed at its registered address.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notice shall identify the Notes to be redeemed and shall state:</w:t>
      </w:r>
    </w:p>
    <w:p>
      <w:pPr>
        <w:spacing w:after="0" w:line="175" w:lineRule="exact"/>
        <w:rPr>
          <w:sz w:val="20"/>
          <w:szCs w:val="20"/>
          <w:color w:val="auto"/>
        </w:rPr>
      </w:pPr>
    </w:p>
    <w:p>
      <w:pPr>
        <w:ind w:left="800" w:hanging="357"/>
        <w:spacing w:after="0"/>
        <w:tabs>
          <w:tab w:leader="none" w:pos="80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date;</w:t>
      </w:r>
    </w:p>
    <w:p>
      <w:pPr>
        <w:spacing w:after="0" w:line="175"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w:t>
      </w:r>
    </w:p>
    <w:p>
      <w:pPr>
        <w:spacing w:after="0" w:line="175" w:lineRule="exact"/>
        <w:rPr>
          <w:rFonts w:ascii="Courier New" w:cs="Courier New" w:eastAsia="Courier New" w:hAnsi="Courier New"/>
          <w:sz w:val="14"/>
          <w:szCs w:val="14"/>
          <w:color w:val="auto"/>
        </w:rPr>
      </w:pPr>
    </w:p>
    <w:p>
      <w:pPr>
        <w:ind w:right="3639" w:firstLine="443"/>
        <w:spacing w:after="0" w:line="254" w:lineRule="auto"/>
        <w:tabs>
          <w:tab w:leader="none" w:pos="781"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153" w:name="page154"/>
    <w:bookmarkEnd w:id="153"/>
    <w:p>
      <w:pPr>
        <w:ind w:left="800" w:hanging="357"/>
        <w:spacing w:after="0"/>
        <w:tabs>
          <w:tab w:leader="none" w:pos="80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and address of the Paying Agent;</w:t>
      </w:r>
    </w:p>
    <w:p>
      <w:pPr>
        <w:spacing w:after="0" w:line="175" w:lineRule="exact"/>
        <w:rPr>
          <w:rFonts w:ascii="Courier New" w:cs="Courier New" w:eastAsia="Courier New" w:hAnsi="Courier New"/>
          <w:sz w:val="14"/>
          <w:szCs w:val="14"/>
          <w:color w:val="auto"/>
        </w:rPr>
      </w:pPr>
    </w:p>
    <w:p>
      <w:pPr>
        <w:ind w:right="3719" w:firstLine="443"/>
        <w:spacing w:after="0" w:line="258" w:lineRule="auto"/>
        <w:tabs>
          <w:tab w:leader="none" w:pos="781"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Notes called for redemption must be surrendered to the Paying Agent to collect the redemption price;</w:t>
      </w:r>
    </w:p>
    <w:p>
      <w:pPr>
        <w:spacing w:after="0" w:line="159" w:lineRule="exact"/>
        <w:rPr>
          <w:rFonts w:ascii="Courier New" w:cs="Courier New" w:eastAsia="Courier New" w:hAnsi="Courier New"/>
          <w:sz w:val="14"/>
          <w:szCs w:val="14"/>
          <w:color w:val="auto"/>
        </w:rPr>
      </w:pPr>
    </w:p>
    <w:p>
      <w:pPr>
        <w:ind w:right="3539" w:firstLine="443"/>
        <w:spacing w:after="0" w:line="255" w:lineRule="auto"/>
        <w:tabs>
          <w:tab w:leader="none" w:pos="781"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unless the Company defaults in making such redemption payment, interest on Notes called for redemption ceases to accrue on and after the redemption date;</w:t>
      </w:r>
    </w:p>
    <w:p>
      <w:pPr>
        <w:spacing w:after="0" w:line="162" w:lineRule="exact"/>
        <w:rPr>
          <w:rFonts w:ascii="Courier New" w:cs="Courier New" w:eastAsia="Courier New" w:hAnsi="Courier New"/>
          <w:sz w:val="14"/>
          <w:szCs w:val="14"/>
          <w:color w:val="auto"/>
        </w:rPr>
      </w:pPr>
    </w:p>
    <w:p>
      <w:pPr>
        <w:ind w:right="3279" w:firstLine="443"/>
        <w:spacing w:after="0" w:line="258" w:lineRule="auto"/>
        <w:tabs>
          <w:tab w:leader="none" w:pos="781"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paragraph of the Notes and/or Section of this Indenture pursuant to which the Notes called for redemption are being redeemed; and</w:t>
      </w:r>
    </w:p>
    <w:p>
      <w:pPr>
        <w:spacing w:after="0" w:line="159" w:lineRule="exact"/>
        <w:rPr>
          <w:rFonts w:ascii="Courier New" w:cs="Courier New" w:eastAsia="Courier New" w:hAnsi="Courier New"/>
          <w:sz w:val="14"/>
          <w:szCs w:val="14"/>
          <w:color w:val="auto"/>
        </w:rPr>
      </w:pPr>
    </w:p>
    <w:p>
      <w:pPr>
        <w:ind w:right="3279" w:firstLine="443"/>
        <w:spacing w:after="0" w:line="258" w:lineRule="auto"/>
        <w:tabs>
          <w:tab w:leader="none" w:pos="781"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no representation is made as to the correctness or accuracy of the CUSIP number, if any, listed in such notice or printed on the Notes.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At the Company's request, the Trustee shall give the notice of redemption in the Company's name and at its expense; provided, however, that the Company shall have delivered to the Trustee, at least 45 days, or such shorter period to which the Trustee may consent, prior to the redemption date, an Officers' Certificate requesting that the Trustee give such notice and setting forth the information to be stated in such notice as provided in the preceding paragraph.</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3.04.</w:t>
        <w:tab/>
        <w:t>Effect of Notice of Redemption.</w:t>
      </w:r>
    </w:p>
    <w:p>
      <w:pPr>
        <w:spacing w:after="0" w:line="175" w:lineRule="exact"/>
        <w:rPr>
          <w:sz w:val="20"/>
          <w:szCs w:val="20"/>
          <w:color w:val="auto"/>
        </w:rPr>
      </w:pPr>
    </w:p>
    <w:p>
      <w:pPr>
        <w:jc w:val="both"/>
        <w:ind w:right="3279" w:firstLine="434"/>
        <w:spacing w:after="0" w:line="255" w:lineRule="auto"/>
        <w:rPr>
          <w:sz w:val="20"/>
          <w:szCs w:val="20"/>
          <w:color w:val="auto"/>
        </w:rPr>
      </w:pPr>
      <w:r>
        <w:rPr>
          <w:rFonts w:ascii="Courier New" w:cs="Courier New" w:eastAsia="Courier New" w:hAnsi="Courier New"/>
          <w:sz w:val="14"/>
          <w:szCs w:val="14"/>
          <w:color w:val="auto"/>
        </w:rPr>
        <w:t>Once notice of redemption is mailed in accordance with Section 3.03 hereof, Notes called for redemption become irrevocably due and payable on the redemption date at the redemption price. A notice of redemption may not be conditional.</w:t>
      </w:r>
    </w:p>
    <w:p>
      <w:pPr>
        <w:spacing w:after="0" w:line="16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3.05.</w:t>
        <w:tab/>
        <w:t>Deposit of Redemption Price.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As of 12:00 p.m. Eastern Time on the redemption date, the Company shall deposit with the Trustee or with the Paying Agent money sufficient to pay the redemption price of and accrued interest on all Notes to be redeemed on that date. The Trustee or the Paying Agent shall promptly return to the Company any money deposited with the Trustee or the Paying Agent by the Company in excess of the amounts necessary to pay the redemption price of, and accrued interest on, all Notes to be redeemed.</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If the Company complies with the provisions of the preceding paragraph, on and after the redemption date, interest shall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shall not be so paid upon surrender for redemption because of the failure of the Company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 hereof.</w:t>
      </w:r>
    </w:p>
    <w:p>
      <w:pPr>
        <w:spacing w:after="0" w:line="16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3.06.</w:t>
        <w:tab/>
        <w:t>Notes Redeemed in Part.</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Upon surrender of a Note that is redeemed in part, the Company shall issue and, upon the Company's written request, the Trustee shall authenticate for the Holder at the expense of the Company a new Note equal in principal amount to the unredeemed portion of the Note surrendered.</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154" w:name="page155"/>
    <w:bookmarkEnd w:id="154"/>
    <w:p>
      <w:pPr>
        <w:spacing w:after="0"/>
        <w:tabs>
          <w:tab w:leader="none" w:pos="1460" w:val="left"/>
        </w:tabs>
        <w:rPr>
          <w:sz w:val="20"/>
          <w:szCs w:val="20"/>
          <w:color w:val="auto"/>
        </w:rPr>
      </w:pPr>
      <w:r>
        <w:rPr>
          <w:rFonts w:ascii="Courier New" w:cs="Courier New" w:eastAsia="Courier New" w:hAnsi="Courier New"/>
          <w:sz w:val="14"/>
          <w:szCs w:val="14"/>
          <w:color w:val="auto"/>
        </w:rPr>
        <w:t>Section 3.07.</w:t>
      </w:r>
      <w:r>
        <w:rPr>
          <w:sz w:val="20"/>
          <w:szCs w:val="20"/>
          <w:color w:val="auto"/>
        </w:rPr>
        <w:tab/>
      </w:r>
      <w:r>
        <w:rPr>
          <w:rFonts w:ascii="Courier New" w:cs="Courier New" w:eastAsia="Courier New" w:hAnsi="Courier New"/>
          <w:sz w:val="14"/>
          <w:szCs w:val="14"/>
          <w:color w:val="auto"/>
        </w:rPr>
        <w:t>Optional Redemption.</w:t>
      </w:r>
    </w:p>
    <w:p>
      <w:pPr>
        <w:spacing w:after="0" w:line="175" w:lineRule="exact"/>
        <w:rPr>
          <w:sz w:val="20"/>
          <w:szCs w:val="20"/>
          <w:color w:val="auto"/>
        </w:rPr>
      </w:pPr>
    </w:p>
    <w:p>
      <w:pPr>
        <w:ind w:right="3379" w:firstLine="443"/>
        <w:spacing w:after="0" w:line="253" w:lineRule="auto"/>
        <w:tabs>
          <w:tab w:leader="none" w:pos="781"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clause (b) of this Section 3.07, the Company shall not have the option pursuant to this Section 3.07 to redeem the Notes prior to July 1, 2006. Thereafter, the Company shall have the option to redeem the Notes, in whole or in part, upon not less than 30 nor more than 60 days' notice, at the redemption prices (expressed as percentages of principal amount) set forth below plus accrued and unpaid interest and Liquidated Damages thereon to the applicable redemption date, if redeemed during the twelve-month period beginning on July 1 of each of the years indicated below: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6860" w:type="dxa"/>
            <w:vAlign w:val="bottom"/>
          </w:tcPr>
          <w:p>
            <w:pPr>
              <w:spacing w:after="0"/>
              <w:rPr>
                <w:sz w:val="14"/>
                <w:szCs w:val="14"/>
                <w:color w:val="auto"/>
              </w:rPr>
            </w:pP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Percentage</w:t>
            </w:r>
          </w:p>
        </w:tc>
      </w:tr>
      <w:tr>
        <w:trPr>
          <w:trHeight w:val="167"/>
        </w:trPr>
        <w:tc>
          <w:tcPr>
            <w:tcW w:w="72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6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104.438%</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6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102.958%</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6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101.479%</w:t>
            </w:r>
          </w:p>
        </w:tc>
      </w:tr>
      <w:tr>
        <w:trPr>
          <w:trHeight w:val="167"/>
        </w:trPr>
        <w:tc>
          <w:tcPr>
            <w:tcW w:w="36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6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and thereafter..............................................................</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w:t>
            </w:r>
          </w:p>
        </w:tc>
      </w:tr>
    </w:tbl>
    <w:p>
      <w:pPr>
        <w:spacing w:after="0" w:line="338" w:lineRule="exact"/>
        <w:rPr>
          <w:sz w:val="20"/>
          <w:szCs w:val="20"/>
          <w:color w:val="auto"/>
        </w:rPr>
      </w:pPr>
    </w:p>
    <w:p>
      <w:pPr>
        <w:ind w:right="3279" w:firstLine="443"/>
        <w:spacing w:after="0" w:line="253" w:lineRule="auto"/>
        <w:tabs>
          <w:tab w:leader="none" w:pos="781"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clause (a) of this Section 3.07, at any time prior to July1, 2004, the Company may redeem Notes with the net proceeds of one or more Equity Offerings at a redemption price equal to 108.875% of the aggregate principal amount thereof; provided that at least 65% in aggregate principal amount of the Notes originally issued remain outstanding immediately after the occurrence of such redemption and that such redemption occurs within 180 days of the date of the closing of such Equity Offering.</w:t>
      </w:r>
    </w:p>
    <w:p>
      <w:pPr>
        <w:spacing w:after="0" w:line="164" w:lineRule="exact"/>
        <w:rPr>
          <w:rFonts w:ascii="Courier New" w:cs="Courier New" w:eastAsia="Courier New" w:hAnsi="Courier New"/>
          <w:sz w:val="14"/>
          <w:szCs w:val="14"/>
          <w:color w:val="auto"/>
        </w:rPr>
      </w:pPr>
    </w:p>
    <w:p>
      <w:pPr>
        <w:ind w:right="3379" w:firstLine="443"/>
        <w:spacing w:after="0" w:line="258" w:lineRule="auto"/>
        <w:tabs>
          <w:tab w:leader="none" w:pos="781"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redemption pursuant to this Section 3.07 shall be made pursuant to the provisions of Section 3.01 through 3.06 hereof.</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3.08. Mandatory Redemption.</w:t>
      </w:r>
    </w:p>
    <w:p>
      <w:pPr>
        <w:spacing w:after="0" w:line="17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The Company shall not be required to make mandatory redemption payments with respect to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3.09. Offer to Purchase by Application of Excess Proceeds.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In the event that, pursuant to Section 4.10 hereof, the Company shall be required to commence an offer to all Holders to purchase Notes (an "Asset Sale Offer"), it shall follow the procedures specified below.</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Asset Sale Offer shall remain open for a period of 20 Business Days following its commencement and no longer, except to the extent that a longer period is required by applicable law (the "Offer Period"). No later than five Business Days after the termination of the Offer Period (the "Purchase Date"), the Company shall purchase the principal amount of Notes required to be purchased pursuant to Section 4.10 hereof (the "Offer Amount") or, if less than the Offer Amount has been tendered, all Notes tendered in response to the Asset Sale Offer. Payment for any Notes so purchased shall be made in the same manner as interest payments are made.</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If the Purchase Date is on or after an interest record date and on or before the related interest payment date, any accrued and unpaid interest shall be paid to the Person in whose name a Note is registered at the close of business on such record date, and no additional interest shall be payable to Holders who tender Notes pursuant to the Asset Sale Offer.</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20" w:right="1440" w:bottom="1440" w:gutter="0" w:footer="0" w:header="0"/>
        </w:sectPr>
      </w:pPr>
    </w:p>
    <w:bookmarkStart w:id="155" w:name="page156"/>
    <w:bookmarkEnd w:id="155"/>
    <w:p>
      <w:pPr>
        <w:ind w:right="3459" w:firstLine="434"/>
        <w:spacing w:after="0" w:line="253" w:lineRule="auto"/>
        <w:rPr>
          <w:sz w:val="20"/>
          <w:szCs w:val="20"/>
          <w:color w:val="auto"/>
        </w:rPr>
      </w:pPr>
      <w:r>
        <w:rPr>
          <w:rFonts w:ascii="Courier New" w:cs="Courier New" w:eastAsia="Courier New" w:hAnsi="Courier New"/>
          <w:sz w:val="14"/>
          <w:szCs w:val="14"/>
          <w:color w:val="auto"/>
        </w:rPr>
        <w:t>Upon the commencement of an Asset Sale Offer, the Company shall send, by first class mail, a notice to the Trustee and each of the Holders, with a copy to the Trustee. The notice shall contain all instructions and materials necessary to enable such Holders to tender Notes pursuant to the Asset Sale Offer. The Asset Sale Offer shall be made to all Holders. The notice, which shall govern the terms of the Asset Sale Offer, shall state:</w:t>
      </w:r>
    </w:p>
    <w:p>
      <w:pPr>
        <w:spacing w:after="0" w:line="165" w:lineRule="exact"/>
        <w:rPr>
          <w:sz w:val="20"/>
          <w:szCs w:val="20"/>
          <w:color w:val="auto"/>
        </w:rPr>
      </w:pPr>
    </w:p>
    <w:p>
      <w:pPr>
        <w:ind w:right="3279" w:firstLine="443"/>
        <w:spacing w:after="0" w:line="260" w:lineRule="auto"/>
        <w:tabs>
          <w:tab w:leader="none" w:pos="781"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Asset Sale Offer is being made pursuant to this Section 3.09 and Section 4.10 hereof and the length of time the Asset Sale Offer shall remain open;</w:t>
      </w:r>
    </w:p>
    <w:p>
      <w:pPr>
        <w:spacing w:after="0" w:line="324"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Amount, the purchase price and the Purchase Date;</w:t>
      </w:r>
    </w:p>
    <w:p>
      <w:pPr>
        <w:spacing w:after="0" w:line="175" w:lineRule="exact"/>
        <w:rPr>
          <w:rFonts w:ascii="Courier New" w:cs="Courier New" w:eastAsia="Courier New" w:hAnsi="Courier New"/>
          <w:sz w:val="14"/>
          <w:szCs w:val="14"/>
          <w:color w:val="auto"/>
        </w:rPr>
      </w:pPr>
    </w:p>
    <w:p>
      <w:pPr>
        <w:ind w:right="3539" w:firstLine="443"/>
        <w:spacing w:after="0" w:line="258" w:lineRule="auto"/>
        <w:tabs>
          <w:tab w:leader="none" w:pos="781"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any Note not tendered or accepted for payment shall continue to accrete or accrue interest;</w:t>
      </w:r>
    </w:p>
    <w:p>
      <w:pPr>
        <w:spacing w:after="0" w:line="159" w:lineRule="exact"/>
        <w:rPr>
          <w:rFonts w:ascii="Courier New" w:cs="Courier New" w:eastAsia="Courier New" w:hAnsi="Courier New"/>
          <w:sz w:val="14"/>
          <w:szCs w:val="14"/>
          <w:color w:val="auto"/>
        </w:rPr>
      </w:pPr>
    </w:p>
    <w:p>
      <w:pPr>
        <w:ind w:right="3379" w:firstLine="443"/>
        <w:spacing w:after="0" w:line="255" w:lineRule="auto"/>
        <w:tabs>
          <w:tab w:leader="none" w:pos="781"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unless the Company defaults in making such payment, any Note accepted for payment pursuant to the Asset Sale Offer shall cease to accrete or accrue interest after the Purchase Date;</w:t>
      </w:r>
    </w:p>
    <w:p>
      <w:pPr>
        <w:spacing w:after="0" w:line="162" w:lineRule="exact"/>
        <w:rPr>
          <w:rFonts w:ascii="Courier New" w:cs="Courier New" w:eastAsia="Courier New" w:hAnsi="Courier New"/>
          <w:sz w:val="14"/>
          <w:szCs w:val="14"/>
          <w:color w:val="auto"/>
        </w:rPr>
      </w:pPr>
    </w:p>
    <w:p>
      <w:pPr>
        <w:jc w:val="both"/>
        <w:ind w:right="3639" w:firstLine="443"/>
        <w:spacing w:after="0" w:line="255" w:lineRule="auto"/>
        <w:tabs>
          <w:tab w:leader="none" w:pos="781"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Holders electing to have a Note purchased pursuant to an Asset Sale Offer may elect to have Notes purchased in integral multiples of $1,000 only;</w:t>
      </w:r>
    </w:p>
    <w:p>
      <w:pPr>
        <w:spacing w:after="0" w:line="162" w:lineRule="exact"/>
        <w:rPr>
          <w:rFonts w:ascii="Courier New" w:cs="Courier New" w:eastAsia="Courier New" w:hAnsi="Courier New"/>
          <w:sz w:val="14"/>
          <w:szCs w:val="14"/>
          <w:color w:val="auto"/>
        </w:rPr>
      </w:pPr>
    </w:p>
    <w:p>
      <w:pPr>
        <w:ind w:right="3459" w:firstLine="443"/>
        <w:spacing w:after="0" w:line="253" w:lineRule="auto"/>
        <w:tabs>
          <w:tab w:leader="none" w:pos="781"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Holders electing to have a Note purchased pursuant to any Asset Sale Offer shall be required to surrender the Note, with the form entitled "Option of Holder to Elect Purchase" on the reverse of the Note completed, or transfer by book-entry transfer, to the Company, a depositary, if appointed by the Company, or a Paying Agent at the address specified in the notice at least three days before the Purchase Date;</w:t>
      </w:r>
    </w:p>
    <w:p>
      <w:pPr>
        <w:spacing w:after="0" w:line="165" w:lineRule="exact"/>
        <w:rPr>
          <w:rFonts w:ascii="Courier New" w:cs="Courier New" w:eastAsia="Courier New" w:hAnsi="Courier New"/>
          <w:sz w:val="14"/>
          <w:szCs w:val="14"/>
          <w:color w:val="auto"/>
        </w:rPr>
      </w:pPr>
    </w:p>
    <w:p>
      <w:pPr>
        <w:ind w:right="3459" w:firstLine="443"/>
        <w:spacing w:after="0" w:line="253" w:lineRule="auto"/>
        <w:tabs>
          <w:tab w:leader="none" w:pos="781"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Holders shall be entitled to withdraw their election if the Company,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his election to have such Note purchased;</w:t>
      </w:r>
    </w:p>
    <w:p>
      <w:pPr>
        <w:spacing w:after="0" w:line="165" w:lineRule="exact"/>
        <w:rPr>
          <w:rFonts w:ascii="Courier New" w:cs="Courier New" w:eastAsia="Courier New" w:hAnsi="Courier New"/>
          <w:sz w:val="14"/>
          <w:szCs w:val="14"/>
          <w:color w:val="auto"/>
        </w:rPr>
      </w:pPr>
    </w:p>
    <w:p>
      <w:pPr>
        <w:ind w:right="3279" w:firstLine="443"/>
        <w:spacing w:after="0" w:line="254" w:lineRule="auto"/>
        <w:tabs>
          <w:tab w:leader="none" w:pos="781"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if the aggregate principal amount of Notes surrendered by Holders exceeds the Offer Amount, the Company shall select the Notes to be purchased on a pro rata basis (with such adjustments as may be deemed appropriate by the Company so that only Notes in denominations of $1,000, or integral multiples thereof, shall be purchased); and</w:t>
      </w:r>
    </w:p>
    <w:p>
      <w:pPr>
        <w:spacing w:after="0" w:line="162" w:lineRule="exact"/>
        <w:rPr>
          <w:rFonts w:ascii="Courier New" w:cs="Courier New" w:eastAsia="Courier New" w:hAnsi="Courier New"/>
          <w:sz w:val="14"/>
          <w:szCs w:val="14"/>
          <w:color w:val="auto"/>
        </w:rPr>
      </w:pPr>
    </w:p>
    <w:p>
      <w:pPr>
        <w:ind w:right="3539" w:firstLine="443"/>
        <w:spacing w:after="0" w:line="255" w:lineRule="auto"/>
        <w:tabs>
          <w:tab w:leader="none" w:pos="781"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Holders whose Notes were purchased only in part shall be issued new Notes equal in principal amount to the unpurchased portion of the Notes surrendered (or transferred by book-entry transfer).</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or before the Purchase Date, the Company shall, to the extent lawful, accept for payment, on a pro rata basis to the extent necessary, the Offer Amount of Notes or portions thereof tendered pursuant to the Asset Sale Offer, or if less than the Offer Amount has been tendered, all Notes tendered, and shall deliver to the Trustee an Officers' Certificate stating that such Notes or portions thereof were accepted for payment by the Company in accordance with the terms of this Section 3.09. The Company, the Depositary or the Paying Agent, as the case may be, shall promptly (but in any case not later than five days after the Purchase Date) mail or deliver to each tendering Holder an amount equal to the purchase price of the Notes tendered by such Holder and accepted by the Company for purchase, and the Company shall promptly issue a new Note, and the Trustee, upon written request from the Company shall authenticate and mail or deliver such new Note to such Holder, in a principal amount equal to any</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156" w:name="page157"/>
    <w:bookmarkEnd w:id="156"/>
    <w:p>
      <w:pPr>
        <w:ind w:right="3379"/>
        <w:spacing w:after="0" w:line="256" w:lineRule="auto"/>
        <w:rPr>
          <w:sz w:val="20"/>
          <w:szCs w:val="20"/>
          <w:color w:val="auto"/>
        </w:rPr>
      </w:pPr>
      <w:r>
        <w:rPr>
          <w:rFonts w:ascii="Courier New" w:cs="Courier New" w:eastAsia="Courier New" w:hAnsi="Courier New"/>
          <w:sz w:val="14"/>
          <w:szCs w:val="14"/>
          <w:color w:val="auto"/>
        </w:rPr>
        <w:t>unpurchased portion of the Note surrendered. Any Note not so accepted shall be promptly mailed or delivered by the Company to the Holder thereof. The Company shall publicly announce the results of the Asset Sale Offer on the Purchase Date.</w:t>
      </w:r>
    </w:p>
    <w:p>
      <w:pPr>
        <w:spacing w:after="0" w:line="327"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Other than as specifically provided in this Section 3.09, any purchase pursuant to this Section 3.09 shall be made pursuant to the provisions of Sections 3.01 through 3.06 hereof.</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4.</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COVENANTS</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4.01.</w:t>
        <w:tab/>
        <w:t>Payment of Notes.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shall pay or cause to be paid the principal of, premium, if any, and interest on the Notes on the dates and in the manner provided in the Notes. Principal, premium, if any, and interest shall be considered paid on the date due if the Paying Agent, if other than the Company or a Subsidiary thereof, holds as of 12:00 p.m. Eastern Time on the due date money deposited by the Company in immediately available funds and designated for and sufficient to pay all principal, premium, if any, and interest then due. The Company shall pay all Liquidated Damages, if any, in the same manner on the dates and in the amounts set forth in the Registration Rights Agreement.</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shall pay interest (including post-petition interest in any proceeding under any Bankruptcy Law) on overdue principal at the rate equal to 1% per annum in excess of the then applicable interest rate on the Notes to the extent lawful; it shall pay interest (including post-petition interest in any proceeding under any Bankruptcy Law) on overdue installments of interest and Liquidated Damages (without regard to any applicable grace period) at the same rate to the extent lawful.</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4.02.</w:t>
        <w:tab/>
        <w:t>Maintenance of Office or Agency.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may also from time to time designate one or more other offices or agencies where the Notes may be presented or surrendered for any or all such purposes and may from time to time rescind such designations; provided, however, that no such designation or rescission shall in any manner relieve the Company of its obligation to maintain an office or agency in the Borough of Manhattan, the City of New York for such purposes. The Company shall give prompt written notice to the Trustee of any such designation or rescission and of any change in the location of any such other office or agency.</w:t>
      </w:r>
    </w:p>
    <w:p>
      <w:pPr>
        <w:spacing w:after="0" w:line="16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Company hereby designates the Corporate Trust Office of the Trustee as one such office or agency of the Company in accordance with Section 2.03.</w:t>
      </w:r>
    </w:p>
    <w:p>
      <w:pPr>
        <w:spacing w:after="0" w:line="16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4.03.</w:t>
        <w:tab/>
        <w:t>Reports</w:t>
      </w:r>
    </w:p>
    <w:p>
      <w:pPr>
        <w:spacing w:after="0" w:line="175" w:lineRule="exact"/>
        <w:rPr>
          <w:sz w:val="20"/>
          <w:szCs w:val="20"/>
          <w:color w:val="auto"/>
        </w:rPr>
      </w:pPr>
    </w:p>
    <w:p>
      <w:pPr>
        <w:ind w:right="3379" w:firstLine="443"/>
        <w:spacing w:after="0" w:line="255" w:lineRule="auto"/>
        <w:tabs>
          <w:tab w:leader="none" w:pos="781"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required by the SEC, so long as any Notes are outstanding, the Company shall furnish to the Holders of Notes, within the time periods specified in the SEC's rules and regulations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157" w:name="page158"/>
    <w:bookmarkEnd w:id="157"/>
    <w:p>
      <w:pPr>
        <w:ind w:right="3379" w:firstLine="9"/>
        <w:spacing w:after="0" w:line="253" w:lineRule="auto"/>
        <w:tabs>
          <w:tab w:leader="none" w:pos="347"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quarterly and annual financial information that would be required to be contained in a filing with the SEC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 (ii) all current reports that would be required to be filed with the SEC on Form 8-K if the Company were required to file such reports. In addition, following consummation of the Exchange Offer, whether or not required by the SEC, the Company shall file a copy of all of the information and reports referred to in clauses (i) and (ii) above with the SEC for public availability within the time periods specified in the SEC's rules and regulations (unless the SEC will not accept such a filing) and make such information available to securities analysts and prospective investors upon request. The Company shall at all times comply with TIA (S) 314(a).</w:t>
      </w:r>
    </w:p>
    <w:p>
      <w:pPr>
        <w:spacing w:after="0" w:line="329" w:lineRule="exact"/>
        <w:rPr>
          <w:rFonts w:ascii="Courier New" w:cs="Courier New" w:eastAsia="Courier New" w:hAnsi="Courier New"/>
          <w:sz w:val="14"/>
          <w:szCs w:val="14"/>
          <w:color w:val="auto"/>
        </w:rPr>
      </w:pPr>
    </w:p>
    <w:p>
      <w:pPr>
        <w:jc w:val="both"/>
        <w:ind w:right="3379" w:firstLine="443"/>
        <w:spacing w:after="0" w:line="254" w:lineRule="auto"/>
        <w:tabs>
          <w:tab w:leader="none" w:pos="781"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so long as any Notes remain outstanding, the Company shall furnish to the Holders and to securities analysts and prospective investors, upon their request, the information required to be delivered pursuant to Rule 144A(d)(4) under the Securities Act.</w:t>
      </w:r>
    </w:p>
    <w:p>
      <w:pPr>
        <w:spacing w:after="0" w:line="163" w:lineRule="exact"/>
        <w:rPr>
          <w:rFonts w:ascii="Courier New" w:cs="Courier New" w:eastAsia="Courier New" w:hAnsi="Courier New"/>
          <w:sz w:val="14"/>
          <w:szCs w:val="14"/>
          <w:color w:val="auto"/>
        </w:rPr>
      </w:pPr>
    </w:p>
    <w:p>
      <w:pPr>
        <w:ind w:right="3379" w:firstLine="443"/>
        <w:spacing w:after="0" w:line="253" w:lineRule="auto"/>
        <w:tabs>
          <w:tab w:leader="none" w:pos="781"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or any Guarantor has designated any of its Subsidiaries as Unrestricted Subsidiaries,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Company and the Restricted Subsidiaries separate from the financial condition and results of operations of the Unrestricted Subsidiaries containing line items substantially consistent with those contained in the summary section of the offering memorandum with respect to the Offering.</w:t>
      </w:r>
    </w:p>
    <w:p>
      <w:pPr>
        <w:spacing w:after="0" w:line="16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4.04.</w:t>
        <w:tab/>
        <w:t>Compliance Certificate.</w:t>
      </w:r>
    </w:p>
    <w:p>
      <w:pPr>
        <w:spacing w:after="0" w:line="175" w:lineRule="exact"/>
        <w:rPr>
          <w:sz w:val="20"/>
          <w:szCs w:val="20"/>
          <w:color w:val="auto"/>
        </w:rPr>
      </w:pPr>
    </w:p>
    <w:p>
      <w:pPr>
        <w:ind w:right="3279" w:firstLine="443"/>
        <w:spacing w:after="0" w:line="252" w:lineRule="auto"/>
        <w:tabs>
          <w:tab w:leader="none" w:pos="781"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Guarantor (to the extent that such Guarantor is so required under the TIA) shall deliver to the Trustee, within 90 days after the end of each fiscal year, an Officers' Certificate stating that a review of the activities of the Company and its Subsidiaries during the preceding fiscal year has been made under the supervision of the signing Officers (one of whom shall be the principal executive officer, principal financial officer or principal accounting officer of the Company)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w:t>
      </w:r>
    </w:p>
    <w:p>
      <w:pPr>
        <w:spacing w:after="0" w:line="174"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not contrary to the then current recommendations of the American Institute of Certified Public Accountants, the year-end financial statements delivered pursuant to Section 4.03(a) above shall be accompanied by a written statement of the Company's independent public accountants (who shall be a firm of established national reputation) that in making the examination necessary for certification of such financial statements, nothing has come to their attention that would lead them to believe that the Company has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158" w:name="page159"/>
    <w:bookmarkEnd w:id="158"/>
    <w:p>
      <w:pPr>
        <w:ind w:right="3279" w:firstLine="443"/>
        <w:spacing w:after="0" w:line="254" w:lineRule="auto"/>
        <w:tabs>
          <w:tab w:leader="none" w:pos="781"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so long as any of the Notes are outstanding, deliver to the Trustee, forthwith upon any Officer becoming aware of any Default or Event of Default, an Officers' Certificate specifying such Default or Event of Default and what action the Company is taking or proposes to take with respect thereto.</w:t>
      </w:r>
    </w:p>
    <w:p>
      <w:pPr>
        <w:spacing w:after="0" w:line="33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4.05.</w:t>
        <w:tab/>
        <w:t>Taxes.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Company shall pay, and shall cause each of its Restricted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6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4.06.</w:t>
        <w:tab/>
        <w:t>Stay, Extension and Usury Laws.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and each of the Guarantors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6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4.07.</w:t>
        <w:tab/>
        <w:t>Restricted Payments.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Company shall not, and shall not permit any of its Restricted Subsidiaries to, directly or indirectly: (i) declare or pay any dividend or make any other payment or distribution on account of the Company's or any of its Restricted Subsidiaries' Equity Interests (including, without limitation, any payment in connection with any merger or consolidation involving the Company or any of its Restricted Subsidiaries) or to the direct or indirect holders of the Company's or any of its Restricted Subsidiaries' Equity Interests in their capacity as such (other than dividends or distributions payable in Equity Interests (other than Disqualified Stock) of the Company and other than dividends or distributions payable to the Company or a Restricted Subsidiary of the Company); (ii) purchase, redeem or otherwise acquire or retire for value (including, without limitation, in connection with any merger or consolidation involving the Company) any Equity Interests of the Company or any direct or indirect parent of the Company (other than any such Equity Interests owned by the Company or a Restricted Subsidiary); (iii) make any payment on or with respect to, or purchase, redeem, defease or otherwise acquire or retire for value any Indebtedness that is subordinated to the Notes or the Subsidiary Guarantees, except a payment of interest or principal at the Stated Maturity thereof (except for payments into a trust within one year of the stated maturity of any such Subordinated Indebtedness which payments effect a defeasance or discharge of such Indebtedness); or (iv) make any Restricted Investment (all such payments and other actions set forth in clauses (i) through (iv) above being collectively referred to as "Restricted Payments"), unless, at the time of and after giving effect to such Restricted Payment:</w:t>
      </w:r>
    </w:p>
    <w:p>
      <w:pPr>
        <w:spacing w:after="0" w:line="176" w:lineRule="exact"/>
        <w:rPr>
          <w:sz w:val="20"/>
          <w:szCs w:val="20"/>
          <w:color w:val="auto"/>
        </w:rPr>
      </w:pPr>
    </w:p>
    <w:p>
      <w:pPr>
        <w:ind w:right="3279" w:firstLine="443"/>
        <w:spacing w:after="0" w:line="258" w:lineRule="auto"/>
        <w:tabs>
          <w:tab w:leader="none" w:pos="781"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have occurred and be continuing or would occur as a consequence of such Restricted Payment;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787" w:right="1440" w:bottom="1440" w:gutter="0" w:footer="0" w:header="0"/>
        </w:sectPr>
      </w:pPr>
    </w:p>
    <w:bookmarkStart w:id="159" w:name="page160"/>
    <w:bookmarkEnd w:id="159"/>
    <w:p>
      <w:pPr>
        <w:ind w:left="-440" w:right="3459" w:firstLine="443"/>
        <w:spacing w:after="0" w:line="254" w:lineRule="auto"/>
        <w:tabs>
          <w:tab w:leader="none" w:pos="341"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pursuant to the Leverage Ratio test set forth in Section 4.09; and</w:t>
      </w:r>
    </w:p>
    <w:p>
      <w:pPr>
        <w:spacing w:after="0" w:line="162" w:lineRule="exact"/>
        <w:rPr>
          <w:rFonts w:ascii="Courier New" w:cs="Courier New" w:eastAsia="Courier New" w:hAnsi="Courier New"/>
          <w:sz w:val="14"/>
          <w:szCs w:val="14"/>
          <w:color w:val="auto"/>
        </w:rPr>
      </w:pPr>
    </w:p>
    <w:p>
      <w:pPr>
        <w:ind w:left="-440" w:right="3379" w:firstLine="443"/>
        <w:spacing w:after="0" w:line="254" w:lineRule="auto"/>
        <w:tabs>
          <w:tab w:leader="none" w:pos="341"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Restricted Payment, together with the aggregate amount of all other Restricted Payments made by the Company and its Restricted Subsidiaries after the date of this Indenture (excluding Restricted Payments permitted by clauses (a), (b), (c), (d), (e), (g), (i), (k), and (l), of the next succeeding paragraph), is less than the sum, without duplication, of:</w:t>
      </w:r>
    </w:p>
    <w:p>
      <w:pPr>
        <w:spacing w:after="0" w:line="329" w:lineRule="exact"/>
        <w:rPr>
          <w:rFonts w:ascii="Courier New" w:cs="Courier New" w:eastAsia="Courier New" w:hAnsi="Courier New"/>
          <w:sz w:val="14"/>
          <w:szCs w:val="14"/>
          <w:color w:val="auto"/>
        </w:rPr>
      </w:pPr>
    </w:p>
    <w:p>
      <w:pPr>
        <w:ind w:right="3279" w:firstLine="437"/>
        <w:spacing w:after="0" w:line="253" w:lineRule="auto"/>
        <w:tabs>
          <w:tab w:leader="none" w:pos="781"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100% of the aggregate Consolidated Cash Flow of the Company (or, in the event such Consolidated Cash Flow shall be a deficit, minus 100% of such deficit) accrued for the period beginning April 1, 2001 and ending on the last day of the Company's most recent calendar month for which financial information is available to the Company ending prior to the date of such proposed Restricted Payment, taken as one accounting period, less (y) 1.4 times Consolidated Interest Expense for the same period, plus</w:t>
      </w:r>
    </w:p>
    <w:p>
      <w:pPr>
        <w:spacing w:after="0" w:line="164" w:lineRule="exact"/>
        <w:rPr>
          <w:rFonts w:ascii="Courier New" w:cs="Courier New" w:eastAsia="Courier New" w:hAnsi="Courier New"/>
          <w:sz w:val="14"/>
          <w:szCs w:val="14"/>
          <w:color w:val="auto"/>
        </w:rPr>
      </w:pPr>
    </w:p>
    <w:p>
      <w:pPr>
        <w:ind w:right="3279" w:firstLine="437"/>
        <w:spacing w:after="0" w:line="253" w:lineRule="auto"/>
        <w:tabs>
          <w:tab w:leader="none" w:pos="868"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of the aggregate net proceeds (including the fair market value of property other than cash or Cash Equivalents) received by the Company since the date of this Indenture from the issue or sale of Equity Interests of the Company (other than Disqualified Stock), or of Disqualified Stock or debt securities of the Company that have been converted into such Equity Interests (other than Equity Interests (or Disqualified Stock or convertible debt securities) sold to a Restricted Subsidiary and other than Disqualified Stock or convertible debt securities that have been converted into Disqualified Stock), plus</w:t>
      </w:r>
    </w:p>
    <w:p>
      <w:pPr>
        <w:spacing w:after="0" w:line="164" w:lineRule="exact"/>
        <w:rPr>
          <w:rFonts w:ascii="Courier New" w:cs="Courier New" w:eastAsia="Courier New" w:hAnsi="Courier New"/>
          <w:sz w:val="14"/>
          <w:szCs w:val="14"/>
          <w:color w:val="auto"/>
        </w:rPr>
      </w:pPr>
    </w:p>
    <w:p>
      <w:pPr>
        <w:ind w:right="3379" w:firstLine="437"/>
        <w:spacing w:after="0" w:line="255" w:lineRule="auto"/>
        <w:tabs>
          <w:tab w:leader="none" w:pos="955"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any Unrestricted Subsidiary is redesignated as a Restricted Subsidiary after the date of this Indenture, the fair market value of such Subsidiary as of the date of such redesignation, plus</w:t>
      </w:r>
    </w:p>
    <w:p>
      <w:pPr>
        <w:spacing w:after="0" w:line="162" w:lineRule="exact"/>
        <w:rPr>
          <w:rFonts w:ascii="Courier New" w:cs="Courier New" w:eastAsia="Courier New" w:hAnsi="Courier New"/>
          <w:sz w:val="14"/>
          <w:szCs w:val="14"/>
          <w:color w:val="auto"/>
        </w:rPr>
      </w:pPr>
    </w:p>
    <w:p>
      <w:pPr>
        <w:ind w:right="3279" w:firstLine="437"/>
        <w:spacing w:after="0" w:line="256" w:lineRule="auto"/>
        <w:tabs>
          <w:tab w:leader="none" w:pos="868"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returned in cash with respect to Investments (other than Permitted Investments) made after the issue date whether through interest payments, principal payments, dividends or other distributions, plus</w:t>
      </w:r>
    </w:p>
    <w:p>
      <w:pPr>
        <w:spacing w:after="0" w:line="327" w:lineRule="exact"/>
        <w:rPr>
          <w:rFonts w:ascii="Courier New" w:cs="Courier New" w:eastAsia="Courier New" w:hAnsi="Courier New"/>
          <w:sz w:val="14"/>
          <w:szCs w:val="14"/>
          <w:color w:val="auto"/>
        </w:rPr>
      </w:pPr>
    </w:p>
    <w:p>
      <w:pPr>
        <w:ind w:right="3459" w:firstLine="437"/>
        <w:spacing w:after="0" w:line="254" w:lineRule="auto"/>
        <w:tabs>
          <w:tab w:leader="none" w:pos="781"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net cash proceeds received by the Company or any of its Restricted Subsidiaries from the disposition, retirement or redemption of all or any portion of such Investments referred to in clause (iv) in the first paragraph of this Section 4.07 (other than to a Restricted Subsidiary), plus</w:t>
      </w:r>
    </w:p>
    <w:p>
      <w:pPr>
        <w:spacing w:after="0" w:line="162" w:lineRule="exact"/>
        <w:rPr>
          <w:rFonts w:ascii="Courier New" w:cs="Courier New" w:eastAsia="Courier New" w:hAnsi="Courier New"/>
          <w:sz w:val="14"/>
          <w:szCs w:val="14"/>
          <w:color w:val="auto"/>
        </w:rPr>
      </w:pPr>
    </w:p>
    <w:p>
      <w:pPr>
        <w:ind w:left="880" w:hanging="443"/>
        <w:spacing w:after="0"/>
        <w:tabs>
          <w:tab w:leader="none" w:pos="880"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$15.0 million.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preceding provisions shall not prohibit:</w:t>
      </w:r>
    </w:p>
    <w:p>
      <w:pPr>
        <w:spacing w:after="0" w:line="175" w:lineRule="exact"/>
        <w:rPr>
          <w:sz w:val="20"/>
          <w:szCs w:val="20"/>
          <w:color w:val="auto"/>
        </w:rPr>
      </w:pPr>
    </w:p>
    <w:p>
      <w:pPr>
        <w:ind w:right="3639" w:firstLine="437"/>
        <w:spacing w:after="0" w:line="255" w:lineRule="auto"/>
        <w:tabs>
          <w:tab w:leader="none" w:pos="781"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any dividend within 60 days after the date of declaration of the dividend, if at the date of declaration the dividend payment would have complied with the provisions of this Indenture;</w:t>
      </w:r>
    </w:p>
    <w:p>
      <w:pPr>
        <w:spacing w:after="0" w:line="162" w:lineRule="exact"/>
        <w:rPr>
          <w:rFonts w:ascii="Courier New" w:cs="Courier New" w:eastAsia="Courier New" w:hAnsi="Courier New"/>
          <w:sz w:val="14"/>
          <w:szCs w:val="14"/>
          <w:color w:val="auto"/>
        </w:rPr>
      </w:pPr>
    </w:p>
    <w:p>
      <w:pPr>
        <w:ind w:right="3279" w:firstLine="437"/>
        <w:spacing w:after="0" w:line="253" w:lineRule="auto"/>
        <w:tabs>
          <w:tab w:leader="none" w:pos="781"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repurchase, retirement, defeasance or other acquisition of any subordinated Indebtedness of the Company or any Guarantor or of any Equity Interests of the Company in exchange for, or out of the net cash proceeds of the substantially concurrent sale (other than to a Restricted Subsidiary of the Company) of, Equity Interests of the Company (other than Disqualified Stock); provided that the amount of any such net cash proceeds that are utilized</w:t>
      </w:r>
    </w:p>
    <w:p>
      <w:pPr>
        <w:spacing w:after="0" w:line="16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9799"/>
          </w:cols>
          <w:pgMar w:left="660" w:top="620" w:right="1440" w:bottom="1440" w:gutter="0" w:footer="0" w:header="0"/>
        </w:sectPr>
      </w:pPr>
    </w:p>
    <w:bookmarkStart w:id="160" w:name="page161"/>
    <w:bookmarkEnd w:id="160"/>
    <w:p>
      <w:pPr>
        <w:ind w:right="3899"/>
        <w:spacing w:after="0" w:line="255" w:lineRule="auto"/>
        <w:rPr>
          <w:sz w:val="20"/>
          <w:szCs w:val="20"/>
          <w:color w:val="auto"/>
        </w:rPr>
      </w:pPr>
      <w:r>
        <w:rPr>
          <w:rFonts w:ascii="Courier New" w:cs="Courier New" w:eastAsia="Courier New" w:hAnsi="Courier New"/>
          <w:sz w:val="14"/>
          <w:szCs w:val="14"/>
          <w:color w:val="auto"/>
        </w:rPr>
        <w:t>for any such redemption, repurchase, retirement, defeasance or other acquisition shall be excluded from clause (c) (ii) of the preceding paragraph;</w:t>
      </w:r>
    </w:p>
    <w:p>
      <w:pPr>
        <w:spacing w:after="0" w:line="16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 the defeasance, redemption, repurchase or other acquisition</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of subordinated Indebtedness of the Company or any Guarantor with the net cash proceeds from an incurrence of Permitted Refinancing Indebtedness;</w:t>
      </w:r>
    </w:p>
    <w:p>
      <w:pPr>
        <w:spacing w:after="0" w:line="160" w:lineRule="exact"/>
        <w:rPr>
          <w:sz w:val="20"/>
          <w:szCs w:val="20"/>
          <w:color w:val="auto"/>
        </w:rPr>
      </w:pPr>
    </w:p>
    <w:p>
      <w:pPr>
        <w:ind w:right="3379" w:firstLine="437"/>
        <w:spacing w:after="0" w:line="258" w:lineRule="auto"/>
        <w:tabs>
          <w:tab w:leader="none" w:pos="781"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any dividend by a Restricted Subsidiary of the Company to the holders of its common Equity Interests on a pro rata basis;</w:t>
      </w:r>
    </w:p>
    <w:p>
      <w:pPr>
        <w:spacing w:after="0" w:line="159" w:lineRule="exact"/>
        <w:rPr>
          <w:rFonts w:ascii="Courier New" w:cs="Courier New" w:eastAsia="Courier New" w:hAnsi="Courier New"/>
          <w:sz w:val="14"/>
          <w:szCs w:val="14"/>
          <w:color w:val="auto"/>
        </w:rPr>
      </w:pPr>
    </w:p>
    <w:p>
      <w:pPr>
        <w:ind w:left="780" w:hanging="343"/>
        <w:spacing w:after="0"/>
        <w:tabs>
          <w:tab w:leader="none" w:pos="78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no Default has occurred and is continuing or would</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be caused thereby, the payment of dividends on Existing Preferred Stock in accordance with the terms thereof;</w:t>
      </w:r>
    </w:p>
    <w:p>
      <w:pPr>
        <w:spacing w:after="0" w:line="160" w:lineRule="exact"/>
        <w:rPr>
          <w:sz w:val="20"/>
          <w:szCs w:val="20"/>
          <w:color w:val="auto"/>
        </w:rPr>
      </w:pPr>
    </w:p>
    <w:p>
      <w:pPr>
        <w:ind w:left="780" w:hanging="343"/>
        <w:spacing w:after="0"/>
        <w:tabs>
          <w:tab w:leader="none" w:pos="78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to members of management of the Company or any</w:t>
      </w:r>
    </w:p>
    <w:p>
      <w:pPr>
        <w:spacing w:after="0" w:line="8"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Subsidiary, the proceeds of which are used for a concurrent purchase of Equity Interests of the Company or a capital contribution to the Company (provided that the proceeds from such purchase of Equity Interests or capital contribution shall be excluded from the calculation of amounts under clause (c) above), provided that such loans shall be included in the calculation of the amount of Restricted Payments from and after such time;</w:t>
      </w:r>
    </w:p>
    <w:p>
      <w:pPr>
        <w:spacing w:after="0" w:line="332" w:lineRule="exact"/>
        <w:rPr>
          <w:rFonts w:ascii="Courier New" w:cs="Courier New" w:eastAsia="Courier New" w:hAnsi="Courier New"/>
          <w:sz w:val="14"/>
          <w:szCs w:val="14"/>
          <w:color w:val="auto"/>
        </w:rPr>
      </w:pPr>
    </w:p>
    <w:p>
      <w:pPr>
        <w:ind w:left="780" w:hanging="343"/>
        <w:spacing w:after="0"/>
        <w:tabs>
          <w:tab w:leader="none" w:pos="78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repurchase, redemption or other acquisition or retirement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for value of any Equity Interests of the Company or any Restricted Subsidiary of the Company or the payment of a dividend to any Restricted Subsidiary of the Company to effect the repurchase, redemption, acquisition or retirement of the Company or its Restricted Subsidiary's Equity Interests, that are held by any member or former member of the Company's (or any of the Restricted Subsidiaries') management, or by any of their respective directors, employees or consultants; provided that the aggregate price paid for all such repurchased, redeemed, acquired or retired Equity Interests may not exceed the sum of (i) $1,000,000 in any calendar year (with unused amounts in any calendar year being available to be so utilized in succeeding calendar years) and (ii) the net cash proceeds to the Company or its Restricted Subsidiaries from any issuance or reissuance of Equity Interests of Radio One or its Restricted Subsidiaries (other than Disqualified Stock) to members of management (which are excluded from the calculation set forth in clause (c)(ii) of the proceeding paragraph) and the net cash proceeds to the Company and its Restricted Subsidiaries of any "keyman" life insurance proceeds; provided that the cancellation of Indebtedness owing to the Company and its Restricted Subsidiaries from members of management shall not be deemed Restricted Payments;</w:t>
      </w:r>
    </w:p>
    <w:p>
      <w:pPr>
        <w:spacing w:after="0" w:line="174" w:lineRule="exact"/>
        <w:rPr>
          <w:sz w:val="20"/>
          <w:szCs w:val="20"/>
          <w:color w:val="auto"/>
        </w:rPr>
      </w:pPr>
    </w:p>
    <w:p>
      <w:pPr>
        <w:ind w:right="3719" w:firstLine="437"/>
        <w:spacing w:after="0" w:line="258" w:lineRule="auto"/>
        <w:tabs>
          <w:tab w:leader="none" w:pos="781"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dividends on Disqualified Stock the incurrence of which was permitted by this Indenture;</w:t>
      </w:r>
    </w:p>
    <w:p>
      <w:pPr>
        <w:spacing w:after="0" w:line="159" w:lineRule="exact"/>
        <w:rPr>
          <w:rFonts w:ascii="Courier New" w:cs="Courier New" w:eastAsia="Courier New" w:hAnsi="Courier New"/>
          <w:sz w:val="14"/>
          <w:szCs w:val="14"/>
          <w:color w:val="auto"/>
        </w:rPr>
      </w:pPr>
    </w:p>
    <w:p>
      <w:pPr>
        <w:ind w:right="4159" w:firstLine="437"/>
        <w:spacing w:after="0" w:line="258" w:lineRule="auto"/>
        <w:tabs>
          <w:tab w:leader="none" w:pos="781"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repurchases of Equity Interests deemed to occur upon the exercise of stock options;</w:t>
      </w:r>
    </w:p>
    <w:p>
      <w:pPr>
        <w:spacing w:after="0" w:line="159" w:lineRule="exact"/>
        <w:rPr>
          <w:rFonts w:ascii="Courier New" w:cs="Courier New" w:eastAsia="Courier New" w:hAnsi="Courier New"/>
          <w:sz w:val="14"/>
          <w:szCs w:val="14"/>
          <w:color w:val="auto"/>
        </w:rPr>
      </w:pPr>
    </w:p>
    <w:p>
      <w:pPr>
        <w:ind w:right="3279" w:firstLine="437"/>
        <w:spacing w:after="0" w:line="253" w:lineRule="auto"/>
        <w:tabs>
          <w:tab w:leader="none" w:pos="781"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retirement of any shares of Disqualified Stock of the Company by conversion into, or by exchange for, shares of Disqualified Stock of the Company, or out of the net cash proceeds of the substantially concurrent sale (other than to a Restricted Subsidiary of the Company) of other shares of Disqualified Stock of the Company, provided that the Disqualified Stock of the Company that replaces the retired shares of Disqualified Stock of the Company shall not require the direct or indirect payment of the liquidation preference earlier in time that the final stated maturity of the retired shares of Disqualified Stock of the Company;</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799"/>
          </w:cols>
          <w:pgMar w:left="660" w:top="787" w:right="1440" w:bottom="1440" w:gutter="0" w:footer="0" w:header="0"/>
        </w:sectPr>
      </w:pPr>
    </w:p>
    <w:bookmarkStart w:id="161" w:name="page162"/>
    <w:bookmarkEnd w:id="161"/>
    <w:p>
      <w:pPr>
        <w:ind w:left="1220" w:hanging="343"/>
        <w:spacing w:after="0"/>
        <w:tabs>
          <w:tab w:leader="none" w:pos="122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of the Company's 12% Notes due 2004;</w:t>
      </w:r>
    </w:p>
    <w:p>
      <w:pPr>
        <w:spacing w:after="0" w:line="175" w:lineRule="exact"/>
        <w:rPr>
          <w:rFonts w:ascii="Courier New" w:cs="Courier New" w:eastAsia="Courier New" w:hAnsi="Courier New"/>
          <w:sz w:val="14"/>
          <w:szCs w:val="14"/>
          <w:color w:val="auto"/>
        </w:rPr>
      </w:pPr>
    </w:p>
    <w:p>
      <w:pPr>
        <w:ind w:left="440" w:right="3279" w:firstLine="437"/>
        <w:spacing w:after="0" w:line="255" w:lineRule="auto"/>
        <w:tabs>
          <w:tab w:leader="none" w:pos="1221"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repurchases of Equity Interests of the Company in open market purchases, provided that the aggregate amount expended for such repurchases shall not exceed $40.0 million; and</w:t>
      </w:r>
    </w:p>
    <w:p>
      <w:pPr>
        <w:spacing w:after="0" w:line="162"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of the Existing Preferred Stock in accordance with</w:t>
      </w:r>
    </w:p>
    <w:p>
      <w:pPr>
        <w:spacing w:after="0" w:line="8"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the terms thereof, provided that either (i) after giving pro forma effect to such redemption, the Leverage Ratio is 4.00 to 1.00 or lower, or (ii) such redemption is funded with the net cash proceeds of one or more Equity Offerings (so long as such redemption occurs within 180 days of the date of the closing of such Equity Offering).</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amount of all Restricted Payments (other than cash) shall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Section 4.07 shall be determined by the Board of Directors whose resolution with respect thereto shall be delivered to the Trustee. The Board of Director's determination must be based upon an opinion or appraisal issued by an accounting, appraisal or investment banking firm of national standing if such fair market value exceeds $10.0 million.</w:t>
      </w:r>
    </w:p>
    <w:p>
      <w:pPr>
        <w:spacing w:after="0" w:line="16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4.08.</w:t>
        <w:tab/>
        <w:t>Dividend and Other Payment Restrictions Affecting Subsidiaries.</w:t>
      </w:r>
    </w:p>
    <w:p>
      <w:pPr>
        <w:spacing w:after="0" w:line="175"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The Company shall not, and shall not permit any of its Restricted Subsidiaries to, directly or indirectly, create or permit to exist or become effective any consensual encumbrance or restriction on the ability of any Restricted Subsidiary to:</w:t>
      </w:r>
    </w:p>
    <w:p>
      <w:pPr>
        <w:spacing w:after="0" w:line="163" w:lineRule="exact"/>
        <w:rPr>
          <w:sz w:val="20"/>
          <w:szCs w:val="20"/>
          <w:color w:val="auto"/>
        </w:rPr>
      </w:pPr>
    </w:p>
    <w:p>
      <w:pPr>
        <w:ind w:right="3379" w:firstLine="443"/>
        <w:spacing w:after="0" w:line="254" w:lineRule="auto"/>
        <w:tabs>
          <w:tab w:leader="none" w:pos="781"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dividends or make any other distributions on its Capital Stock to the Company or any of its Restricted Subsidiaries, or with respect to any other interest or participation in, or measured by, its profits, or pay any indebtedness owed to the Company or any of its Restricted Subsidiaries;</w:t>
      </w:r>
    </w:p>
    <w:p>
      <w:pPr>
        <w:spacing w:after="0" w:line="163" w:lineRule="exact"/>
        <w:rPr>
          <w:rFonts w:ascii="Courier New" w:cs="Courier New" w:eastAsia="Courier New" w:hAnsi="Courier New"/>
          <w:sz w:val="14"/>
          <w:szCs w:val="14"/>
          <w:color w:val="auto"/>
        </w:rPr>
      </w:pPr>
    </w:p>
    <w:p>
      <w:pPr>
        <w:ind w:right="4059" w:firstLine="443"/>
        <w:spacing w:after="0" w:line="258" w:lineRule="auto"/>
        <w:tabs>
          <w:tab w:leader="none" w:pos="781"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loans or advances to the Company or any of its Restricted Subsidiaries; or</w:t>
      </w:r>
    </w:p>
    <w:p>
      <w:pPr>
        <w:spacing w:after="0" w:line="159" w:lineRule="exact"/>
        <w:rPr>
          <w:rFonts w:ascii="Courier New" w:cs="Courier New" w:eastAsia="Courier New" w:hAnsi="Courier New"/>
          <w:sz w:val="14"/>
          <w:szCs w:val="14"/>
          <w:color w:val="auto"/>
        </w:rPr>
      </w:pPr>
    </w:p>
    <w:p>
      <w:pPr>
        <w:ind w:right="3459" w:firstLine="443"/>
        <w:spacing w:after="0" w:line="258" w:lineRule="auto"/>
        <w:tabs>
          <w:tab w:leader="none" w:pos="781"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any of its properties or assets to the Company or any of its Restricted Subsidiaries.</w:t>
      </w:r>
    </w:p>
    <w:p>
      <w:pPr>
        <w:spacing w:after="0" w:line="160"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However, the preceding restrictions shall not apply to encumbrances or restrictions existing under or by reason of:</w:t>
      </w:r>
    </w:p>
    <w:p>
      <w:pPr>
        <w:spacing w:after="0" w:line="160" w:lineRule="exact"/>
        <w:rPr>
          <w:sz w:val="20"/>
          <w:szCs w:val="20"/>
          <w:color w:val="auto"/>
        </w:rPr>
      </w:pPr>
    </w:p>
    <w:p>
      <w:pPr>
        <w:ind w:left="440" w:right="3279" w:firstLine="437"/>
        <w:spacing w:after="0" w:line="253" w:lineRule="auto"/>
        <w:tabs>
          <w:tab w:leader="none" w:pos="1221"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governing Existing Indebtedness and Credit Facilities as in effect on the date of this Indenture and any amendments, modifications, restatements, renewals, increases, supplements, refundings, replacements or refinancings of those agreements; provided that the amendments, modifications, restatements, renewals, increases, supplements, refundings, replacement or refinancings are no more restrictive, taken as a whole, with respect to such dividend and other payment restrictions than those contained in those agreements on the date of this Indenture;</w:t>
      </w:r>
    </w:p>
    <w:p>
      <w:pPr>
        <w:spacing w:after="0" w:line="164" w:lineRule="exact"/>
        <w:rPr>
          <w:rFonts w:ascii="Courier New" w:cs="Courier New" w:eastAsia="Courier New" w:hAnsi="Courier New"/>
          <w:sz w:val="14"/>
          <w:szCs w:val="14"/>
          <w:color w:val="auto"/>
        </w:rPr>
      </w:pPr>
    </w:p>
    <w:p>
      <w:pPr>
        <w:ind w:left="1320" w:hanging="443"/>
        <w:spacing w:after="0"/>
        <w:tabs>
          <w:tab w:leader="none" w:pos="132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Indenture, the Notes and the Subsidiary Guarantees;</w:t>
      </w:r>
    </w:p>
    <w:p>
      <w:pPr>
        <w:spacing w:after="0" w:line="175" w:lineRule="exact"/>
        <w:rPr>
          <w:rFonts w:ascii="Courier New" w:cs="Courier New" w:eastAsia="Courier New" w:hAnsi="Courier New"/>
          <w:sz w:val="14"/>
          <w:szCs w:val="14"/>
          <w:color w:val="auto"/>
        </w:rPr>
      </w:pPr>
    </w:p>
    <w:p>
      <w:pPr>
        <w:ind w:left="1400" w:hanging="523"/>
        <w:spacing w:after="0"/>
        <w:tabs>
          <w:tab w:leader="none" w:pos="140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rule, regulation or order;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162" w:name="page163"/>
    <w:bookmarkEnd w:id="162"/>
    <w:p>
      <w:pPr>
        <w:ind w:left="440" w:right="3279" w:firstLine="437"/>
        <w:spacing w:after="0" w:line="253" w:lineRule="auto"/>
        <w:tabs>
          <w:tab w:leader="none" w:pos="1308"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instrument governing Indebtedness or Capital Stock of a Person acquired by the Company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provided that, in the case of Indebtedness, such Indebtedness was permitted by the terms of this Indenture to be incurred;</w:t>
      </w:r>
    </w:p>
    <w:p>
      <w:pPr>
        <w:spacing w:after="0" w:line="164" w:lineRule="exact"/>
        <w:rPr>
          <w:rFonts w:ascii="Courier New" w:cs="Courier New" w:eastAsia="Courier New" w:hAnsi="Courier New"/>
          <w:sz w:val="14"/>
          <w:szCs w:val="14"/>
          <w:color w:val="auto"/>
        </w:rPr>
      </w:pPr>
    </w:p>
    <w:p>
      <w:pPr>
        <w:ind w:left="440" w:right="3379" w:firstLine="437"/>
        <w:spacing w:after="0" w:line="258" w:lineRule="auto"/>
        <w:tabs>
          <w:tab w:leader="none" w:pos="1221"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customary non-assignment provisions in leases entered into in the ordinary course of business and consistent with past practices;</w:t>
      </w:r>
    </w:p>
    <w:p>
      <w:pPr>
        <w:spacing w:after="0" w:line="159" w:lineRule="exact"/>
        <w:rPr>
          <w:rFonts w:ascii="Courier New" w:cs="Courier New" w:eastAsia="Courier New" w:hAnsi="Courier New"/>
          <w:sz w:val="14"/>
          <w:szCs w:val="14"/>
          <w:color w:val="auto"/>
        </w:rPr>
      </w:pPr>
    </w:p>
    <w:p>
      <w:pPr>
        <w:ind w:left="440" w:right="3379" w:firstLine="437"/>
        <w:spacing w:after="0" w:line="254" w:lineRule="auto"/>
        <w:tabs>
          <w:tab w:leader="none" w:pos="1308"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money obligations (including Capital Lease Obligations) for property acquired in the ordinary course of business that impose restrictions only on that property of the nature described in clause (c) above;</w:t>
      </w:r>
    </w:p>
    <w:p>
      <w:pPr>
        <w:spacing w:after="0" w:line="163" w:lineRule="exact"/>
        <w:rPr>
          <w:rFonts w:ascii="Courier New" w:cs="Courier New" w:eastAsia="Courier New" w:hAnsi="Courier New"/>
          <w:sz w:val="14"/>
          <w:szCs w:val="14"/>
          <w:color w:val="auto"/>
        </w:rPr>
      </w:pPr>
    </w:p>
    <w:p>
      <w:pPr>
        <w:ind w:left="440" w:right="3459" w:firstLine="437"/>
        <w:spacing w:after="0" w:line="254" w:lineRule="auto"/>
        <w:tabs>
          <w:tab w:leader="none" w:pos="1395"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contracts for the sale of assets, including without limitation any agreement for the sale or other disposition of a Subsidiary that restricts distributions by that Subsidiary pending its sale or other disposition;</w:t>
      </w:r>
    </w:p>
    <w:p>
      <w:pPr>
        <w:spacing w:after="0" w:line="163" w:lineRule="exact"/>
        <w:rPr>
          <w:rFonts w:ascii="Courier New" w:cs="Courier New" w:eastAsia="Courier New" w:hAnsi="Courier New"/>
          <w:sz w:val="14"/>
          <w:szCs w:val="14"/>
          <w:color w:val="auto"/>
        </w:rPr>
      </w:pPr>
    </w:p>
    <w:p>
      <w:pPr>
        <w:ind w:left="440" w:right="3539" w:firstLine="437"/>
        <w:spacing w:after="0" w:line="254" w:lineRule="auto"/>
        <w:tabs>
          <w:tab w:leader="none" w:pos="1481"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Permitted Refinancing Indebtedness; provided that the restrictions contained in the agreements governing such Permitted Refinancing Indebtedness are no more restrictive, taken as a whole, than those contained in the agreements governing the Indebtedness being refinanced;</w:t>
      </w:r>
    </w:p>
    <w:p>
      <w:pPr>
        <w:spacing w:after="0" w:line="162" w:lineRule="exact"/>
        <w:rPr>
          <w:rFonts w:ascii="Courier New" w:cs="Courier New" w:eastAsia="Courier New" w:hAnsi="Courier New"/>
          <w:sz w:val="14"/>
          <w:szCs w:val="14"/>
          <w:color w:val="auto"/>
        </w:rPr>
      </w:pPr>
    </w:p>
    <w:p>
      <w:pPr>
        <w:ind w:left="440" w:right="3379" w:firstLine="437"/>
        <w:spacing w:after="0" w:line="255" w:lineRule="auto"/>
        <w:tabs>
          <w:tab w:leader="none" w:pos="1308"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Indebtedness otherwise permitted to be incurred under the provisions of Section 4.12 that limit the right of the debtor to dispose of the assets subject to such Liens;</w:t>
      </w:r>
    </w:p>
    <w:p>
      <w:pPr>
        <w:spacing w:after="0" w:line="162" w:lineRule="exact"/>
        <w:rPr>
          <w:rFonts w:ascii="Courier New" w:cs="Courier New" w:eastAsia="Courier New" w:hAnsi="Courier New"/>
          <w:sz w:val="14"/>
          <w:szCs w:val="14"/>
          <w:color w:val="auto"/>
        </w:rPr>
      </w:pPr>
    </w:p>
    <w:p>
      <w:pPr>
        <w:ind w:left="440" w:right="3639" w:firstLine="437"/>
        <w:spacing w:after="0" w:line="254" w:lineRule="auto"/>
        <w:tabs>
          <w:tab w:leader="none" w:pos="1221"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with respect to the disposition or distribution of assets or property in joint venture agreements, assets sale agreements, stock sale agreements and other similar agreements entered into in the ordinary course of business; and</w:t>
      </w:r>
    </w:p>
    <w:p>
      <w:pPr>
        <w:spacing w:after="0" w:line="163" w:lineRule="exact"/>
        <w:rPr>
          <w:rFonts w:ascii="Courier New" w:cs="Courier New" w:eastAsia="Courier New" w:hAnsi="Courier New"/>
          <w:sz w:val="14"/>
          <w:szCs w:val="14"/>
          <w:color w:val="auto"/>
        </w:rPr>
      </w:pPr>
    </w:p>
    <w:p>
      <w:pPr>
        <w:ind w:left="440" w:right="3379" w:firstLine="437"/>
        <w:spacing w:after="0" w:line="258" w:lineRule="auto"/>
        <w:tabs>
          <w:tab w:leader="none" w:pos="1308"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cash or other deposits or net worth imposed by customers under contracts entered into in the ordinary course of business.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4.09. Incurrence of Indebtedness and Issuance of Preferred Stock.</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and the Guarantors shall not, and shall not permit any of their Subsidiaries to, directly, or indirectly, create, incur, issue, assume, guarantee or otherwise become directly or indirectly liable, contingently or otherwise, with respect to (collectively, "incur") any Indebtedness (including Acquired Debt) and the Company shall not issue any Disqualified Stock and shall not permit any of its Subsidiaries to issue any shares of preferred stock; provided, however, that the Company or any Guarantor may incur Indebtedness (including Acquired Debt) or issue shares of Disqualified Stock if the Company's Leverage Ratio at the time of incurrence of such Indebtedness or the issuance of such Disqualified Stock or such preferred stock, as the case may be, after giving pro forma effect to such incurrence or issuance as of such date and to the use of the proceeds therefrom as if the same had occurred at the beginning of the most recently ended four full fiscal quarter period of the Company for which internal financial statements are available, would have been no greater than 7.0 to 1.</w:t>
      </w:r>
    </w:p>
    <w:p>
      <w:pPr>
        <w:spacing w:after="0" w:line="330" w:lineRule="exact"/>
        <w:rPr>
          <w:sz w:val="20"/>
          <w:szCs w:val="20"/>
          <w:color w:val="auto"/>
        </w:rPr>
      </w:pPr>
    </w:p>
    <w:p>
      <w:pPr>
        <w:ind w:right="3899" w:firstLine="434"/>
        <w:spacing w:after="0" w:line="255" w:lineRule="auto"/>
        <w:rPr>
          <w:sz w:val="20"/>
          <w:szCs w:val="20"/>
          <w:color w:val="auto"/>
        </w:rPr>
      </w:pPr>
      <w:r>
        <w:rPr>
          <w:rFonts w:ascii="Courier New" w:cs="Courier New" w:eastAsia="Courier New" w:hAnsi="Courier New"/>
          <w:sz w:val="14"/>
          <w:szCs w:val="14"/>
          <w:color w:val="auto"/>
        </w:rPr>
        <w:t>The provisions of the first paragraph of this Section 4.09 shall not prohibit the incurrence of any of the following items of Indebtedness (collectively, "Permitted Debt"):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163" w:name="page164"/>
    <w:bookmarkEnd w:id="163"/>
    <w:p>
      <w:pPr>
        <w:ind w:right="3279" w:firstLine="437"/>
        <w:spacing w:after="0" w:line="253" w:lineRule="auto"/>
        <w:tabs>
          <w:tab w:leader="none" w:pos="781"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the Company and any Guarantor of additional Indebtedness and letters of credit under Credit Facilities in an aggregate principal amount at any one time outstanding under this clause (i) (with letters of credit being deemed to have a principal amount equal to the maximum potential liability of the Company and its Subsidiaries thereunder) not to exceed $600.0 million less the aggregate amount applied by the Company and the Restricted Subsidiaries to permanently reduce the availability of Indebtedness under the Credit Facility pursuant to Section 4.10;</w:t>
      </w:r>
    </w:p>
    <w:p>
      <w:pPr>
        <w:spacing w:after="0" w:line="331" w:lineRule="exact"/>
        <w:rPr>
          <w:rFonts w:ascii="Courier New" w:cs="Courier New" w:eastAsia="Courier New" w:hAnsi="Courier New"/>
          <w:sz w:val="14"/>
          <w:szCs w:val="14"/>
          <w:color w:val="auto"/>
        </w:rPr>
      </w:pPr>
    </w:p>
    <w:p>
      <w:pPr>
        <w:ind w:right="3379" w:firstLine="437"/>
        <w:spacing w:after="0" w:line="258" w:lineRule="auto"/>
        <w:tabs>
          <w:tab w:leader="none" w:pos="868"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the Company and its Restricted Subsidiaries of the Existing Indebtedness;</w:t>
      </w:r>
    </w:p>
    <w:p>
      <w:pPr>
        <w:spacing w:after="0" w:line="159" w:lineRule="exact"/>
        <w:rPr>
          <w:rFonts w:ascii="Courier New" w:cs="Courier New" w:eastAsia="Courier New" w:hAnsi="Courier New"/>
          <w:sz w:val="14"/>
          <w:szCs w:val="14"/>
          <w:color w:val="auto"/>
        </w:rPr>
      </w:pPr>
    </w:p>
    <w:p>
      <w:pPr>
        <w:jc w:val="both"/>
        <w:ind w:right="3279" w:firstLine="437"/>
        <w:spacing w:after="0" w:line="255" w:lineRule="auto"/>
        <w:tabs>
          <w:tab w:leader="none" w:pos="955"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the Company and the Guarantors of Indebtedness represented by the Notes and the related Subsidiary Guarantees to be issued on the date of this Indenture;</w:t>
      </w:r>
    </w:p>
    <w:p>
      <w:pPr>
        <w:spacing w:after="0" w:line="162" w:lineRule="exact"/>
        <w:rPr>
          <w:rFonts w:ascii="Courier New" w:cs="Courier New" w:eastAsia="Courier New" w:hAnsi="Courier New"/>
          <w:sz w:val="14"/>
          <w:szCs w:val="14"/>
          <w:color w:val="auto"/>
        </w:rPr>
      </w:pPr>
    </w:p>
    <w:p>
      <w:pPr>
        <w:ind w:right="3279" w:firstLine="437"/>
        <w:spacing w:after="0" w:line="253" w:lineRule="auto"/>
        <w:tabs>
          <w:tab w:leader="none" w:pos="868"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the Company or any of its Restricted Subsidiaries of Indebtedness represented by Capital Lease Obligations, mortgage financings or purchase money obligations, in each case incurred for the purpose of financing all or any part of the purchase price or cost of construction or improvement of property, plant or equipment whether through the direct purchase of assets or at least a majority of the Voting Stock of any person owning such assets, in an aggregate principal amount, including all Permitted Refinancing Indebtedness incurred to refund, refinance or replace any Indebtedness incurred pursuant to this clause (iv) not to exceed $10.0 million at any time outstanding;</w:t>
      </w:r>
    </w:p>
    <w:p>
      <w:pPr>
        <w:spacing w:after="0" w:line="164" w:lineRule="exact"/>
        <w:rPr>
          <w:rFonts w:ascii="Courier New" w:cs="Courier New" w:eastAsia="Courier New" w:hAnsi="Courier New"/>
          <w:sz w:val="14"/>
          <w:szCs w:val="14"/>
          <w:color w:val="auto"/>
        </w:rPr>
      </w:pPr>
    </w:p>
    <w:p>
      <w:pPr>
        <w:ind w:right="3279" w:firstLine="437"/>
        <w:spacing w:after="0" w:line="253" w:lineRule="auto"/>
        <w:tabs>
          <w:tab w:leader="none" w:pos="781"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the Company or any of its Restricted Subsidiaries of Permitted Refinancing Indebtedness in exchange for, or the proceeds of which are used to refund, refinance or replace Indebtedness (other than intercompany Indebtedness) that was permitted by this Indenture to be incurred under the first paragraph of this Section 4.09 or clauses (ii), (iii), (iv), (v), (x) or (xii) of this paragraph.</w:t>
      </w:r>
    </w:p>
    <w:p>
      <w:pPr>
        <w:spacing w:after="0" w:line="165" w:lineRule="exact"/>
        <w:rPr>
          <w:rFonts w:ascii="Courier New" w:cs="Courier New" w:eastAsia="Courier New" w:hAnsi="Courier New"/>
          <w:sz w:val="14"/>
          <w:szCs w:val="14"/>
          <w:color w:val="auto"/>
        </w:rPr>
      </w:pPr>
    </w:p>
    <w:p>
      <w:pPr>
        <w:ind w:left="880" w:hanging="443"/>
        <w:spacing w:after="0"/>
        <w:tabs>
          <w:tab w:leader="none" w:pos="88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the Company or any of its Restricted</w:t>
      </w:r>
    </w:p>
    <w:p>
      <w:pPr>
        <w:spacing w:after="0" w:line="8"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intercompany Indebtedness between or among the Company and any of its Wholly Owned Subsidiaries; provided, however, that (x) any subsequent issuance or transfer of Equity Interests that results in any such Indebtedness being held by a Person other than the Company or a Subsidiary of the Company and (y) any sale or other transfer of any such Indebtedness to a Person that is not either the Company or a Restricted Subsidiary of the Company, shall be deemed, in each case, to constitute an incurrence of such Indebtedness by the Company or such Restricted Subsidiary, as the case may be, that was not permitted by this clause (vi);</w:t>
      </w:r>
    </w:p>
    <w:p>
      <w:pPr>
        <w:spacing w:after="0" w:line="164" w:lineRule="exact"/>
        <w:rPr>
          <w:rFonts w:ascii="Courier New" w:cs="Courier New" w:eastAsia="Courier New" w:hAnsi="Courier New"/>
          <w:sz w:val="14"/>
          <w:szCs w:val="14"/>
          <w:color w:val="auto"/>
        </w:rPr>
      </w:pPr>
    </w:p>
    <w:p>
      <w:pPr>
        <w:ind w:right="3379" w:firstLine="437"/>
        <w:spacing w:after="0" w:line="253" w:lineRule="auto"/>
        <w:tabs>
          <w:tab w:leader="none" w:pos="955"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the Company or any of its Restricted Subsidiaries of Hedging Obligations that are incurred for the purpose of fixing or hedging (x) interest rate risk with respect to any floating rate Indebtedness that is permitted by the terms of this Indenture to be outstanding or (y) currency exchange rate risk in ordinary course of business;</w:t>
      </w:r>
    </w:p>
    <w:p>
      <w:pPr>
        <w:spacing w:after="0" w:line="165" w:lineRule="exact"/>
        <w:rPr>
          <w:rFonts w:ascii="Courier New" w:cs="Courier New" w:eastAsia="Courier New" w:hAnsi="Courier New"/>
          <w:sz w:val="14"/>
          <w:szCs w:val="14"/>
          <w:color w:val="auto"/>
        </w:rPr>
      </w:pPr>
    </w:p>
    <w:p>
      <w:pPr>
        <w:ind w:right="3459" w:firstLine="437"/>
        <w:spacing w:after="0" w:line="255" w:lineRule="auto"/>
        <w:tabs>
          <w:tab w:leader="none" w:pos="1041"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by the Company of Indebtedness of any of Restricted Subsidiary of the Company that was permitted to be incurred by another provision of this covenant;</w:t>
      </w:r>
    </w:p>
    <w:p>
      <w:pPr>
        <w:spacing w:after="0" w:line="162" w:lineRule="exact"/>
        <w:rPr>
          <w:rFonts w:ascii="Courier New" w:cs="Courier New" w:eastAsia="Courier New" w:hAnsi="Courier New"/>
          <w:sz w:val="14"/>
          <w:szCs w:val="14"/>
          <w:color w:val="auto"/>
        </w:rPr>
      </w:pPr>
    </w:p>
    <w:p>
      <w:pPr>
        <w:ind w:right="3279" w:firstLine="437"/>
        <w:spacing w:after="0" w:line="255" w:lineRule="auto"/>
        <w:tabs>
          <w:tab w:leader="none" w:pos="868"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by any Restricted Subsidiary of Indebtedness of the Company or any Guarantor that was permitted to be incurred by another provision of this covenant;</w:t>
      </w:r>
    </w:p>
    <w:p>
      <w:pPr>
        <w:spacing w:after="0" w:line="162" w:lineRule="exact"/>
        <w:rPr>
          <w:rFonts w:ascii="Courier New" w:cs="Courier New" w:eastAsia="Courier New" w:hAnsi="Courier New"/>
          <w:sz w:val="14"/>
          <w:szCs w:val="14"/>
          <w:color w:val="auto"/>
        </w:rPr>
      </w:pPr>
    </w:p>
    <w:p>
      <w:pPr>
        <w:ind w:right="3279" w:firstLine="437"/>
        <w:spacing w:after="0" w:line="255" w:lineRule="auto"/>
        <w:tabs>
          <w:tab w:leader="none" w:pos="781"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incurred by the Company or any of its Restricted Subsidiaries constituting reimbursement obligations with respect to letters of credit issued in the ordinary</w:t>
      </w:r>
    </w:p>
    <w:p>
      <w:pPr>
        <w:spacing w:after="0" w:line="16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9799"/>
          </w:cols>
          <w:pgMar w:left="660" w:top="620" w:right="1440" w:bottom="1440" w:gutter="0" w:footer="0" w:header="0"/>
        </w:sectPr>
      </w:pPr>
    </w:p>
    <w:bookmarkStart w:id="164" w:name="page165"/>
    <w:bookmarkEnd w:id="164"/>
    <w:p>
      <w:pPr>
        <w:ind w:left="440" w:right="3459"/>
        <w:spacing w:after="0" w:line="253" w:lineRule="auto"/>
        <w:rPr>
          <w:sz w:val="20"/>
          <w:szCs w:val="20"/>
          <w:color w:val="auto"/>
        </w:rPr>
      </w:pPr>
      <w:r>
        <w:rPr>
          <w:rFonts w:ascii="Courier New" w:cs="Courier New" w:eastAsia="Courier New" w:hAnsi="Courier New"/>
          <w:sz w:val="14"/>
          <w:szCs w:val="14"/>
          <w:color w:val="auto"/>
        </w:rPr>
        <w:t>course of business, including without limitation letters of credit in respect to workers' compensation claims or self-insurance, or other Indebtedness with respect to reimbursement type obligations regarding workers' compensation claims; provided, however, that upon the drawing of such letters of credit or the incurrence of such Indebtedness, such obligations are reimbursed within 30 days following such drawing or incurrence;</w:t>
      </w:r>
    </w:p>
    <w:p>
      <w:pPr>
        <w:spacing w:after="0" w:line="165" w:lineRule="exact"/>
        <w:rPr>
          <w:sz w:val="20"/>
          <w:szCs w:val="20"/>
          <w:color w:val="auto"/>
        </w:rPr>
      </w:pPr>
    </w:p>
    <w:p>
      <w:pPr>
        <w:ind w:left="440" w:right="3719" w:firstLine="437"/>
        <w:spacing w:after="0" w:line="255" w:lineRule="auto"/>
        <w:tabs>
          <w:tab w:leader="none" w:pos="1308" w:val="left"/>
        </w:tabs>
        <w:numPr>
          <w:ilvl w:val="1"/>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in respect of performance and surety bonds and completion guarantees provided by the Company or any of its Restricted Subsidiaries in the ordinary course of business;</w:t>
      </w:r>
    </w:p>
    <w:p>
      <w:pPr>
        <w:spacing w:after="0" w:line="162" w:lineRule="exact"/>
        <w:rPr>
          <w:rFonts w:ascii="Courier New" w:cs="Courier New" w:eastAsia="Courier New" w:hAnsi="Courier New"/>
          <w:sz w:val="14"/>
          <w:szCs w:val="14"/>
          <w:color w:val="auto"/>
        </w:rPr>
      </w:pPr>
    </w:p>
    <w:p>
      <w:pPr>
        <w:ind w:left="1400" w:hanging="523"/>
        <w:spacing w:after="0"/>
        <w:tabs>
          <w:tab w:leader="none" w:pos="1400" w:val="left"/>
        </w:tabs>
        <w:numPr>
          <w:ilvl w:val="1"/>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Debt of the Company or a Restricted Subsidiary if</w:t>
      </w:r>
    </w:p>
    <w:p>
      <w:pPr>
        <w:spacing w:after="0" w:line="8" w:lineRule="exact"/>
        <w:rPr>
          <w:rFonts w:ascii="Courier New" w:cs="Courier New" w:eastAsia="Courier New" w:hAnsi="Courier New"/>
          <w:sz w:val="14"/>
          <w:szCs w:val="14"/>
          <w:color w:val="auto"/>
        </w:rPr>
      </w:pPr>
    </w:p>
    <w:p>
      <w:pPr>
        <w:ind w:left="440" w:right="3279" w:firstLine="3"/>
        <w:spacing w:after="0" w:line="252" w:lineRule="auto"/>
        <w:tabs>
          <w:tab w:leader="none" w:pos="787"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Acquisition Debt is incurred within 270 days after the date on which the related definitive acquisition agreement or LMA, as the case may be, was entered into by the Company or such Restricted Subsidiary, (x) the aggregate principal amount of such Acquisition Debt is no greater than the aggregate principal amount of Acquisition Debt set forth in a notice from the Company to the Trustee (an "Incurrence Notice") within ten days after the date on which the related definitive acquisition agreement or LMA, as the case may be, was entered into by the Company or such Restricted Subsidiary, which notice shall be executed on the Company's behalf by the chief financial officer of the Company in such capacity and shall describe in reasonable detail the acquisition or LMA, as the case may be, which such Acquisition Debt shall be incurred to finance, (y) after giving pro forma effect to the acquisition or LMA, as the case may be, described in such Incurrence Notice, the Company or such Restricted Subsidiary could have incurred such Acquisition Debt under this Indenture as of the date upon which the Company delivers such Incurrence Notice to the Trustee and (z) such Acquisition Debt is utilized solely to finance the acquisition or LMA, as the case may be, described in such Incurrence Notice (including to repay or refinance indebtedness or other obligations incurred in connection with such acquisition or LMA, as the case may be, and to pay related fees and expenses);</w:t>
      </w:r>
    </w:p>
    <w:p>
      <w:pPr>
        <w:spacing w:after="0" w:line="174" w:lineRule="exact"/>
        <w:rPr>
          <w:rFonts w:ascii="Courier New" w:cs="Courier New" w:eastAsia="Courier New" w:hAnsi="Courier New"/>
          <w:sz w:val="14"/>
          <w:szCs w:val="14"/>
          <w:color w:val="auto"/>
        </w:rPr>
      </w:pPr>
    </w:p>
    <w:p>
      <w:pPr>
        <w:ind w:left="440" w:right="3379" w:firstLine="437"/>
        <w:spacing w:after="0" w:line="254" w:lineRule="auto"/>
        <w:tabs>
          <w:tab w:leader="none" w:pos="1481" w:val="left"/>
        </w:tabs>
        <w:numPr>
          <w:ilvl w:val="1"/>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guarantees by the Company or any Restricted Subsidiary of Indebtedness of officers of the Company or any Restricted Subsidiary in an aggregate principal amount not to exceed $5.0 million at any time outstanding;</w:t>
      </w:r>
    </w:p>
    <w:p>
      <w:pPr>
        <w:spacing w:after="0" w:line="163" w:lineRule="exact"/>
        <w:rPr>
          <w:rFonts w:ascii="Courier New" w:cs="Courier New" w:eastAsia="Courier New" w:hAnsi="Courier New"/>
          <w:sz w:val="14"/>
          <w:szCs w:val="14"/>
          <w:color w:val="auto"/>
        </w:rPr>
      </w:pPr>
    </w:p>
    <w:p>
      <w:pPr>
        <w:ind w:left="440" w:right="3379" w:firstLine="437"/>
        <w:spacing w:after="0" w:line="254" w:lineRule="auto"/>
        <w:tabs>
          <w:tab w:leader="none" w:pos="1395" w:val="left"/>
        </w:tabs>
        <w:numPr>
          <w:ilvl w:val="1"/>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the Company's Unrestricted Subsidiaries of Non-Recourse Debt, provided, however, that if any such Indebtedness ceases to be Non-Recourse Debt of an Unrestricted Subsidiary, such event will be deemed to constitute an incurrence of Indebtedness by a Restricted Subsidiary of the Company that was not permitted by this clause (xiv); and</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308" w:val="left"/>
        </w:tabs>
        <w:numPr>
          <w:ilvl w:val="1"/>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incurrence by the Company or any of the Restricted Subsidiaries of additional Indebtedness in an aggregate principal amount (or accreted value, as applicable) at any time outstanding, including all Permitted Refinancing Indebtedness incurred to refund, refinance or replace any other Indebtedness incurred pursuant to this clause (xv), not to exceed $20.0 million.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For purposes of determining compliance with this Section 4.09, in the event that an item of proposed Indebtedness meets the criteria of more than one of the categories of Permitted Debt described in clauses (i) through (xv) above, or is entitled to be incurred pursuant to the first paragraph of this Section 4.09, the Company shall be permitted to classify such item of Indebtedness on the date of its incurrence, or later reclassify all or a portion of such item of Indebtedness, in any manner that complies with this Section 4.09. Accrual of interest, accretion or amortization of original issue discount and the accretion of accreted value shall not be deemed to be an incurrence of Indebtedness for purposes of this Section 4.09. Indebtedness under Credit Facilities outstanding on the date on which Notes are first issued</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20" w:right="1440" w:bottom="1440" w:gutter="0" w:footer="0" w:header="0"/>
        </w:sectPr>
      </w:pPr>
    </w:p>
    <w:bookmarkStart w:id="165" w:name="page166"/>
    <w:bookmarkEnd w:id="165"/>
    <w:p>
      <w:pPr>
        <w:jc w:val="both"/>
        <w:ind w:right="3379"/>
        <w:spacing w:after="0" w:line="255" w:lineRule="auto"/>
        <w:rPr>
          <w:sz w:val="20"/>
          <w:szCs w:val="20"/>
          <w:color w:val="auto"/>
        </w:rPr>
      </w:pPr>
      <w:r>
        <w:rPr>
          <w:rFonts w:ascii="Courier New" w:cs="Courier New" w:eastAsia="Courier New" w:hAnsi="Courier New"/>
          <w:sz w:val="14"/>
          <w:szCs w:val="14"/>
          <w:color w:val="auto"/>
        </w:rPr>
        <w:t>and authenticated under this Indenture shall be deemed to have been incurred on such date in reliance on the exception provided by clause (i) of the definition of Permitted Debt.</w:t>
      </w:r>
    </w:p>
    <w:p>
      <w:pPr>
        <w:spacing w:after="0" w:line="16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4.10.</w:t>
        <w:tab/>
        <w:t>Asset Sales</w:t>
      </w:r>
    </w:p>
    <w:p>
      <w:pPr>
        <w:spacing w:after="0" w:line="175" w:lineRule="exact"/>
        <w:rPr>
          <w:sz w:val="20"/>
          <w:szCs w:val="20"/>
          <w:color w:val="auto"/>
        </w:rPr>
      </w:pPr>
    </w:p>
    <w:p>
      <w:pPr>
        <w:ind w:right="3799" w:firstLine="443"/>
        <w:spacing w:after="0" w:line="258" w:lineRule="auto"/>
        <w:tabs>
          <w:tab w:leader="none" w:pos="781"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and shall not permit any of its Restricted Subsidiaries to, consummate an Asset Sale unless:</w:t>
      </w:r>
    </w:p>
    <w:p>
      <w:pPr>
        <w:spacing w:after="0" w:line="159" w:lineRule="exact"/>
        <w:rPr>
          <w:rFonts w:ascii="Courier New" w:cs="Courier New" w:eastAsia="Courier New" w:hAnsi="Courier New"/>
          <w:sz w:val="14"/>
          <w:szCs w:val="14"/>
          <w:color w:val="auto"/>
        </w:rPr>
      </w:pPr>
    </w:p>
    <w:p>
      <w:pPr>
        <w:ind w:left="440" w:right="3379" w:firstLine="437"/>
        <w:spacing w:after="0" w:line="254" w:lineRule="auto"/>
        <w:tabs>
          <w:tab w:leader="none" w:pos="1221"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the Restricted Subsidiary, as the case may be) receives consideration at the time of the Asset Sale at least equal to the fair market value of the assets or Equity Interests issued or sold or otherwise disposed of;</w:t>
      </w:r>
    </w:p>
    <w:p>
      <w:pPr>
        <w:spacing w:after="0" w:line="163" w:lineRule="exact"/>
        <w:rPr>
          <w:rFonts w:ascii="Courier New" w:cs="Courier New" w:eastAsia="Courier New" w:hAnsi="Courier New"/>
          <w:sz w:val="14"/>
          <w:szCs w:val="14"/>
          <w:color w:val="auto"/>
        </w:rPr>
      </w:pPr>
    </w:p>
    <w:p>
      <w:pPr>
        <w:ind w:left="440" w:right="3279" w:firstLine="437"/>
        <w:spacing w:after="0" w:line="255" w:lineRule="auto"/>
        <w:tabs>
          <w:tab w:leader="none" w:pos="1308"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is determined by the Company's Board of Directors and evidenced by a resolution of the Board of Directors set forth in an Officers' Certificate delivered to the Trustee; and</w:t>
      </w:r>
    </w:p>
    <w:p>
      <w:pPr>
        <w:spacing w:after="0" w:line="162" w:lineRule="exact"/>
        <w:rPr>
          <w:rFonts w:ascii="Courier New" w:cs="Courier New" w:eastAsia="Courier New" w:hAnsi="Courier New"/>
          <w:sz w:val="14"/>
          <w:szCs w:val="14"/>
          <w:color w:val="auto"/>
        </w:rPr>
      </w:pPr>
    </w:p>
    <w:p>
      <w:pPr>
        <w:ind w:left="440" w:right="3379" w:firstLine="437"/>
        <w:spacing w:after="0" w:line="254" w:lineRule="auto"/>
        <w:tabs>
          <w:tab w:leader="none" w:pos="1395"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75% of the consideration received in the Asset Sale by the Company or such Restricted Subsidiary is in the form of cash or Cash Equivalents, except to the extent the Company is undertaking a Permitted Asset Swap. For purposes of this provision and the next paragraph, each of the following shall be deemed to be cash:</w:t>
      </w:r>
    </w:p>
    <w:p>
      <w:pPr>
        <w:spacing w:after="0" w:line="162" w:lineRule="exact"/>
        <w:rPr>
          <w:rFonts w:ascii="Courier New" w:cs="Courier New" w:eastAsia="Courier New" w:hAnsi="Courier New"/>
          <w:sz w:val="14"/>
          <w:szCs w:val="14"/>
          <w:color w:val="auto"/>
        </w:rPr>
      </w:pPr>
    </w:p>
    <w:p>
      <w:pPr>
        <w:ind w:left="880" w:right="3279" w:firstLine="431"/>
        <w:spacing w:after="0" w:line="253" w:lineRule="auto"/>
        <w:tabs>
          <w:tab w:leader="none" w:pos="1661" w:val="left"/>
        </w:tabs>
        <w:numPr>
          <w:ilvl w:val="2"/>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liabilities, as shown on the Company's or such Restricted Subsidiary's most recent balance sheet, of the Company or any Restricted Subsidiary (other than contingent liabilities and liabilities that are by their terms subordinated to the Notes or any Subsidiary Guarantee) that are assumed by the transferee of any such assets pursuant to a customary novation agreement that releases the Company or such Restricted Subsidiary from further liability; and</w:t>
      </w:r>
    </w:p>
    <w:p>
      <w:pPr>
        <w:spacing w:after="0" w:line="164" w:lineRule="exact"/>
        <w:rPr>
          <w:rFonts w:ascii="Courier New" w:cs="Courier New" w:eastAsia="Courier New" w:hAnsi="Courier New"/>
          <w:sz w:val="14"/>
          <w:szCs w:val="14"/>
          <w:color w:val="auto"/>
        </w:rPr>
      </w:pPr>
    </w:p>
    <w:p>
      <w:pPr>
        <w:ind w:left="880" w:right="3379" w:firstLine="431"/>
        <w:spacing w:after="0" w:line="254" w:lineRule="auto"/>
        <w:tabs>
          <w:tab w:leader="none" w:pos="1661" w:val="left"/>
        </w:tabs>
        <w:numPr>
          <w:ilvl w:val="2"/>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securities, notes or other obligations received by the Company or any such Restricted Subsidiary from such transferee that are converted by the Company or such Restricted Subsidiary within 90 days into cash or Cash Equivalents, to the extent of the cash or Cash Equivalents received in that conversion.</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75% limitation referred to in clause (iii) above shall not apply to any Asset Sale in which the cash or Cash Equivalents portion of the consideration received therefrom, determined in accordance with the preceding provision, is equal to or greater than what the after-tax proceeds would have been had such Asset Sale complied with the aforementioned 75% limitation.</w:t>
      </w:r>
    </w:p>
    <w:p>
      <w:pPr>
        <w:spacing w:after="0" w:line="162"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Notwithstanding the foregoing, the Company or any Restricted Subsidiary shall be permitted to consummate an Asset Sale without complying with the foregoing if:</w:t>
      </w:r>
    </w:p>
    <w:p>
      <w:pPr>
        <w:spacing w:after="0" w:line="162" w:lineRule="exact"/>
        <w:rPr>
          <w:sz w:val="20"/>
          <w:szCs w:val="20"/>
          <w:color w:val="auto"/>
        </w:rPr>
      </w:pPr>
    </w:p>
    <w:p>
      <w:pPr>
        <w:ind w:left="520" w:right="3279" w:firstLine="357"/>
        <w:spacing w:after="0" w:line="254" w:lineRule="auto"/>
        <w:tabs>
          <w:tab w:leader="none" w:pos="1214"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such Guarantor or such Restricted Subsidiary receives consideration at the time of such Asset Sale at least equal to the fair market value of the assets or other property sold, issued or otherwise disposed of:</w:t>
      </w:r>
    </w:p>
    <w:p>
      <w:pPr>
        <w:spacing w:after="0" w:line="163" w:lineRule="exact"/>
        <w:rPr>
          <w:rFonts w:ascii="Courier New" w:cs="Courier New" w:eastAsia="Courier New" w:hAnsi="Courier New"/>
          <w:sz w:val="14"/>
          <w:szCs w:val="14"/>
          <w:color w:val="auto"/>
        </w:rPr>
      </w:pPr>
    </w:p>
    <w:p>
      <w:pPr>
        <w:jc w:val="both"/>
        <w:ind w:left="520" w:right="3719" w:firstLine="357"/>
        <w:spacing w:after="0" w:line="255" w:lineRule="auto"/>
        <w:tabs>
          <w:tab w:leader="none" w:pos="1214"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is determined by the Company's Board of Directors and evidenced by a resolution of the Board of Directors set forth in an Officers' Certificate delivered to the Trustee; and</w:t>
      </w:r>
    </w:p>
    <w:p>
      <w:pPr>
        <w:spacing w:after="0" w:line="162" w:lineRule="exact"/>
        <w:rPr>
          <w:rFonts w:ascii="Courier New" w:cs="Courier New" w:eastAsia="Courier New" w:hAnsi="Courier New"/>
          <w:sz w:val="14"/>
          <w:szCs w:val="14"/>
          <w:color w:val="auto"/>
        </w:rPr>
      </w:pPr>
    </w:p>
    <w:p>
      <w:pPr>
        <w:ind w:left="520" w:right="3279" w:firstLine="357"/>
        <w:spacing w:after="0" w:line="255" w:lineRule="auto"/>
        <w:tabs>
          <w:tab w:leader="none" w:pos="1214"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75% of the consideration for such Asset Sale constitutes a controlling interest in a Permitted Business, assets used or useful in a Permitted Business and/or cash;</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440" w:gutter="0" w:footer="0" w:header="0"/>
        </w:sectPr>
      </w:pPr>
    </w:p>
    <w:bookmarkStart w:id="166" w:name="page167"/>
    <w:bookmarkEnd w:id="166"/>
    <w:p>
      <w:pPr>
        <w:ind w:right="3379" w:firstLine="434"/>
        <w:spacing w:after="0" w:line="254" w:lineRule="auto"/>
        <w:rPr>
          <w:sz w:val="20"/>
          <w:szCs w:val="20"/>
          <w:color w:val="auto"/>
        </w:rPr>
      </w:pPr>
      <w:r>
        <w:rPr>
          <w:rFonts w:ascii="Courier New" w:cs="Courier New" w:eastAsia="Courier New" w:hAnsi="Courier New"/>
          <w:sz w:val="14"/>
          <w:szCs w:val="14"/>
          <w:color w:val="auto"/>
        </w:rPr>
        <w:t>provided that any cash (other than any amount deemed cash under clause (iii)(A) of the preceding paragraph) received by the Company, such Guarantor or such Restricted Subsidiary in connection with any Asset Sale permitted to be consummated under this paragraph shall constitute Net Proceeds subject to the provisions of the next paragraph.</w:t>
      </w:r>
    </w:p>
    <w:p>
      <w:pPr>
        <w:spacing w:after="0" w:line="162" w:lineRule="exact"/>
        <w:rPr>
          <w:sz w:val="20"/>
          <w:szCs w:val="20"/>
          <w:color w:val="auto"/>
        </w:rPr>
      </w:pPr>
    </w:p>
    <w:p>
      <w:pPr>
        <w:ind w:right="3279" w:firstLine="443"/>
        <w:spacing w:after="0" w:line="253" w:lineRule="auto"/>
        <w:tabs>
          <w:tab w:leader="none" w:pos="781"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360 days after the receipt of any Net Proceeds from an Asset Sale, provided that (1) such Net Proceeds either singularly or when aggregated with all other Net Proceeds from all Asset Sales consummated since the date of this Indenture exceed $10,000,000; and (2) the Leverage Ratio as of the end of the fiscal quarter immediately prior to the date on which such application of such Net Proceeds would otherwise be required is greater than 6.00 to 1.00 and then only to the extent necessary to reduce the Leverage Ration to 6.00 to 1.00, the Company, such Guarantor or such Restricted Subsidiary may apply those Net Proceeds at its option:</w:t>
      </w:r>
    </w:p>
    <w:p>
      <w:pPr>
        <w:spacing w:after="0" w:line="164" w:lineRule="exact"/>
        <w:rPr>
          <w:rFonts w:ascii="Courier New" w:cs="Courier New" w:eastAsia="Courier New" w:hAnsi="Courier New"/>
          <w:sz w:val="14"/>
          <w:szCs w:val="14"/>
          <w:color w:val="auto"/>
        </w:rPr>
      </w:pPr>
    </w:p>
    <w:p>
      <w:pPr>
        <w:ind w:left="440" w:right="3459" w:firstLine="437"/>
        <w:spacing w:after="0" w:line="255" w:lineRule="auto"/>
        <w:tabs>
          <w:tab w:leader="none" w:pos="1221"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repay Senior Debt and, if the Senior Debt repaid is revolving credit Indebtedness, to correspondingly reduce commitments with respect thereto;</w:t>
      </w:r>
    </w:p>
    <w:p>
      <w:pPr>
        <w:spacing w:after="0" w:line="162" w:lineRule="exact"/>
        <w:rPr>
          <w:rFonts w:ascii="Courier New" w:cs="Courier New" w:eastAsia="Courier New" w:hAnsi="Courier New"/>
          <w:sz w:val="14"/>
          <w:szCs w:val="14"/>
          <w:color w:val="auto"/>
        </w:rPr>
      </w:pPr>
    </w:p>
    <w:p>
      <w:pPr>
        <w:ind w:left="440" w:right="3899" w:firstLine="437"/>
        <w:spacing w:after="0" w:line="258" w:lineRule="auto"/>
        <w:tabs>
          <w:tab w:leader="none" w:pos="1308"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acquire all or substantially all of the assets of, or a majority of the Voting Stock of, another Permitted Business;</w:t>
      </w:r>
    </w:p>
    <w:p>
      <w:pPr>
        <w:spacing w:after="0" w:line="159" w:lineRule="exact"/>
        <w:rPr>
          <w:rFonts w:ascii="Courier New" w:cs="Courier New" w:eastAsia="Courier New" w:hAnsi="Courier New"/>
          <w:sz w:val="14"/>
          <w:szCs w:val="14"/>
          <w:color w:val="auto"/>
        </w:rPr>
      </w:pPr>
    </w:p>
    <w:p>
      <w:pPr>
        <w:ind w:left="1400" w:hanging="523"/>
        <w:spacing w:after="0"/>
        <w:tabs>
          <w:tab w:leader="none" w:pos="1400"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a capital expenditure; or</w:t>
      </w:r>
    </w:p>
    <w:p>
      <w:pPr>
        <w:spacing w:after="0" w:line="175"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acquire other assets that are used or useful in a Permitted</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Business.</w:t>
      </w:r>
    </w:p>
    <w:p>
      <w:pPr>
        <w:spacing w:after="0" w:line="175" w:lineRule="exact"/>
        <w:rPr>
          <w:sz w:val="20"/>
          <w:szCs w:val="20"/>
          <w:color w:val="auto"/>
        </w:rPr>
      </w:pPr>
    </w:p>
    <w:p>
      <w:pPr>
        <w:ind w:right="3799" w:firstLine="434"/>
        <w:spacing w:after="0" w:line="255" w:lineRule="auto"/>
        <w:rPr>
          <w:sz w:val="20"/>
          <w:szCs w:val="20"/>
          <w:color w:val="auto"/>
        </w:rPr>
      </w:pPr>
      <w:r>
        <w:rPr>
          <w:rFonts w:ascii="Courier New" w:cs="Courier New" w:eastAsia="Courier New" w:hAnsi="Courier New"/>
          <w:sz w:val="14"/>
          <w:szCs w:val="14"/>
          <w:color w:val="auto"/>
        </w:rPr>
        <w:t>Pending the final application of any Net Proceeds, the Company may temporarily reduce revolving credit borrowings or otherwise invest the Net Proceeds in any manner that is not prohibited by this Indenture.</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Any Net Proceeds from Asset Sales that are not applied or invested as provided in the preceding paragraph shall constitute "Excess Proceeds." When the aggregate amount of Excess Proceeds exceeds $10.0 million, the Company shall make an Asset Sale Offer to all Holders of Notes and all holders of other Indebtedness that is pari passu with the Notes containing provisions similar to those set forth in this Indenture with respect to offers to purchase or redeem with the proceeds of sales of assets to purchase the maximum principal amount of Notes and such other pari passu Indebtedness that may be purchased out of the Excess Proceeds. The offer price in any Asset Sale Offer shall be equal to 100% of principal amount plus accrued and unpaid interest and Liquidated Damages, if any, to the date of purchase, and shall be payable in cash. If any Excess Proceeds remain after consummation of an Asset Sale Offer, the Company may use those Excess Proceeds for any purpose not otherwise prohibited by this Indenture. If the aggregate principal amount of Notes and other pari passu Indebtedness tendered into such Asset Sale Offer exceeds the amount of Excess Proceeds, the Trustee shall select the Notes and such other pari passu Indebtedness to be purchased on a pro rata basis. Upon completion of each Asset Sale Offer, the amount of Excess Proceeds shall be reset at zero.</w:t>
      </w:r>
    </w:p>
    <w:p>
      <w:pPr>
        <w:spacing w:after="0" w:line="174" w:lineRule="exact"/>
        <w:rPr>
          <w:sz w:val="20"/>
          <w:szCs w:val="20"/>
          <w:color w:val="auto"/>
        </w:rPr>
      </w:pPr>
    </w:p>
    <w:p>
      <w:pPr>
        <w:ind w:right="3379" w:firstLine="443"/>
        <w:spacing w:after="0" w:line="253" w:lineRule="auto"/>
        <w:tabs>
          <w:tab w:leader="none" w:pos="781"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Asset Sale provisions of this Indenture, the Company shall comply with the applicable securities laws and regulations and will not be deemed to have breached its obligations under the Asset Sale provisions of this Indenture by virtue of such conflict.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787" w:right="1440" w:bottom="1440" w:gutter="0" w:footer="0" w:header="0"/>
        </w:sectPr>
      </w:pPr>
    </w:p>
    <w:bookmarkStart w:id="167" w:name="page168"/>
    <w:bookmarkEnd w:id="167"/>
    <w:p>
      <w:pPr>
        <w:spacing w:after="0"/>
        <w:tabs>
          <w:tab w:leader="none" w:pos="1300" w:val="left"/>
        </w:tabs>
        <w:rPr>
          <w:sz w:val="20"/>
          <w:szCs w:val="20"/>
          <w:color w:val="auto"/>
        </w:rPr>
      </w:pPr>
      <w:r>
        <w:rPr>
          <w:rFonts w:ascii="Courier New" w:cs="Courier New" w:eastAsia="Courier New" w:hAnsi="Courier New"/>
          <w:sz w:val="14"/>
          <w:szCs w:val="14"/>
          <w:color w:val="auto"/>
        </w:rPr>
        <w:t>Section 4.11.</w:t>
        <w:tab/>
        <w:t>Transactions with Affiliates.</w:t>
      </w:r>
    </w:p>
    <w:p>
      <w:pPr>
        <w:spacing w:after="0" w:line="175"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The Company shall not, and shall not permit any of the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165" w:lineRule="exact"/>
        <w:rPr>
          <w:sz w:val="20"/>
          <w:szCs w:val="20"/>
          <w:color w:val="auto"/>
        </w:rPr>
      </w:pPr>
    </w:p>
    <w:p>
      <w:pPr>
        <w:ind w:right="3279" w:firstLine="443"/>
        <w:spacing w:after="0" w:line="254" w:lineRule="auto"/>
        <w:tabs>
          <w:tab w:leader="none" w:pos="781"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Affiliate Transaction is on terms that are no less favorable to the Company or the relevant Restricted Subsidiary than those that would have been obtained in a comparable transaction by the Company or such Restricted Subsidiary with an unrelated Person; and</w:t>
      </w:r>
    </w:p>
    <w:p>
      <w:pPr>
        <w:spacing w:after="0" w:line="163"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delivers to the Trustee:</w:t>
      </w:r>
    </w:p>
    <w:p>
      <w:pPr>
        <w:spacing w:after="0" w:line="175" w:lineRule="exact"/>
        <w:rPr>
          <w:rFonts w:ascii="Courier New" w:cs="Courier New" w:eastAsia="Courier New" w:hAnsi="Courier New"/>
          <w:sz w:val="14"/>
          <w:szCs w:val="14"/>
          <w:color w:val="auto"/>
        </w:rPr>
      </w:pPr>
    </w:p>
    <w:p>
      <w:pPr>
        <w:ind w:left="440" w:right="3379" w:firstLine="437"/>
        <w:spacing w:after="0" w:line="253" w:lineRule="auto"/>
        <w:tabs>
          <w:tab w:leader="none" w:pos="1221"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Affiliate Transaction or series of related Affiliate Transactions involving aggregate consideration in excess of $1.0 million, a resolution of the Board of Directors set forth in an Officers' Certificate certifying that such Affiliate Transaction complies with this Section 4.11 and that such Affiliate Transaction has been approved by a majority of the disinterested members of the Board of Directors; and</w:t>
      </w:r>
    </w:p>
    <w:p>
      <w:pPr>
        <w:spacing w:after="0" w:line="165" w:lineRule="exact"/>
        <w:rPr>
          <w:rFonts w:ascii="Courier New" w:cs="Courier New" w:eastAsia="Courier New" w:hAnsi="Courier New"/>
          <w:sz w:val="14"/>
          <w:szCs w:val="14"/>
          <w:color w:val="auto"/>
        </w:rPr>
      </w:pPr>
    </w:p>
    <w:p>
      <w:pPr>
        <w:ind w:left="440" w:right="3279" w:firstLine="437"/>
        <w:spacing w:after="0" w:line="254" w:lineRule="auto"/>
        <w:tabs>
          <w:tab w:leader="none" w:pos="1308"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Affiliate Transaction or series of related Affiliate Transactions involving aggregate consideration in excess of $10.0 million, an opinion as to the fairness to the Holders of such Affiliate Transaction from a financial point of view issued by an accounting, appraisal or investment banking firm of national standing.</w:t>
      </w:r>
    </w:p>
    <w:p>
      <w:pPr>
        <w:spacing w:after="0" w:line="16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The following items shall not be deemed to be Affiliate Transactions and, therefore, shall not be subject to the provisions of the prior paragraph:</w:t>
      </w:r>
    </w:p>
    <w:p>
      <w:pPr>
        <w:spacing w:after="0" w:line="160" w:lineRule="exact"/>
        <w:rPr>
          <w:sz w:val="20"/>
          <w:szCs w:val="20"/>
          <w:color w:val="auto"/>
        </w:rPr>
      </w:pPr>
    </w:p>
    <w:p>
      <w:pPr>
        <w:ind w:right="3639" w:firstLine="443"/>
        <w:spacing w:after="0" w:line="255" w:lineRule="auto"/>
        <w:tabs>
          <w:tab w:leader="none" w:pos="781"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employment agreement entered into by the Company or any of its Subsidiaries in the ordinary course of business and consistent with the past practice of the Company or such Subsidiary;</w:t>
      </w:r>
    </w:p>
    <w:p>
      <w:pPr>
        <w:spacing w:after="0" w:line="162" w:lineRule="exact"/>
        <w:rPr>
          <w:rFonts w:ascii="Courier New" w:cs="Courier New" w:eastAsia="Courier New" w:hAnsi="Courier New"/>
          <w:sz w:val="14"/>
          <w:szCs w:val="14"/>
          <w:color w:val="auto"/>
        </w:rPr>
      </w:pPr>
    </w:p>
    <w:p>
      <w:pPr>
        <w:ind w:right="3979" w:firstLine="443"/>
        <w:spacing w:after="0" w:line="258" w:lineRule="auto"/>
        <w:tabs>
          <w:tab w:leader="none" w:pos="781"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between or among the Company and/or its Restricted Subsidiaries;</w:t>
      </w:r>
    </w:p>
    <w:p>
      <w:pPr>
        <w:spacing w:after="0" w:line="159" w:lineRule="exact"/>
        <w:rPr>
          <w:rFonts w:ascii="Courier New" w:cs="Courier New" w:eastAsia="Courier New" w:hAnsi="Courier New"/>
          <w:sz w:val="14"/>
          <w:szCs w:val="14"/>
          <w:color w:val="auto"/>
        </w:rPr>
      </w:pPr>
    </w:p>
    <w:p>
      <w:pPr>
        <w:jc w:val="both"/>
        <w:ind w:right="3979" w:firstLine="443"/>
        <w:spacing w:after="0" w:line="255" w:lineRule="auto"/>
        <w:tabs>
          <w:tab w:leader="none" w:pos="781"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advances, payment of reasonable fees, indemnification of directors, or similar arrangements to officers, directors, employees and consultants who are not otherwise Affiliates of the Company;</w:t>
      </w:r>
    </w:p>
    <w:p>
      <w:pPr>
        <w:spacing w:after="0" w:line="162" w:lineRule="exact"/>
        <w:rPr>
          <w:rFonts w:ascii="Courier New" w:cs="Courier New" w:eastAsia="Courier New" w:hAnsi="Courier New"/>
          <w:sz w:val="14"/>
          <w:szCs w:val="14"/>
          <w:color w:val="auto"/>
        </w:rPr>
      </w:pPr>
    </w:p>
    <w:p>
      <w:pPr>
        <w:ind w:right="3279" w:firstLine="443"/>
        <w:spacing w:after="0" w:line="258" w:lineRule="auto"/>
        <w:tabs>
          <w:tab w:leader="none" w:pos="781"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Equity Interests (other than Disqualified Stock) to Affiliates of the Company;</w:t>
      </w:r>
    </w:p>
    <w:p>
      <w:pPr>
        <w:spacing w:after="0" w:line="159" w:lineRule="exact"/>
        <w:rPr>
          <w:rFonts w:ascii="Courier New" w:cs="Courier New" w:eastAsia="Courier New" w:hAnsi="Courier New"/>
          <w:sz w:val="14"/>
          <w:szCs w:val="14"/>
          <w:color w:val="auto"/>
        </w:rPr>
      </w:pPr>
    </w:p>
    <w:p>
      <w:pPr>
        <w:ind w:right="3279" w:firstLine="443"/>
        <w:spacing w:after="0" w:line="254" w:lineRule="auto"/>
        <w:tabs>
          <w:tab w:leader="none" w:pos="781"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under any contract or agreement in effect on the date of this Indenture as the same may be amended, modified or replaced from time to time so long as any amendment, modification, or replacement is no less favorable to the Company and the Restricted Subsidiaries than the contract or agreement as in effect on the date of this Indenture;</w:t>
      </w:r>
    </w:p>
    <w:p>
      <w:pPr>
        <w:spacing w:after="0" w:line="162" w:lineRule="exact"/>
        <w:rPr>
          <w:rFonts w:ascii="Courier New" w:cs="Courier New" w:eastAsia="Courier New" w:hAnsi="Courier New"/>
          <w:sz w:val="14"/>
          <w:szCs w:val="14"/>
          <w:color w:val="auto"/>
        </w:rPr>
      </w:pPr>
    </w:p>
    <w:p>
      <w:pPr>
        <w:ind w:right="3279" w:firstLine="443"/>
        <w:spacing w:after="0" w:line="254" w:lineRule="auto"/>
        <w:tabs>
          <w:tab w:leader="none" w:pos="781"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services to be provided to any Unrestricted Subsidiary of the Company in the ordinary course of business, which the Board of Directors has determined, pursuant to a resolution thereof, that such services are provided on terms at least as favorable to the Company and its Restricted Subsidiaries as those that would have been obtained in a comparable transaction with an unrelated Person; and</w:t>
      </w:r>
    </w:p>
    <w:p>
      <w:pPr>
        <w:spacing w:after="0" w:line="329" w:lineRule="exact"/>
        <w:rPr>
          <w:rFonts w:ascii="Courier New" w:cs="Courier New" w:eastAsia="Courier New" w:hAnsi="Courier New"/>
          <w:sz w:val="14"/>
          <w:szCs w:val="14"/>
          <w:color w:val="auto"/>
        </w:rPr>
      </w:pPr>
    </w:p>
    <w:p>
      <w:pPr>
        <w:ind w:right="3279" w:firstLine="443"/>
        <w:spacing w:after="0" w:line="258" w:lineRule="auto"/>
        <w:tabs>
          <w:tab w:leader="none" w:pos="781"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Permitted Investments and Restricted Payments that are permitted by the provisions of this Indenture described under Section 4.07.</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440" w:gutter="0" w:footer="0" w:header="0"/>
        </w:sectPr>
      </w:pPr>
    </w:p>
    <w:bookmarkStart w:id="168" w:name="page169"/>
    <w:bookmarkEnd w:id="168"/>
    <w:p>
      <w:pPr>
        <w:spacing w:after="0"/>
        <w:tabs>
          <w:tab w:leader="none" w:pos="1300" w:val="left"/>
        </w:tabs>
        <w:rPr>
          <w:sz w:val="20"/>
          <w:szCs w:val="20"/>
          <w:color w:val="auto"/>
        </w:rPr>
      </w:pPr>
      <w:r>
        <w:rPr>
          <w:rFonts w:ascii="Courier New" w:cs="Courier New" w:eastAsia="Courier New" w:hAnsi="Courier New"/>
          <w:sz w:val="14"/>
          <w:szCs w:val="14"/>
          <w:color w:val="auto"/>
        </w:rPr>
        <w:t>Section 4.12.</w:t>
        <w:tab/>
        <w:t>Liens.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Company shall not, and shall not permit any of its Subsidiaries to, directly or indirectly, create, incur, assume or suffer to exist any Lien of any kind securing Indebtedness, or trade payables on any asset now owned or hereafter acquired, except Permitted Liens.</w:t>
      </w:r>
    </w:p>
    <w:p>
      <w:pPr>
        <w:spacing w:after="0" w:line="16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4.13.</w:t>
        <w:tab/>
        <w:t>Corporate Existence.</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Subject to Article 5 hereof, the Company shall do or cause to be done all things necessary to preserve and keep in full force and effect (i) 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2" w:lineRule="exact"/>
        <w:rPr>
          <w:sz w:val="20"/>
          <w:szCs w:val="20"/>
          <w:color w:val="auto"/>
        </w:rPr>
      </w:pPr>
    </w:p>
    <w:p>
      <w:pPr>
        <w:ind w:right="3279" w:firstLine="9"/>
        <w:spacing w:after="0" w:line="253" w:lineRule="auto"/>
        <w:tabs>
          <w:tab w:leader="none" w:pos="434"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(charter and statutory), licenses and franchises of the Company and its Subsidiaries; provided, however,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 of the Notes.</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4.14.</w:t>
        <w:tab/>
        <w:t>[Intentionally Omitted]</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4.15.</w:t>
        <w:tab/>
        <w:t>Offer to Repurchase Upon Change of Control.</w:t>
      </w:r>
    </w:p>
    <w:p>
      <w:pPr>
        <w:spacing w:after="0" w:line="175" w:lineRule="exact"/>
        <w:rPr>
          <w:sz w:val="20"/>
          <w:szCs w:val="20"/>
          <w:color w:val="auto"/>
        </w:rPr>
      </w:pPr>
    </w:p>
    <w:p>
      <w:pPr>
        <w:ind w:right="3279" w:firstLine="443"/>
        <w:spacing w:after="0" w:line="252" w:lineRule="auto"/>
        <w:tabs>
          <w:tab w:leader="none" w:pos="781"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a Change of Control, the Company shall make an offer (a "Change of Control Offer") to each Holder to repurchase all or any part (equal to $1,000 or an integral multiple thereof) of each Holder's Notes at a purchase price equal to 101% of the aggregate principal amount thereof plus accrued and unpaid interest and Liquidated Damages thereon, if any, to the date of purchase (the "Change of Control Payment"). Within 10 business days following any Change of Control, the Company shall mail a notice to each Holder stating: (1) that the Change of Control Offer is being made pursuant to this Section 4.15 and that all Notes tendered will be accepted for payment; (2) the purchase price and the purchase date, which shall be no earlier than 30 days and no later than 60 days from the date such notice is mailed (the "Change of Control Payment Date"); (3) that any Note not tendered will continue to accrue interest; (4) that, unless the Company defaults in the payment of the Change of Control Payment, all Notes accepted for payment pursuant to the Change of Control Offer shall cease to accrue interest after the Change of Control Payment Date; (5) that Holders electing to have any Notes purchased pursuant to a Change of Control Offer will be required to surrender the Notes, with the form entitled "Option of Holder to Elect Purchase" on the reverse of the Notes completed, to the Paying Agent at the address specified in the notice prior to the close of business on the third Business Day preceding the Change of Control Payment Date;</w:t>
      </w:r>
    </w:p>
    <w:p>
      <w:pPr>
        <w:spacing w:after="0" w:line="7" w:lineRule="exact"/>
        <w:rPr>
          <w:rFonts w:ascii="Courier New" w:cs="Courier New" w:eastAsia="Courier New" w:hAnsi="Courier New"/>
          <w:sz w:val="14"/>
          <w:szCs w:val="14"/>
          <w:color w:val="auto"/>
        </w:rPr>
      </w:pPr>
    </w:p>
    <w:p>
      <w:pPr>
        <w:ind w:right="3279" w:firstLine="9"/>
        <w:spacing w:after="0" w:line="253" w:lineRule="auto"/>
        <w:tabs>
          <w:tab w:leader="none" w:pos="347"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Holders will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his election to have the Notes purchased; and (7) that Holders whose Notes are being purchased only in part will be issued new Notes equal in principal amount to the unpurchased portion of the Notes surrendered, which unpurchased portion must be equal to $1,000 in principal amount or an integral multiple thereof. The Company shall comply with the requirements of Rule 14e-1 under the Exchange Act and any other securities laws and regulations thereunder to the extent such laws and regulations are applicable in connection with the repurchase of Notes in connection with a Change of Control.</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169" w:name="page170"/>
    <w:bookmarkEnd w:id="169"/>
    <w:p>
      <w:pPr>
        <w:ind w:right="3279" w:firstLine="443"/>
        <w:spacing w:after="0" w:line="252" w:lineRule="auto"/>
        <w:tabs>
          <w:tab w:leader="none" w:pos="781"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Change of Control Payment Date, the Company shall, to the extent lawful, (1) accept for payment all Notes or portions thereof properly tendered pursuant to the Change of Control Offer, (2) deposit with the Paying Agent an amount equal to the Change of Control Payment in respect of all Notes or portions thereof properly tendered and (3) deliver or cause to be delivered to the Trustee the Notes properly accepted together with an Officers' Certificate stating the aggregate principal amount of Notes or portions thereof being purchased by the Company. The Paying Agent shall promptly mail to each Holder of Notes properly tendered the Change of Control Payment for such Notes, and the Trustee shall promptly authenticate and mail (or cause to be transferred by book entry) to each Holder a new Note equal in principal amount to any unpurchased portion of the Notes surrendered, if any; provided that each new Note shall be in a principal amount of $1,000 or an integral multiple thereof. The Company shall publicly announce the results of the Change of Control Offer on or as soon as practicable after the Change of Control Payment Date.</w:t>
      </w:r>
    </w:p>
    <w:p>
      <w:pPr>
        <w:spacing w:after="0" w:line="172"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complying with any of the provisions of this Section 4.15, but in any event within 90 days following a Change of Control, the Company will either pay all outstanding Senior Debt or obtain the requisite consents, if any, under all the agreements governing outstanding Senior Debt to permit the repurchase of the Notes required by this covenant. The Company will publicly announce the results of the Change of Control Offer on or as soon as practicable after the Change of Control Payment Date.</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in this Section 4.15, the Company shall not be required to make a Change of Control Offer upon a Change of Control if a third party makes the Change of Control Offer in the manner, at the times and otherwise in compliance with the requirements set forth in this Section 4.15 and Section 3.09 hereof and all other provisions of this Indenture applicable to a Change of Control Offer made by the Company and purchases all Notes properly tendered and not withdrawn under the Change of Control Offer.</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4.16.</w:t>
        <w:tab/>
        <w:t>No Senior Subordinated Debt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shall not incur, create, issue, assume, guarantee, or otherwise become liable for any Indebtedness that is subordinate or junior in right of payment to any Senior Debt of the Company and senior in any respect in right of payment to the Notes. No Guarantor shall incur, create, issue, assume, guarantee or otherwise become liable for any Indebtedness that is subordinated or junior in right of payment to the Senior Debt of such Guarantor and senior in any respect in right of payment to such Guarantor's Subsidiary Guarantee.</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4.17.</w:t>
        <w:tab/>
        <w:t>Additional Subsidiary Guarantees.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the Company or any of its Subsidiaries acquires or creates another Domestic Subsidiary after the date of this Indenture, excluding all Subsidiaries that have been properly designated as Unrestricted Subsidiaries in accordance with this Indenture for so long as they continue to constitute Unrestricted Subsidiaries, then that newly acquired or created Domestic Subsidiary shall become a Guarantor and execute a supplemental Indenture and deliver an opinion of counsel satisfactory to the Trustee within 10 Business Days of the date on which it was acquired or created.</w:t>
      </w:r>
    </w:p>
    <w:p>
      <w:pPr>
        <w:spacing w:after="0" w:line="165" w:lineRule="exact"/>
        <w:rPr>
          <w:sz w:val="20"/>
          <w:szCs w:val="20"/>
          <w:color w:val="auto"/>
        </w:rPr>
      </w:pPr>
    </w:p>
    <w:p>
      <w:pPr>
        <w:ind w:left="1320" w:right="3799" w:hanging="1301"/>
        <w:spacing w:after="0" w:line="258" w:lineRule="auto"/>
        <w:tabs>
          <w:tab w:leader="none" w:pos="1300" w:val="left"/>
        </w:tabs>
        <w:rPr>
          <w:sz w:val="20"/>
          <w:szCs w:val="20"/>
          <w:color w:val="auto"/>
        </w:rPr>
      </w:pPr>
      <w:r>
        <w:rPr>
          <w:rFonts w:ascii="Courier New" w:cs="Courier New" w:eastAsia="Courier New" w:hAnsi="Courier New"/>
          <w:sz w:val="14"/>
          <w:szCs w:val="14"/>
          <w:color w:val="auto"/>
        </w:rPr>
        <w:t>Section 4.18.</w:t>
        <w:tab/>
        <w:t>Limitation on Issuances of Equity Interests in Wholly Owned Subsidiaries.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(i) shall not, and shall not permit any of its Subsidiaries to, transfer, convey, sell, lease or otherwise dispose of any Equity Interest in any Wholly Owned Subsidiaries of the Company to any Person (other than the Company or a Wholly Owned Restricted Subsidiary of the Company), unless (a) as a result of such transfer, conveyance, sale, lease or other disposition or issuance such Restricted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20" w:right="1440" w:bottom="1440" w:gutter="0" w:footer="0" w:header="0"/>
        </w:sectPr>
      </w:pPr>
    </w:p>
    <w:bookmarkStart w:id="170" w:name="page171"/>
    <w:bookmarkEnd w:id="170"/>
    <w:p>
      <w:pPr>
        <w:ind w:right="3279"/>
        <w:spacing w:after="0" w:line="253" w:lineRule="auto"/>
        <w:rPr>
          <w:sz w:val="20"/>
          <w:szCs w:val="20"/>
          <w:color w:val="auto"/>
        </w:rPr>
      </w:pPr>
      <w:r>
        <w:rPr>
          <w:rFonts w:ascii="Courier New" w:cs="Courier New" w:eastAsia="Courier New" w:hAnsi="Courier New"/>
          <w:sz w:val="14"/>
          <w:szCs w:val="14"/>
          <w:color w:val="auto"/>
        </w:rPr>
        <w:t>Subsidiary no longer constitutes a Subsidiary and (b) the cash Net Proceeds from such transfer, conveyance, sale, lease or other disposition are applied in accordance with Section 4.10 hereof and (ii) shall not permit any Wholly Owned Restricted Subsidiary of the Company to issue any of its Equity Interests (other than, if necessary, shares of its Capital Stock constituting directors' qualifying shares) to any Person other than to the Company or a Wholly Owned Restricted Subsidiary of the Company.</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4.19.</w:t>
        <w:tab/>
        <w:t>Payments for Consent.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shall not, and shall not permit any of its Subsidiaries to, directly or indirectly, pay or cause to be paid any consideration to or for the benefit of any Holder of Notes for or as an inducement to any consent, waiver or amendment of any of the terms or provisions of this Indenture or the Notes unless such consideration is offered to be paid and is paid to all Holders of the Notes that consent, waive or agree to amend in the time frame set forth in the solicitation documents relating to such consent, waiver or agreement.</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4.20.</w:t>
        <w:tab/>
        <w:t>Designation of Restricted and Unrestricted Subsidiaries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may designate any Restricted Subsidiary to be an Unrestricted Subsidiary if that designation would not cause a Default. If a Restricted Subsidiary is designated as an Unrestricted Subsidiary, the aggregate fair market value of all outstanding Investments owned by the Company and the Restricted Subsidiaries in the Subsidiary properly designated will be deemed to be an Investment made as of the time of the designation and will reduce the amount available for Restricted Payments under the first paragraph of Section 4.07 or Permitted Investments, as determined by the Company. That designation will only be permitted if the Investment would be permitted at that time and if the Restricted Subsidiary otherwise meets the definition of an Unrestricted Subsidiary. The Board of Directors may redesignate any Unrestricted Subsidiary to be a Restricted Subsidiary if the redesignation would not cause a Default.</w:t>
      </w:r>
    </w:p>
    <w:p>
      <w:pPr>
        <w:spacing w:after="0" w:line="16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5.</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SUCCESSORS</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5.01.</w:t>
        <w:tab/>
        <w:t>Merger, Consolidation, or Sale of Assets.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shall not, directly or indirectly: (1) consolidate or merge with or into another Person (whether or not the Company is the surviving corporation); or (2) sell, assign, transfer, convey or otherwise dispose of all or substantially all of the properties or assets of the Company and its Restricted Subsidiaries taken as a whole, in one or more related transactions, to another Person; unless:</w:t>
      </w:r>
    </w:p>
    <w:p>
      <w:pPr>
        <w:spacing w:after="0" w:line="165" w:lineRule="exact"/>
        <w:rPr>
          <w:sz w:val="20"/>
          <w:szCs w:val="20"/>
          <w:color w:val="auto"/>
        </w:rPr>
      </w:pPr>
    </w:p>
    <w:p>
      <w:pPr>
        <w:ind w:left="440" w:right="3379" w:firstLine="437"/>
        <w:spacing w:after="0" w:line="253" w:lineRule="auto"/>
        <w:tabs>
          <w:tab w:leader="none" w:pos="1221"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(x) the Company is the surviving corporation; or (y) the Person formed by or surviving any such consolidation or merger (if other than the Company) or to which such sale, assignment, transfer, conveyance or other disposition has been made is a corporation organized or existing under the laws of the United States, any state of the United States or the District of Columbia;</w:t>
      </w:r>
    </w:p>
    <w:p>
      <w:pPr>
        <w:spacing w:after="0" w:line="165" w:lineRule="exact"/>
        <w:rPr>
          <w:rFonts w:ascii="Courier New" w:cs="Courier New" w:eastAsia="Courier New" w:hAnsi="Courier New"/>
          <w:sz w:val="14"/>
          <w:szCs w:val="14"/>
          <w:color w:val="auto"/>
        </w:rPr>
      </w:pPr>
    </w:p>
    <w:p>
      <w:pPr>
        <w:ind w:left="440" w:right="3279" w:firstLine="437"/>
        <w:spacing w:after="0" w:line="253" w:lineRule="auto"/>
        <w:tabs>
          <w:tab w:leader="none" w:pos="1308"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formed by or surviving any such consolidation or merger (if other than the Company) or the Person to which such sale, assignment, transfer, conveyance or other disposition has been made assumes all the obligations of the Company under the Notes, this Indenture and the Registration Rights Agreement pursuant to agreements reasonably satisfactory to the Trustee;</w:t>
      </w:r>
    </w:p>
    <w:p>
      <w:pPr>
        <w:spacing w:after="0" w:line="165" w:lineRule="exact"/>
        <w:rPr>
          <w:rFonts w:ascii="Courier New" w:cs="Courier New" w:eastAsia="Courier New" w:hAnsi="Courier New"/>
          <w:sz w:val="14"/>
          <w:szCs w:val="14"/>
          <w:color w:val="auto"/>
        </w:rPr>
      </w:pPr>
    </w:p>
    <w:p>
      <w:pPr>
        <w:ind w:left="440" w:right="3899" w:firstLine="437"/>
        <w:spacing w:after="0" w:line="258" w:lineRule="auto"/>
        <w:tabs>
          <w:tab w:leader="none" w:pos="1395"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such transaction no Default or Event of Default exists; and</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20" w:right="1440" w:bottom="1440" w:gutter="0" w:footer="0" w:header="0"/>
        </w:sectPr>
      </w:pPr>
    </w:p>
    <w:bookmarkStart w:id="171" w:name="page172"/>
    <w:bookmarkEnd w:id="171"/>
    <w:p>
      <w:pPr>
        <w:ind w:left="440" w:right="3279" w:firstLine="437"/>
        <w:spacing w:after="0" w:line="253" w:lineRule="auto"/>
        <w:tabs>
          <w:tab w:leader="none" w:pos="1308"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the Person formed by or surviving any such consolidation or merger (if other than the Company), or to which such sale, assignment, transfer, conveyance or other disposition has been made (x) shall, on the date of such transaction after giving pro forma effect thereto and any related financing transactions as if the same had occurred at the beginning of the applicable four-quarter period, be permitted to incur at least $1.00 of additional Indebtedness pursuant to the Leverage Ratio test set forth in the first paragraph of Section 4.09, or (y) would have a lower Leverage Ratio immediately after the transaction, after giving pro forma effect to the transaction as if the transaction had occurred at the beginning of the applicable four quarter period, than the Company's Leverage Ratio immediately prior to the transaction.</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preceding clause (iv) shall not prohibit: (x) a merger between the Company and one of the Company's Wholly Owned Restricted Subsidiaries; or (y) a merger between the Company and one of the Company's Affiliates incorporated solely for the purpose of reincorporating in another state of the United States.</w:t>
      </w:r>
    </w:p>
    <w:p>
      <w:pPr>
        <w:spacing w:after="0" w:line="163"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In addition, the Company shall not, directly or indirectly, lease all or substantially all of its properties or assets, in one or more related transactions, to any other Person. The provisions of this Section 5.01 shall not apply to a sale, assignment, transfer, conveyance or other disposition of assets between or among the Company and any of its Wholly Owned Restricted Subsidiaries.</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5.02.</w:t>
        <w:tab/>
        <w:t>Successor Corporation Substituted.</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Upon any consolidation or merger, or any sale, assignment, transfer, lease, conveyance or other disposition of all or substantially all of the assets of the Company in accordance with Section 5.01 hereof, the successor corporation formed by such consolidation or into or with which the Company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"Company" shall refer instead to the successor corporation and not to the Company), and may exercise every right and power of the Company under this Indenture with the same effect as if such successor Person had been named as the Company herein; provided, however, that the predecessor Company shall not be relieved from the obligation to pay the principal of and interest on the Notes except in the case of a sale, assignment, transfer, conveyance or other disposition of all of the Company's assets that meets the requirements of Section 5.01 hereof.</w:t>
      </w:r>
    </w:p>
    <w:p>
      <w:pPr>
        <w:spacing w:after="0" w:line="17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6.</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DEFAULTS AND REMEDIES</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6.01.</w:t>
        <w:tab/>
        <w:t>Events of Default.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 "Event of Default" occurs if:</w:t>
      </w:r>
    </w:p>
    <w:p>
      <w:pPr>
        <w:spacing w:after="0" w:line="175" w:lineRule="exact"/>
        <w:rPr>
          <w:sz w:val="20"/>
          <w:szCs w:val="20"/>
          <w:color w:val="auto"/>
        </w:rPr>
      </w:pPr>
    </w:p>
    <w:p>
      <w:pPr>
        <w:jc w:val="both"/>
        <w:ind w:left="440" w:right="3539" w:firstLine="437"/>
        <w:spacing w:after="0" w:line="255" w:lineRule="auto"/>
        <w:tabs>
          <w:tab w:leader="none" w:pos="1221"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payment when due of interest on, or Liquidated Damages with respect to, the Notes and such default continues for a period of 30 days;</w:t>
      </w:r>
    </w:p>
    <w:p>
      <w:pPr>
        <w:spacing w:after="0" w:line="162" w:lineRule="exact"/>
        <w:rPr>
          <w:rFonts w:ascii="Courier New" w:cs="Courier New" w:eastAsia="Courier New" w:hAnsi="Courier New"/>
          <w:sz w:val="14"/>
          <w:szCs w:val="14"/>
          <w:color w:val="auto"/>
        </w:rPr>
      </w:pPr>
    </w:p>
    <w:p>
      <w:pPr>
        <w:ind w:left="440" w:right="3539" w:firstLine="437"/>
        <w:spacing w:after="0" w:line="254" w:lineRule="auto"/>
        <w:tabs>
          <w:tab w:leader="none" w:pos="1221"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the payment when due of principal of or premium, if any, on the Notes when the same becomes due and payable at maturity, upon redemption (including in connection with an offer to purchase) or otherwise;</w:t>
      </w:r>
    </w:p>
    <w:p>
      <w:pPr>
        <w:spacing w:after="0" w:line="163" w:lineRule="exact"/>
        <w:rPr>
          <w:rFonts w:ascii="Courier New" w:cs="Courier New" w:eastAsia="Courier New" w:hAnsi="Courier New"/>
          <w:sz w:val="14"/>
          <w:szCs w:val="14"/>
          <w:color w:val="auto"/>
        </w:rPr>
      </w:pPr>
    </w:p>
    <w:p>
      <w:pPr>
        <w:ind w:left="440" w:right="3379" w:firstLine="437"/>
        <w:spacing w:after="0" w:line="258" w:lineRule="auto"/>
        <w:tabs>
          <w:tab w:leader="none" w:pos="1221"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fails to comply with any of the provisions of Section 4.15 hereof;</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20" w:right="1440" w:bottom="1440" w:gutter="0" w:footer="0" w:header="0"/>
        </w:sectPr>
      </w:pPr>
    </w:p>
    <w:bookmarkStart w:id="172" w:name="page173"/>
    <w:bookmarkEnd w:id="172"/>
    <w:p>
      <w:pPr>
        <w:jc w:val="both"/>
        <w:ind w:left="-437" w:right="3279" w:firstLine="437"/>
        <w:spacing w:after="0" w:line="254" w:lineRule="auto"/>
        <w:tabs>
          <w:tab w:leader="none" w:pos="344"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fails to comply with any of the provisions of Section 4.07, 4.09, 4.10 or 5.01 hereof for 30 days after notice to the Company by the Trustee or the Holders of at least 25% in aggregate principal amount of the Notes (including Additional Notes, if any) then outstanding voting as a single class;</w:t>
      </w:r>
    </w:p>
    <w:p>
      <w:pPr>
        <w:spacing w:after="0" w:line="162" w:lineRule="exact"/>
        <w:rPr>
          <w:rFonts w:ascii="Courier New" w:cs="Courier New" w:eastAsia="Courier New" w:hAnsi="Courier New"/>
          <w:sz w:val="14"/>
          <w:szCs w:val="14"/>
          <w:color w:val="auto"/>
        </w:rPr>
      </w:pPr>
    </w:p>
    <w:p>
      <w:pPr>
        <w:ind w:left="-437" w:right="3279" w:firstLine="437"/>
        <w:spacing w:after="0" w:line="254" w:lineRule="auto"/>
        <w:tabs>
          <w:tab w:leader="none" w:pos="344"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fails to observe or perform any other covenant, representation, warranty or other agreement in this Indenture, the Notes for 60 days after notice to the Company by the Trustee or the Holders of at least 25% in aggregate principal amount of the Notes (including Additional Notes, if any) then outstanding voting as a single class;</w:t>
      </w:r>
    </w:p>
    <w:p>
      <w:pPr>
        <w:spacing w:after="0" w:line="162" w:lineRule="exact"/>
        <w:rPr>
          <w:rFonts w:ascii="Courier New" w:cs="Courier New" w:eastAsia="Courier New" w:hAnsi="Courier New"/>
          <w:sz w:val="14"/>
          <w:szCs w:val="14"/>
          <w:color w:val="auto"/>
        </w:rPr>
      </w:pPr>
    </w:p>
    <w:p>
      <w:pPr>
        <w:ind w:left="-437" w:right="3279" w:firstLine="437"/>
        <w:spacing w:after="0" w:line="253" w:lineRule="auto"/>
        <w:tabs>
          <w:tab w:leader="none" w:pos="344"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occurs under any mortgage, indenture or instrument under which there may be issued or by which there may be secured or evidenced any Indebtedness for money borrowed by the Company or any of the Restricted Subsidiaries (or the payment of which is guaranteed by the Company or any of the Restricted Subsidiaries), whether such Indebtedness or Guarantee now exists, or is created after the date hereof, which default (i) is caused by a failure to pay principal of such Indebtedness at the final Stated Maturity thereof (a "Payment Default") or (ii) results in the acceleration of such Indebtedness prior to its express maturity and, in each case, the principal amount of such Indebtedness, together with the principal amount of any other such Indebtedness under which there has been a Payment Default or the maturity of which has been so accelerated, aggregates $10.0 million or more;</w:t>
      </w:r>
    </w:p>
    <w:p>
      <w:pPr>
        <w:spacing w:after="0" w:line="330" w:lineRule="exact"/>
        <w:rPr>
          <w:rFonts w:ascii="Courier New" w:cs="Courier New" w:eastAsia="Courier New" w:hAnsi="Courier New"/>
          <w:sz w:val="14"/>
          <w:szCs w:val="14"/>
          <w:color w:val="auto"/>
        </w:rPr>
      </w:pPr>
    </w:p>
    <w:p>
      <w:pPr>
        <w:ind w:left="-437" w:right="3379" w:firstLine="437"/>
        <w:spacing w:after="0" w:line="253" w:lineRule="auto"/>
        <w:tabs>
          <w:tab w:leader="none" w:pos="344"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judgment or final judgments for the payment of money are entered by a court or courts of competent jurisdiction against the Company or any of its Significant Subsidiaries or any group of Subsidiaries that, taken as a whole, would constitute a Significant Subsidiary and such judgment or judgments remain undischarged for a period (during which execution shall not be effectively stayed) of 60 days, provided that the aggregate of all such undischarged judgments exceeds $5.0 million;</w:t>
      </w:r>
    </w:p>
    <w:p>
      <w:pPr>
        <w:spacing w:after="0" w:line="164" w:lineRule="exact"/>
        <w:rPr>
          <w:rFonts w:ascii="Courier New" w:cs="Courier New" w:eastAsia="Courier New" w:hAnsi="Courier New"/>
          <w:sz w:val="14"/>
          <w:szCs w:val="14"/>
          <w:color w:val="auto"/>
        </w:rPr>
      </w:pPr>
    </w:p>
    <w:p>
      <w:pPr>
        <w:ind w:left="-437" w:right="3279" w:firstLine="437"/>
        <w:spacing w:after="0" w:line="255" w:lineRule="auto"/>
        <w:tabs>
          <w:tab w:leader="none" w:pos="344"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of its Significant Subsidiaries or any group of Subsidiaries that, taken as a whole, would constitute a Significant Subsidiary pursuant to or within the meaning of Bankruptcy Law:</w:t>
      </w:r>
    </w:p>
    <w:p>
      <w:pPr>
        <w:spacing w:after="0" w:line="162" w:lineRule="exact"/>
        <w:rPr>
          <w:rFonts w:ascii="Courier New" w:cs="Courier New" w:eastAsia="Courier New" w:hAnsi="Courier New"/>
          <w:sz w:val="14"/>
          <w:szCs w:val="14"/>
          <w:color w:val="auto"/>
        </w:rPr>
      </w:pPr>
    </w:p>
    <w:p>
      <w:pPr>
        <w:ind w:left="783" w:hanging="349"/>
        <w:spacing w:after="0"/>
        <w:tabs>
          <w:tab w:leader="none" w:pos="783"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commences a voluntary case,</w:t>
      </w:r>
    </w:p>
    <w:p>
      <w:pPr>
        <w:spacing w:after="0" w:line="175" w:lineRule="exact"/>
        <w:rPr>
          <w:rFonts w:ascii="Courier New" w:cs="Courier New" w:eastAsia="Courier New" w:hAnsi="Courier New"/>
          <w:sz w:val="14"/>
          <w:szCs w:val="14"/>
          <w:color w:val="auto"/>
        </w:rPr>
      </w:pPr>
    </w:p>
    <w:p>
      <w:pPr>
        <w:ind w:left="3" w:right="3459" w:firstLine="431"/>
        <w:spacing w:after="0" w:line="258" w:lineRule="auto"/>
        <w:tabs>
          <w:tab w:leader="none" w:pos="871"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to the entry of an order for relief against it in an involuntary case,</w:t>
      </w:r>
    </w:p>
    <w:p>
      <w:pPr>
        <w:spacing w:after="0" w:line="159" w:lineRule="exact"/>
        <w:rPr>
          <w:rFonts w:ascii="Courier New" w:cs="Courier New" w:eastAsia="Courier New" w:hAnsi="Courier New"/>
          <w:sz w:val="14"/>
          <w:szCs w:val="14"/>
          <w:color w:val="auto"/>
        </w:rPr>
      </w:pPr>
    </w:p>
    <w:p>
      <w:pPr>
        <w:ind w:left="3" w:right="3279" w:firstLine="431"/>
        <w:spacing w:after="0" w:line="258" w:lineRule="auto"/>
        <w:tabs>
          <w:tab w:leader="none" w:pos="958"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to the appointment of a custodian of it or for all or substantially all of its property,</w:t>
      </w:r>
    </w:p>
    <w:p>
      <w:pPr>
        <w:spacing w:after="0" w:line="159" w:lineRule="exact"/>
        <w:rPr>
          <w:rFonts w:ascii="Courier New" w:cs="Courier New" w:eastAsia="Courier New" w:hAnsi="Courier New"/>
          <w:sz w:val="14"/>
          <w:szCs w:val="14"/>
          <w:color w:val="auto"/>
        </w:rPr>
      </w:pPr>
    </w:p>
    <w:p>
      <w:pPr>
        <w:ind w:left="863" w:hanging="429"/>
        <w:spacing w:after="0"/>
        <w:tabs>
          <w:tab w:leader="none" w:pos="863"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makes a general assignment for the benefit of its creditors,</w:t>
      </w:r>
    </w:p>
    <w:p>
      <w:pPr>
        <w:spacing w:after="0" w:line="8" w:lineRule="exact"/>
        <w:rPr>
          <w:rFonts w:ascii="Courier New" w:cs="Courier New" w:eastAsia="Courier New" w:hAnsi="Courier New"/>
          <w:sz w:val="14"/>
          <w:szCs w:val="14"/>
          <w:color w:val="auto"/>
        </w:rPr>
      </w:pPr>
    </w:p>
    <w:p>
      <w:pPr>
        <w:ind w:left="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w:t>
      </w:r>
    </w:p>
    <w:p>
      <w:pPr>
        <w:spacing w:after="0" w:line="175" w:lineRule="exact"/>
        <w:rPr>
          <w:rFonts w:ascii="Courier New" w:cs="Courier New" w:eastAsia="Courier New" w:hAnsi="Courier New"/>
          <w:sz w:val="14"/>
          <w:szCs w:val="14"/>
          <w:color w:val="auto"/>
        </w:rPr>
      </w:pPr>
    </w:p>
    <w:p>
      <w:pPr>
        <w:ind w:left="783" w:hanging="349"/>
        <w:spacing w:after="0"/>
        <w:tabs>
          <w:tab w:leader="none" w:pos="783"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generally is not paying its debts as they become due; or</w:t>
      </w:r>
    </w:p>
    <w:p>
      <w:pPr>
        <w:spacing w:after="0" w:line="175" w:lineRule="exact"/>
        <w:rPr>
          <w:rFonts w:ascii="Courier New" w:cs="Courier New" w:eastAsia="Courier New" w:hAnsi="Courier New"/>
          <w:sz w:val="14"/>
          <w:szCs w:val="14"/>
          <w:color w:val="auto"/>
        </w:rPr>
      </w:pPr>
    </w:p>
    <w:p>
      <w:pPr>
        <w:ind w:left="-437" w:right="3379" w:firstLine="437"/>
        <w:spacing w:after="0" w:line="258" w:lineRule="auto"/>
        <w:tabs>
          <w:tab w:leader="none" w:pos="344"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court of competent jurisdiction enters an order or decree under any Bankruptcy Law that:</w:t>
      </w:r>
    </w:p>
    <w:p>
      <w:pPr>
        <w:spacing w:after="0" w:line="159" w:lineRule="exact"/>
        <w:rPr>
          <w:rFonts w:ascii="Courier New" w:cs="Courier New" w:eastAsia="Courier New" w:hAnsi="Courier New"/>
          <w:sz w:val="14"/>
          <w:szCs w:val="14"/>
          <w:color w:val="auto"/>
        </w:rPr>
      </w:pPr>
    </w:p>
    <w:p>
      <w:pPr>
        <w:ind w:left="3" w:right="3459" w:firstLine="431"/>
        <w:spacing w:after="0" w:line="255" w:lineRule="auto"/>
        <w:tabs>
          <w:tab w:leader="none" w:pos="784"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for relief against the Company or any of its Significant Subsidiaries or any group of Subsidiaries that, taken as a whole, would constitute a Significant Subsidiary in an involuntary case;</w:t>
      </w:r>
    </w:p>
    <w:p>
      <w:pPr>
        <w:spacing w:after="0" w:line="162" w:lineRule="exact"/>
        <w:rPr>
          <w:rFonts w:ascii="Courier New" w:cs="Courier New" w:eastAsia="Courier New" w:hAnsi="Courier New"/>
          <w:sz w:val="14"/>
          <w:szCs w:val="14"/>
          <w:color w:val="auto"/>
        </w:rPr>
      </w:pPr>
    </w:p>
    <w:p>
      <w:pPr>
        <w:ind w:left="3" w:right="3279" w:firstLine="431"/>
        <w:spacing w:after="0" w:line="255" w:lineRule="auto"/>
        <w:tabs>
          <w:tab w:leader="none" w:pos="871" w:val="left"/>
        </w:tabs>
        <w:numPr>
          <w:ilvl w:val="1"/>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appoints a custodian of the Company or any of its Significant Subsidiaries or any group of Subsidiaries that, taken as a whole, would constitute a Significant Subsidiary or for all or</w:t>
      </w:r>
    </w:p>
    <w:p>
      <w:pPr>
        <w:spacing w:after="0" w:line="162" w:lineRule="exact"/>
        <w:rPr>
          <w:sz w:val="20"/>
          <w:szCs w:val="20"/>
          <w:color w:val="auto"/>
        </w:rPr>
      </w:pPr>
    </w:p>
    <w:p>
      <w:pPr>
        <w:ind w:left="2523"/>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9362"/>
          </w:cols>
          <w:pgMar w:left="1097" w:top="620" w:right="1440" w:bottom="1440" w:gutter="0" w:footer="0" w:header="0"/>
        </w:sectPr>
      </w:pPr>
    </w:p>
    <w:bookmarkStart w:id="173" w:name="page174"/>
    <w:bookmarkEnd w:id="173"/>
    <w:p>
      <w:pPr>
        <w:ind w:left="880" w:right="3279"/>
        <w:spacing w:after="0" w:line="255" w:lineRule="auto"/>
        <w:rPr>
          <w:sz w:val="20"/>
          <w:szCs w:val="20"/>
          <w:color w:val="auto"/>
        </w:rPr>
      </w:pPr>
      <w:r>
        <w:rPr>
          <w:rFonts w:ascii="Courier New" w:cs="Courier New" w:eastAsia="Courier New" w:hAnsi="Courier New"/>
          <w:sz w:val="14"/>
          <w:szCs w:val="14"/>
          <w:color w:val="auto"/>
        </w:rPr>
        <w:t>substantially all of the property of the Company or any of its Significant Subsidiaries or any group of Subsidiaries that, taken as a whole, would constitute a Significant Subsidiary; or</w:t>
      </w:r>
    </w:p>
    <w:p>
      <w:pPr>
        <w:spacing w:after="0" w:line="162" w:lineRule="exact"/>
        <w:rPr>
          <w:sz w:val="20"/>
          <w:szCs w:val="20"/>
          <w:color w:val="auto"/>
        </w:rPr>
      </w:pPr>
    </w:p>
    <w:p>
      <w:pPr>
        <w:ind w:left="880" w:right="3279" w:firstLine="431"/>
        <w:spacing w:after="0" w:line="255" w:lineRule="auto"/>
        <w:tabs>
          <w:tab w:leader="none" w:pos="1835"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orders the liquidation of the Company or any of its Significant Subsidiaries or any group of Subsidiaries that, taken as a whole, would constitute a Significant Subsidiary;</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and the order or decree remains unstayed and in effect for 60 consecutive days; or</w:t>
      </w:r>
    </w:p>
    <w:p>
      <w:pPr>
        <w:spacing w:after="0" w:line="160" w:lineRule="exact"/>
        <w:rPr>
          <w:sz w:val="20"/>
          <w:szCs w:val="20"/>
          <w:color w:val="auto"/>
        </w:rPr>
      </w:pPr>
    </w:p>
    <w:p>
      <w:pPr>
        <w:ind w:right="3279" w:firstLine="443"/>
        <w:spacing w:after="0" w:line="253" w:lineRule="auto"/>
        <w:tabs>
          <w:tab w:leader="none" w:pos="781"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permitted by this Indenture, any Subsidiary Guarantee of a Significant Subsidiary is held in any judicial proceeding to be unenforceable or invalid or shall cease for any reason to be in full force and effect or any Significant Subsidiary that is a Guarantor, or any Person acting on behalf of any such Guarantor, shall deny or disaffirm its obligations under such Guarantor's Subsidiary Guarantee.</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6.02.</w:t>
        <w:tab/>
        <w:t>Acceleration.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any Event of Default (other than an Event of Default specified in clause</w:t>
      </w:r>
    </w:p>
    <w:p>
      <w:pPr>
        <w:spacing w:after="0" w:line="8" w:lineRule="exact"/>
        <w:rPr>
          <w:sz w:val="20"/>
          <w:szCs w:val="20"/>
          <w:color w:val="auto"/>
        </w:rPr>
      </w:pPr>
    </w:p>
    <w:p>
      <w:pPr>
        <w:ind w:right="3279" w:firstLine="9"/>
        <w:spacing w:after="0" w:line="252" w:lineRule="auto"/>
        <w:tabs>
          <w:tab w:leader="none" w:pos="347"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(i) of Section 6.01 hereof with respect to the Company, any Significant Subsidiary or any group of Significant Subsidiaries that, taken as a whole, would constitute a Significant Subsidiary) occurs and is continuing, the Trustee or the Holders of at least 25% in principal amount of the then outstanding Notes may declare all the Notes to be due and payable immediately. Upon any such declaration, the Notes shall become due and payable immediately. Notwithstanding the foregoing, if an Event of Default specified in clause (h) or</w:t>
      </w:r>
    </w:p>
    <w:p>
      <w:pPr>
        <w:spacing w:after="0" w:line="2"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6.01 hereof occurs with respect to the Company, any of its</w:t>
      </w:r>
    </w:p>
    <w:p>
      <w:pPr>
        <w:spacing w:after="0" w:line="8" w:lineRule="exact"/>
        <w:rPr>
          <w:rFonts w:ascii="Courier New" w:cs="Courier New" w:eastAsia="Courier New" w:hAnsi="Courier New"/>
          <w:sz w:val="14"/>
          <w:szCs w:val="14"/>
          <w:color w:val="auto"/>
        </w:rPr>
      </w:pPr>
    </w:p>
    <w:p>
      <w:pPr>
        <w:ind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Subsidiaries or any group of Subsidiaries that, taken as a whole, would constitute a Significant Subsidiary, all outstanding Notes shall be due and payable immediately without further action or notice. The Holders of a majority in aggregate 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principal, interest or premium that has become due solely because of the acceleration) have been cured or waived.</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event of a declaration of acceleration of the Notes because an Event of Default has occurred and is continuing as a result of the acceleration of any Indebtedness described in clause (f) of Section 6.01, the declaration of acceleration of the Notes shall be automatically annulled if the holders of any Indebtedness described in clause (f) of Section 6.01 have rescinded the declaration of acceleration in respect of the Indebtedness within 30 days of the date of the declaration and if (i) the annulment of the acceleration of Notes would not conflict with any judgment or decree of a court of competent jurisdiction; and (ii) all existing Events of Default, except nonpayment of principal or interest on the Notes that became due solely because of the acceleration of the Notes, have been cured or waived.</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If an Event of Default occurs on or after July 1, 2006 by reason of any willful action (or inaction) taken (or not taken) by or on behalf of the Company with the intention of avoiding payment of the premium that the Company would have had to pay if the Company then had elected to redeem the Notes pursuant to Section 3.07 hereof, then, upon acceleration of the Notes, an equivalent premium shall also become and be immediately due and payable, to the extent permitted by law, anything in this Indenture or in the Notes to the contrary notwithstanding. If an Event of Default occurs prior to July 1, 2006 by reason of any willful action (or inaction) taken (or not taken) by or on behalf of the Company with the intention of avoiding the prohibition on redemption of the Notes prior to such date, then, upon acceleration of the Notes, an additional premium shall also become and be immediately due and payable in an amount, for each of the years beginning on July 1 of the years set forth below, as set forth below (expressed as a percentage of the principal amount of the Notes on the date of payment that would otherwise be due but for the provisions of this sentence):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20"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4"/>
          <w:szCs w:val="14"/>
          <w:color w:val="auto"/>
        </w:rPr>
        <w:t>Year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and thereafter............................................................</w:t>
            </w:r>
          </w:p>
        </w:tc>
      </w:tr>
    </w:tbl>
    <w:p>
      <w:pPr>
        <w:spacing w:after="0" w:line="200" w:lineRule="exact"/>
        <w:rPr>
          <w:sz w:val="20"/>
          <w:szCs w:val="20"/>
          <w:color w:val="auto"/>
        </w:rPr>
      </w:pPr>
    </w:p>
    <w:p>
      <w:pPr>
        <w:spacing w:after="0" w:line="30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6.03.</w:t>
        <w:tab/>
        <w:t>Other Remedies.</w:t>
      </w:r>
    </w:p>
    <w:p>
      <w:pPr>
        <w:spacing w:after="0" w:line="175" w:lineRule="exact"/>
        <w:rPr>
          <w:sz w:val="20"/>
          <w:szCs w:val="20"/>
          <w:color w:val="auto"/>
        </w:rPr>
      </w:pPr>
    </w:p>
    <w:p>
      <w:pPr>
        <w:ind w:firstLine="434"/>
        <w:spacing w:after="0" w:line="254" w:lineRule="auto"/>
        <w:rPr>
          <w:sz w:val="20"/>
          <w:szCs w:val="20"/>
          <w:color w:val="auto"/>
        </w:rPr>
      </w:pPr>
      <w:r>
        <w:rPr>
          <w:rFonts w:ascii="Courier New" w:cs="Courier New" w:eastAsia="Courier New" w:hAnsi="Courier New"/>
          <w:sz w:val="14"/>
          <w:szCs w:val="14"/>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63" w:lineRule="exact"/>
        <w:rPr>
          <w:sz w:val="20"/>
          <w:szCs w:val="20"/>
          <w:color w:val="auto"/>
        </w:rPr>
      </w:pPr>
    </w:p>
    <w:p>
      <w:pPr>
        <w:ind w:firstLine="434"/>
        <w:spacing w:after="0" w:line="253" w:lineRule="auto"/>
        <w:rPr>
          <w:sz w:val="20"/>
          <w:szCs w:val="20"/>
          <w:color w:val="auto"/>
        </w:rPr>
      </w:pPr>
      <w:r>
        <w:rPr>
          <w:rFonts w:ascii="Courier New" w:cs="Courier New" w:eastAsia="Courier New" w:hAnsi="Courier New"/>
          <w:sz w:val="14"/>
          <w:szCs w:val="14"/>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6.04.</w:t>
        <w:tab/>
        <w:t>Waiver of Past Defaults.</w:t>
      </w:r>
    </w:p>
    <w:p>
      <w:pPr>
        <w:spacing w:after="0" w:line="175" w:lineRule="exact"/>
        <w:rPr>
          <w:sz w:val="20"/>
          <w:szCs w:val="20"/>
          <w:color w:val="auto"/>
        </w:rPr>
      </w:pPr>
    </w:p>
    <w:p>
      <w:pPr>
        <w:ind w:firstLine="434"/>
        <w:spacing w:after="0" w:line="253" w:lineRule="auto"/>
        <w:rPr>
          <w:sz w:val="20"/>
          <w:szCs w:val="20"/>
          <w:color w:val="auto"/>
        </w:rPr>
      </w:pPr>
      <w:r>
        <w:rPr>
          <w:rFonts w:ascii="Courier New" w:cs="Courier New" w:eastAsia="Courier New" w:hAnsi="Courier New"/>
          <w:sz w:val="14"/>
          <w:szCs w:val="14"/>
          <w:color w:val="auto"/>
        </w:rPr>
        <w:t>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and Liquidated Damages, if any, or interest on, the Notes (including in connection with an offer to purchase) (provided, however,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33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6.05.</w:t>
        <w:tab/>
        <w:t>Control by Majority.</w:t>
      </w:r>
    </w:p>
    <w:p>
      <w:pPr>
        <w:spacing w:after="0" w:line="175" w:lineRule="exact"/>
        <w:rPr>
          <w:sz w:val="20"/>
          <w:szCs w:val="20"/>
          <w:color w:val="auto"/>
        </w:rPr>
      </w:pPr>
    </w:p>
    <w:p>
      <w:pPr>
        <w:ind w:firstLine="434"/>
        <w:spacing w:after="0" w:line="253" w:lineRule="auto"/>
        <w:rPr>
          <w:sz w:val="20"/>
          <w:szCs w:val="20"/>
          <w:color w:val="auto"/>
        </w:rPr>
      </w:pPr>
      <w:r>
        <w:rPr>
          <w:rFonts w:ascii="Courier New" w:cs="Courier New" w:eastAsia="Courier New" w:hAnsi="Courier New"/>
          <w:sz w:val="14"/>
          <w:szCs w:val="14"/>
          <w:color w:val="auto"/>
        </w:rPr>
        <w:t>Holders of a majority in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Notes or that may involve the Trustee in personal liability.</w:t>
      </w:r>
    </w:p>
    <w:p>
      <w:pPr>
        <w:spacing w:after="0" w:line="33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6.06.</w:t>
        <w:tab/>
        <w:t>Limitation on Suits.</w:t>
      </w:r>
    </w:p>
    <w:p>
      <w:pPr>
        <w:spacing w:after="0" w:line="175" w:lineRule="exact"/>
        <w:rPr>
          <w:sz w:val="20"/>
          <w:szCs w:val="20"/>
          <w:color w:val="auto"/>
        </w:rPr>
      </w:pPr>
    </w:p>
    <w:p>
      <w:pPr>
        <w:ind w:right="260" w:firstLine="434"/>
        <w:spacing w:after="0" w:line="258" w:lineRule="auto"/>
        <w:rPr>
          <w:sz w:val="20"/>
          <w:szCs w:val="20"/>
          <w:color w:val="auto"/>
        </w:rPr>
      </w:pPr>
      <w:r>
        <w:rPr>
          <w:rFonts w:ascii="Courier New" w:cs="Courier New" w:eastAsia="Courier New" w:hAnsi="Courier New"/>
          <w:sz w:val="14"/>
          <w:szCs w:val="14"/>
          <w:color w:val="auto"/>
        </w:rPr>
        <w:t>A Holder of a Note may pursue a remedy with respect to this Indenture or the Notes only if:</w:t>
      </w:r>
    </w:p>
    <w:p>
      <w:pPr>
        <w:spacing w:after="0" w:line="160" w:lineRule="exact"/>
        <w:rPr>
          <w:sz w:val="20"/>
          <w:szCs w:val="20"/>
          <w:color w:val="auto"/>
        </w:rPr>
      </w:pPr>
    </w:p>
    <w:p>
      <w:pPr>
        <w:ind w:right="880" w:firstLine="443"/>
        <w:spacing w:after="0" w:line="258" w:lineRule="auto"/>
        <w:tabs>
          <w:tab w:leader="none" w:pos="781"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of a Note gives to the Trustee written notice of a continuing Event of Default;</w:t>
      </w:r>
    </w:p>
    <w:p>
      <w:pPr>
        <w:spacing w:after="0" w:line="159" w:lineRule="exact"/>
        <w:rPr>
          <w:rFonts w:ascii="Courier New" w:cs="Courier New" w:eastAsia="Courier New" w:hAnsi="Courier New"/>
          <w:sz w:val="14"/>
          <w:szCs w:val="14"/>
          <w:color w:val="auto"/>
        </w:rPr>
      </w:pPr>
    </w:p>
    <w:p>
      <w:pPr>
        <w:ind w:firstLine="443"/>
        <w:spacing w:after="0" w:line="258" w:lineRule="auto"/>
        <w:tabs>
          <w:tab w:leader="none" w:pos="781"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at least 25% in principal amount of the then outstanding Notes make a written request to the Trustee to pursue the remedy;</w:t>
      </w:r>
    </w:p>
    <w:p>
      <w:pPr>
        <w:spacing w:after="0" w:line="159" w:lineRule="exact"/>
        <w:rPr>
          <w:rFonts w:ascii="Courier New" w:cs="Courier New" w:eastAsia="Courier New" w:hAnsi="Courier New"/>
          <w:sz w:val="14"/>
          <w:szCs w:val="14"/>
          <w:color w:val="auto"/>
        </w:rPr>
      </w:pPr>
    </w:p>
    <w:p>
      <w:pPr>
        <w:ind w:right="180" w:firstLine="443"/>
        <w:spacing w:after="0" w:line="255" w:lineRule="auto"/>
        <w:tabs>
          <w:tab w:leader="none" w:pos="781"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of a Note or Holders of Notes offer and, if requested, provide to the Trustee indemnity satisfactory to the Trustee against any loss, liability or expense;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Percentage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108.875%</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107.766%</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106.657%</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105.547%</w:t>
      </w:r>
    </w:p>
    <w:p>
      <w:pPr>
        <w:sectPr>
          <w:pgSz w:w="11900" w:h="16838" w:orient="portrait"/>
          <w:cols w:equalWidth="0" w:num="2">
            <w:col w:w="6960" w:space="600"/>
            <w:col w:w="2679"/>
          </w:cols>
          <w:pgMar w:left="220" w:top="954" w:right="1440" w:bottom="1440" w:gutter="0" w:footer="0" w:header="0"/>
        </w:sectPr>
      </w:pPr>
    </w:p>
    <w:bookmarkStart w:id="175" w:name="page176"/>
    <w:bookmarkEnd w:id="175"/>
    <w:p>
      <w:pPr>
        <w:ind w:right="3799" w:firstLine="443"/>
        <w:spacing w:after="0" w:line="255" w:lineRule="auto"/>
        <w:tabs>
          <w:tab w:leader="none" w:pos="781"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does not comply with the request within 60 days after receipt of the request and the offer and, if requested, the provision of indemnity; and</w:t>
      </w:r>
    </w:p>
    <w:p>
      <w:pPr>
        <w:spacing w:after="0" w:line="162" w:lineRule="exact"/>
        <w:rPr>
          <w:rFonts w:ascii="Courier New" w:cs="Courier New" w:eastAsia="Courier New" w:hAnsi="Courier New"/>
          <w:sz w:val="14"/>
          <w:szCs w:val="14"/>
          <w:color w:val="auto"/>
        </w:rPr>
      </w:pPr>
    </w:p>
    <w:p>
      <w:pPr>
        <w:ind w:right="3279" w:firstLine="443"/>
        <w:spacing w:after="0" w:line="254" w:lineRule="auto"/>
        <w:tabs>
          <w:tab w:leader="none" w:pos="781"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such 60-day period the Holders of a majority in principal amount of the then outstanding Notes do not give the Trustee a direction inconsistent with the request. A Holder of a Note may not use this Indenture to prejudice the rights of another Holder of a Note or to obtain a preference or priority over another Holder of a Note.</w:t>
      </w:r>
    </w:p>
    <w:p>
      <w:pPr>
        <w:spacing w:after="0" w:line="16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6.07.</w:t>
        <w:tab/>
        <w:t>Rights of Holders of Notes to Receive Payment.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Notwithstanding any other provision of this Indenture, the right of any Holder of a Note to receive payment of principal, premium and Liquidated Damages,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6.08.</w:t>
        <w:tab/>
        <w:t>Collection Suit by Trustee.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an Event of Default specified in Section 6.01(a) or (b) occurs and is continuing, the Trustee is authorized to recover judgment in its own name and as trustee of an express trust against the Company for the whole amount of principal of, premium and Liquidated Damages,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6.09.</w:t>
        <w:tab/>
        <w:t>Trustee May File Proofs of Claim.</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20" w:right="1440" w:bottom="1440" w:gutter="0" w:footer="0" w:header="0"/>
        </w:sectPr>
      </w:pPr>
    </w:p>
    <w:bookmarkStart w:id="176" w:name="page177"/>
    <w:bookmarkEnd w:id="176"/>
    <w:p>
      <w:pPr>
        <w:spacing w:after="0"/>
        <w:tabs>
          <w:tab w:leader="none" w:pos="1300" w:val="left"/>
        </w:tabs>
        <w:rPr>
          <w:sz w:val="20"/>
          <w:szCs w:val="20"/>
          <w:color w:val="auto"/>
        </w:rPr>
      </w:pPr>
      <w:r>
        <w:rPr>
          <w:rFonts w:ascii="Courier New" w:cs="Courier New" w:eastAsia="Courier New" w:hAnsi="Courier New"/>
          <w:sz w:val="14"/>
          <w:szCs w:val="14"/>
          <w:color w:val="auto"/>
        </w:rPr>
        <w:t>Section 6.10.</w:t>
        <w:tab/>
        <w:t>Priorities.</w:t>
      </w:r>
    </w:p>
    <w:p>
      <w:pPr>
        <w:spacing w:after="0" w:line="17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If the Trustee collects any money pursuant to this Article, it shall pay out the money in the following order:</w:t>
      </w:r>
    </w:p>
    <w:p>
      <w:pPr>
        <w:spacing w:after="0" w:line="160" w:lineRule="exact"/>
        <w:rPr>
          <w:sz w:val="20"/>
          <w:szCs w:val="20"/>
          <w:color w:val="auto"/>
        </w:rPr>
      </w:pPr>
    </w:p>
    <w:p>
      <w:pPr>
        <w:ind w:left="440" w:right="3279" w:firstLine="434"/>
        <w:spacing w:after="0" w:line="254" w:lineRule="auto"/>
        <w:rPr>
          <w:sz w:val="20"/>
          <w:szCs w:val="20"/>
          <w:color w:val="auto"/>
        </w:rPr>
      </w:pPr>
      <w:r>
        <w:rPr>
          <w:rFonts w:ascii="Courier New" w:cs="Courier New" w:eastAsia="Courier New" w:hAnsi="Courier New"/>
          <w:sz w:val="14"/>
          <w:szCs w:val="14"/>
          <w:color w:val="auto"/>
        </w:rPr>
        <w:t>First: to the Trustee, its agents and attorneys for amounts due under Section 7.07 hereof, including payment of all compensation, expense and liabilities incurred, and all advances made, by the Trustee and the costs and expenses of collection;</w:t>
      </w:r>
    </w:p>
    <w:p>
      <w:pPr>
        <w:spacing w:after="0" w:line="163" w:lineRule="exact"/>
        <w:rPr>
          <w:sz w:val="20"/>
          <w:szCs w:val="20"/>
          <w:color w:val="auto"/>
        </w:rPr>
      </w:pPr>
    </w:p>
    <w:p>
      <w:pPr>
        <w:ind w:left="440" w:right="3379" w:firstLine="434"/>
        <w:spacing w:after="0" w:line="254" w:lineRule="auto"/>
        <w:rPr>
          <w:sz w:val="20"/>
          <w:szCs w:val="20"/>
          <w:color w:val="auto"/>
        </w:rPr>
      </w:pPr>
      <w:r>
        <w:rPr>
          <w:rFonts w:ascii="Courier New" w:cs="Courier New" w:eastAsia="Courier New" w:hAnsi="Courier New"/>
          <w:sz w:val="14"/>
          <w:szCs w:val="14"/>
          <w:color w:val="auto"/>
        </w:rPr>
        <w:t>Second: to Holders of Notes for amounts due and unpaid on the Notes for principal, premium and Liquidated Damages, if any, and interest, ratably, without preference or priority of any kind, according to the amounts due and payable on the Notes for principal, premium and Liquidated Damages, if any and interest, respectively; and</w:t>
      </w:r>
    </w:p>
    <w:p>
      <w:pPr>
        <w:spacing w:after="0" w:line="162" w:lineRule="exact"/>
        <w:rPr>
          <w:sz w:val="20"/>
          <w:szCs w:val="20"/>
          <w:color w:val="auto"/>
        </w:rPr>
      </w:pPr>
    </w:p>
    <w:p>
      <w:pPr>
        <w:ind w:left="440" w:right="3899" w:firstLine="434"/>
        <w:spacing w:after="0" w:line="258" w:lineRule="auto"/>
        <w:rPr>
          <w:sz w:val="20"/>
          <w:szCs w:val="20"/>
          <w:color w:val="auto"/>
        </w:rPr>
      </w:pPr>
      <w:r>
        <w:rPr>
          <w:rFonts w:ascii="Courier New" w:cs="Courier New" w:eastAsia="Courier New" w:hAnsi="Courier New"/>
          <w:sz w:val="14"/>
          <w:szCs w:val="14"/>
          <w:color w:val="auto"/>
        </w:rPr>
        <w:t>Third: to the Company or to such party as a court of competent jurisdiction shall direct.</w:t>
      </w:r>
    </w:p>
    <w:p>
      <w:pPr>
        <w:spacing w:after="0" w:line="160"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The Trustee may fix a record date and payment date for any payment to Holders of Notes pursuant to this Section 6.10.</w:t>
      </w:r>
    </w:p>
    <w:p>
      <w:pPr>
        <w:spacing w:after="0" w:line="16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6.11.</w:t>
        <w:tab/>
        <w:t>Undertaking for Costs.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does not apply to a suit by the Trustee, a suit by a Holder of a Note pursuant to Section 6.07 hereof, or a suit by Holders of more than 10% in principal amount of the then outstanding Notes.</w:t>
      </w:r>
    </w:p>
    <w:p>
      <w:pPr>
        <w:spacing w:after="0" w:line="16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7.</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TRUSTEE</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7.01.</w:t>
        <w:tab/>
        <w:t>Duties of Trustee.</w:t>
      </w:r>
    </w:p>
    <w:p>
      <w:pPr>
        <w:spacing w:after="0" w:line="175" w:lineRule="exact"/>
        <w:rPr>
          <w:sz w:val="20"/>
          <w:szCs w:val="20"/>
          <w:color w:val="auto"/>
        </w:rPr>
      </w:pPr>
    </w:p>
    <w:p>
      <w:pPr>
        <w:ind w:right="3279" w:firstLine="443"/>
        <w:spacing w:after="0" w:line="254" w:lineRule="auto"/>
        <w:tabs>
          <w:tab w:leader="none" w:pos="781"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330"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during the continuance of an Event of Default:</w:t>
      </w:r>
    </w:p>
    <w:p>
      <w:pPr>
        <w:spacing w:after="0" w:line="175" w:lineRule="exact"/>
        <w:rPr>
          <w:rFonts w:ascii="Courier New" w:cs="Courier New" w:eastAsia="Courier New" w:hAnsi="Courier New"/>
          <w:sz w:val="14"/>
          <w:szCs w:val="14"/>
          <w:color w:val="auto"/>
        </w:rPr>
      </w:pPr>
    </w:p>
    <w:p>
      <w:pPr>
        <w:ind w:left="440" w:right="3639" w:firstLine="437"/>
        <w:spacing w:after="0" w:line="254" w:lineRule="auto"/>
        <w:tabs>
          <w:tab w:leader="none" w:pos="1221"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62" w:lineRule="exact"/>
        <w:rPr>
          <w:rFonts w:ascii="Courier New" w:cs="Courier New" w:eastAsia="Courier New" w:hAnsi="Courier New"/>
          <w:sz w:val="14"/>
          <w:szCs w:val="14"/>
          <w:color w:val="auto"/>
        </w:rPr>
      </w:pPr>
    </w:p>
    <w:p>
      <w:pPr>
        <w:ind w:left="440" w:right="3279" w:firstLine="437"/>
        <w:spacing w:after="0" w:line="254" w:lineRule="auto"/>
        <w:tabs>
          <w:tab w:leader="none" w:pos="1308" w:val="left"/>
        </w:tabs>
        <w:numPr>
          <w:ilvl w:val="1"/>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20" w:right="1440" w:bottom="1440" w:gutter="0" w:footer="0" w:header="0"/>
        </w:sectPr>
      </w:pPr>
    </w:p>
    <w:bookmarkStart w:id="177" w:name="page178"/>
    <w:bookmarkEnd w:id="177"/>
    <w:p>
      <w:pPr>
        <w:ind w:left="440" w:right="3979"/>
        <w:spacing w:after="0" w:line="255" w:lineRule="auto"/>
        <w:rPr>
          <w:sz w:val="20"/>
          <w:szCs w:val="20"/>
          <w:color w:val="auto"/>
        </w:rPr>
      </w:pPr>
      <w:r>
        <w:rPr>
          <w:rFonts w:ascii="Courier New" w:cs="Courier New" w:eastAsia="Courier New" w:hAnsi="Courier New"/>
          <w:sz w:val="14"/>
          <w:szCs w:val="14"/>
          <w:color w:val="auto"/>
        </w:rPr>
        <w:t>However, the Trustee shall examine the certificates and opinions to determine whether or not they conform to the requirements of this Indenture.</w:t>
      </w:r>
    </w:p>
    <w:p>
      <w:pPr>
        <w:spacing w:after="0" w:line="329" w:lineRule="exact"/>
        <w:rPr>
          <w:sz w:val="20"/>
          <w:szCs w:val="20"/>
          <w:color w:val="auto"/>
        </w:rPr>
      </w:pPr>
    </w:p>
    <w:p>
      <w:pPr>
        <w:jc w:val="both"/>
        <w:ind w:right="3379" w:firstLine="443"/>
        <w:spacing w:after="0" w:line="255" w:lineRule="auto"/>
        <w:tabs>
          <w:tab w:leader="none" w:pos="781"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not be relieved from liabilities for its own negligent action, its own negligent failure to act, or its own willful misconduct, except that:</w:t>
      </w:r>
    </w:p>
    <w:p>
      <w:pPr>
        <w:spacing w:after="0" w:line="162" w:lineRule="exact"/>
        <w:rPr>
          <w:rFonts w:ascii="Courier New" w:cs="Courier New" w:eastAsia="Courier New" w:hAnsi="Courier New"/>
          <w:sz w:val="14"/>
          <w:szCs w:val="14"/>
          <w:color w:val="auto"/>
        </w:rPr>
      </w:pPr>
    </w:p>
    <w:p>
      <w:pPr>
        <w:ind w:left="1220" w:hanging="343"/>
        <w:spacing w:after="0"/>
        <w:tabs>
          <w:tab w:leader="none" w:pos="1220"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paragraph does not limit the effect of paragraph (b) of this</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w:t>
      </w:r>
    </w:p>
    <w:p>
      <w:pPr>
        <w:spacing w:after="0" w:line="175" w:lineRule="exact"/>
        <w:rPr>
          <w:rFonts w:ascii="Courier New" w:cs="Courier New" w:eastAsia="Courier New" w:hAnsi="Courier New"/>
          <w:sz w:val="14"/>
          <w:szCs w:val="14"/>
          <w:color w:val="auto"/>
        </w:rPr>
      </w:pPr>
    </w:p>
    <w:p>
      <w:pPr>
        <w:ind w:left="440" w:right="3279" w:firstLine="437"/>
        <w:spacing w:after="0" w:line="255" w:lineRule="auto"/>
        <w:tabs>
          <w:tab w:leader="none" w:pos="1308"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error of judgment made in good faith by a Trust Officer, unless it is proved that the Trustee was negligent in ascertaining the pertinent facts; and</w:t>
      </w:r>
    </w:p>
    <w:p>
      <w:pPr>
        <w:spacing w:after="0" w:line="162" w:lineRule="exact"/>
        <w:rPr>
          <w:rFonts w:ascii="Courier New" w:cs="Courier New" w:eastAsia="Courier New" w:hAnsi="Courier New"/>
          <w:sz w:val="14"/>
          <w:szCs w:val="14"/>
          <w:color w:val="auto"/>
        </w:rPr>
      </w:pPr>
    </w:p>
    <w:p>
      <w:pPr>
        <w:ind w:left="440" w:right="3539" w:firstLine="437"/>
        <w:spacing w:after="0" w:line="255" w:lineRule="auto"/>
        <w:tabs>
          <w:tab w:leader="none" w:pos="1395"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with respect to any action it takes or omits to take in good faith in accordance with a direction received by it pursuant to Section 6.05 hereof.</w:t>
      </w:r>
    </w:p>
    <w:p>
      <w:pPr>
        <w:spacing w:after="0" w:line="162" w:lineRule="exact"/>
        <w:rPr>
          <w:rFonts w:ascii="Courier New" w:cs="Courier New" w:eastAsia="Courier New" w:hAnsi="Courier New"/>
          <w:sz w:val="14"/>
          <w:szCs w:val="14"/>
          <w:color w:val="auto"/>
        </w:rPr>
      </w:pPr>
    </w:p>
    <w:p>
      <w:pPr>
        <w:jc w:val="both"/>
        <w:ind w:right="3459" w:firstLine="443"/>
        <w:spacing w:after="0" w:line="255" w:lineRule="auto"/>
        <w:tabs>
          <w:tab w:leader="none" w:pos="781"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therein expressly so provided, every provision of this Indenture that in any way relates to the Trustee is subject to paragraphs (a), (b), and (c) of this Section.</w:t>
      </w:r>
    </w:p>
    <w:p>
      <w:pPr>
        <w:spacing w:after="0" w:line="162" w:lineRule="exact"/>
        <w:rPr>
          <w:rFonts w:ascii="Courier New" w:cs="Courier New" w:eastAsia="Courier New" w:hAnsi="Courier New"/>
          <w:sz w:val="14"/>
          <w:szCs w:val="14"/>
          <w:color w:val="auto"/>
        </w:rPr>
      </w:pPr>
    </w:p>
    <w:p>
      <w:pPr>
        <w:ind w:right="3379" w:firstLine="443"/>
        <w:spacing w:after="0" w:line="254" w:lineRule="auto"/>
        <w:tabs>
          <w:tab w:leader="none" w:pos="781"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this Indenture shall require the Trustee to expend or risk its own funds or incur any liability. The Trustee shall be under no obligation to exercise any of its rights and powers under this Indenture at the request of any Holders, unless such Holder shall have offered to the Trustee security and indemnity satisfactory to it against any loss, liability or expense.</w:t>
      </w:r>
    </w:p>
    <w:p>
      <w:pPr>
        <w:spacing w:after="0" w:line="329" w:lineRule="exact"/>
        <w:rPr>
          <w:rFonts w:ascii="Courier New" w:cs="Courier New" w:eastAsia="Courier New" w:hAnsi="Courier New"/>
          <w:sz w:val="14"/>
          <w:szCs w:val="14"/>
          <w:color w:val="auto"/>
        </w:rPr>
      </w:pPr>
    </w:p>
    <w:p>
      <w:pPr>
        <w:ind w:right="3459" w:firstLine="443"/>
        <w:spacing w:after="0" w:line="254" w:lineRule="auto"/>
        <w:tabs>
          <w:tab w:leader="none" w:pos="781"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6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7.02.</w:t>
        <w:tab/>
        <w:t>Rights of Trustee.</w:t>
      </w:r>
    </w:p>
    <w:p>
      <w:pPr>
        <w:spacing w:after="0" w:line="175" w:lineRule="exact"/>
        <w:rPr>
          <w:sz w:val="20"/>
          <w:szCs w:val="20"/>
          <w:color w:val="auto"/>
        </w:rPr>
      </w:pPr>
    </w:p>
    <w:p>
      <w:pPr>
        <w:ind w:right="3459" w:firstLine="443"/>
        <w:spacing w:after="0" w:line="255" w:lineRule="auto"/>
        <w:tabs>
          <w:tab w:leader="none" w:pos="781"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conclusively rely upon any document believed by it to be genuine and to have been signed or presented by the proper Person. The Trustee need not investigate any fact or matter stated in the document.</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331" w:lineRule="exact"/>
        <w:rPr>
          <w:rFonts w:ascii="Courier New" w:cs="Courier New" w:eastAsia="Courier New" w:hAnsi="Courier New"/>
          <w:sz w:val="14"/>
          <w:szCs w:val="14"/>
          <w:color w:val="auto"/>
        </w:rPr>
      </w:pPr>
    </w:p>
    <w:p>
      <w:pPr>
        <w:ind w:right="3459" w:firstLine="443"/>
        <w:spacing w:after="0" w:line="255" w:lineRule="auto"/>
        <w:tabs>
          <w:tab w:leader="none" w:pos="781"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act through its attorneys and agents and shall not be responsible for the misconduct or negligence of any agent appointed with due care.</w:t>
      </w:r>
    </w:p>
    <w:p>
      <w:pPr>
        <w:spacing w:after="0" w:line="162" w:lineRule="exact"/>
        <w:rPr>
          <w:rFonts w:ascii="Courier New" w:cs="Courier New" w:eastAsia="Courier New" w:hAnsi="Courier New"/>
          <w:sz w:val="14"/>
          <w:szCs w:val="14"/>
          <w:color w:val="auto"/>
        </w:rPr>
      </w:pPr>
    </w:p>
    <w:p>
      <w:pPr>
        <w:jc w:val="both"/>
        <w:ind w:right="3639" w:firstLine="443"/>
        <w:spacing w:after="0" w:line="255" w:lineRule="auto"/>
        <w:tabs>
          <w:tab w:leader="none" w:pos="781"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action it takes or omits to take in good faith that it believes to be authorized or within the rights or powers conferred upon it by this Indenture.</w:t>
      </w:r>
    </w:p>
    <w:p>
      <w:pPr>
        <w:spacing w:after="0" w:line="162" w:lineRule="exact"/>
        <w:rPr>
          <w:rFonts w:ascii="Courier New" w:cs="Courier New" w:eastAsia="Courier New" w:hAnsi="Courier New"/>
          <w:sz w:val="14"/>
          <w:szCs w:val="14"/>
          <w:color w:val="auto"/>
        </w:rPr>
      </w:pPr>
    </w:p>
    <w:p>
      <w:pPr>
        <w:ind w:right="3379" w:firstLine="443"/>
        <w:spacing w:after="0" w:line="254" w:lineRule="auto"/>
        <w:tabs>
          <w:tab w:leader="none" w:pos="781"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rights or powers vested in it by this Indenture at the request or direction of any of the Holders unless such Holders shall have offered to the Trustee reasonable security or indemnity against the costs, expenses and liabilities that might be incurred by it in compliance with such request or direction.</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20" w:right="1440" w:bottom="1440" w:gutter="0" w:footer="0" w:header="0"/>
        </w:sectPr>
      </w:pPr>
    </w:p>
    <w:bookmarkStart w:id="178" w:name="page179"/>
    <w:bookmarkEnd w:id="178"/>
    <w:p>
      <w:pPr>
        <w:spacing w:after="0"/>
        <w:tabs>
          <w:tab w:leader="none" w:pos="1300" w:val="left"/>
        </w:tabs>
        <w:rPr>
          <w:sz w:val="20"/>
          <w:szCs w:val="20"/>
          <w:color w:val="auto"/>
        </w:rPr>
      </w:pPr>
      <w:r>
        <w:rPr>
          <w:rFonts w:ascii="Courier New" w:cs="Courier New" w:eastAsia="Courier New" w:hAnsi="Courier New"/>
          <w:sz w:val="14"/>
          <w:szCs w:val="14"/>
          <w:color w:val="auto"/>
        </w:rPr>
        <w:t>Section 7.03.</w:t>
        <w:tab/>
        <w:t>Individual Rights of Trustee.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Trustee in its individual or any other capacity may become the owner or pledgee of Notes and may otherwise deal with the Company or any Affiliate of the Company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Sections 7.10 and 7.11 hereof.</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7.04.</w:t>
        <w:tab/>
        <w:t>Trustee's Disclaimer.</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Trustee shall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6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7.05.</w:t>
        <w:tab/>
        <w:t>Notice of Defaults.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a Default or Event of Default occurs and is continuing and if it is known to the Trustee, the Trustee shall mail to Holders of Notes a notice of the Default or Event of Default within 90 days after it occurs. Except in the case of a Default or Event of Default in payment of principal of, premium, if any, or interest on any Note, the Trustee may withhold the notice if and so long as a committee of its Trust Officers in good faith determines that withholding the notice is in the interests of the Holders of the Notes.</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7.06.</w:t>
        <w:tab/>
        <w:t>Reports by Trustee to Holders of the Notes.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Within 60 days after each May 15 beginning May 15, 2002, and for so long as Notes remain outstanding, the Trustee shall mail to the Holders of the Notes a brief report dated as of such reporting date that complies with TIA (S) 313(a) (but if no event described in TIA (S) 313(a) has occurred within the twelve months preceding the reporting date, no report need be transmitted). The Trustee also shall comply with TIA (S) 313(b)(2). The Trustee shall also transmit by mail all reports as required by TIA (S) 313(c).</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 copy of each report at the time of its mailing to the Holders of Notes shall be mailed to the Company and filed with the SEC and each stock exchange on which the Notes are listed in accordance with TIA (S) 313(d). The Company shall promptly notify the Trustee when the Notes are listed on any stock exchange.</w:t>
      </w:r>
    </w:p>
    <w:p>
      <w:pPr>
        <w:spacing w:after="0" w:line="16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7.07.</w:t>
        <w:tab/>
        <w:t>Compensation and Indemnity.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shall pay to the Trustee from time to time reasonable compensation for its acceptance of this Indenture and services hereunder. The Trustee's compensation shall not be limited by any law on compensation of a trustee of an express trust. The Company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20" w:right="1440" w:bottom="1440" w:gutter="0" w:footer="0" w:header="0"/>
        </w:sectPr>
      </w:pPr>
    </w:p>
    <w:bookmarkStart w:id="179" w:name="page180"/>
    <w:bookmarkEnd w:id="179"/>
    <w:p>
      <w:pPr>
        <w:ind w:right="3279" w:firstLine="434"/>
        <w:spacing w:after="0" w:line="252" w:lineRule="auto"/>
        <w:rPr>
          <w:sz w:val="20"/>
          <w:szCs w:val="20"/>
          <w:color w:val="auto"/>
        </w:rPr>
      </w:pPr>
      <w:r>
        <w:rPr>
          <w:rFonts w:ascii="Courier New" w:cs="Courier New" w:eastAsia="Courier New" w:hAnsi="Courier New"/>
          <w:sz w:val="14"/>
          <w:szCs w:val="14"/>
          <w:color w:val="auto"/>
        </w:rPr>
        <w:t>The Company shall indemnify the Trustee against any and all losses, liabilities or expenses incurred by it arising out of or in connection with the acceptance or administration of its duties under this Indenture, including the costs and expenses of enforcing this Indenture against the Company (including this Section 7.07) and defending itself against any claim (whether asserted by the Company or any Holder or any other person) or liability in connection with the exercise or performance of any of its powers or duties hereunder, except to the extent any such loss, liability or expense may be attributable to its negligence or bad faith. The Trustee shall notify the Company promptly of any claim for which it may seek indemnity. Failure by the Trustee to so notify the Company shall not relieve the Company of its obligations hereunder. The Company shall defend the claim and the Trustee shall cooperate in the defense. The Trustee may have separate counsel and the Company shall pay the reasonable fees and expenses of such counsel. The Company need not pay for any settlement made without its consent, which consent shall not be unreasonably withheld.</w:t>
      </w:r>
    </w:p>
    <w:p>
      <w:pPr>
        <w:spacing w:after="0" w:line="173"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obligations of the Company under this Section 7.07 shall survive the satisfaction and discharge of this Indenture.</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To secure the Company's payment obligations in this Section, the Trustee shall have a Lien prior to the Notes on all money or property held or collected by the Trustee, except that held in trust to pay principal and interest on particular Notes. Such Lien shall survive the satisfaction and discharge of this Indenture. The obligations of the Company to pay amounts to the Trustee pursuant to this Section 7.07 shall not be subordinate to other indebtedness or obligations of the Company.</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When the Trustee incurs expenses or renders services after an Event of Default specified in Section 6.01(h) or (i) hereof occurs, the expenses and the compensation for the services (including the fees and expenses of its agents and counsel) are intended to constitute expenses of administration under any Bankruptcy Law.</w:t>
      </w:r>
    </w:p>
    <w:p>
      <w:pPr>
        <w:spacing w:after="0" w:line="162"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Trustee shall comply with the provisions of TIA (S) 313(b)(2) to the extent applicable.</w:t>
      </w:r>
    </w:p>
    <w:p>
      <w:pPr>
        <w:spacing w:after="0" w:line="16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7.08.</w:t>
        <w:tab/>
        <w:t>Replacement of Trustee.</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 resignation or removal of the Trustee and appointment of a successor Trustee shall become effective only upon the successor Trustee's acceptance of appointment as provided in this Section.</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Trustee may resign in writing at any time and be discharged from the trust hereby created by so notifying the Company. The Holders of a majority in principal amount of the then outstanding Notes may remove the Trustee by so notifying the Trustee and the Company in writing. The Company may remove the Trustee if:</w:t>
      </w:r>
    </w:p>
    <w:p>
      <w:pPr>
        <w:spacing w:after="0" w:line="162" w:lineRule="exact"/>
        <w:rPr>
          <w:sz w:val="20"/>
          <w:szCs w:val="20"/>
          <w:color w:val="auto"/>
        </w:rPr>
      </w:pPr>
    </w:p>
    <w:p>
      <w:pPr>
        <w:ind w:left="800" w:hanging="357"/>
        <w:spacing w:after="0"/>
        <w:tabs>
          <w:tab w:leader="none" w:pos="80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fails to comply with Section 7.10 hereof;</w:t>
      </w:r>
    </w:p>
    <w:p>
      <w:pPr>
        <w:spacing w:after="0" w:line="175" w:lineRule="exact"/>
        <w:rPr>
          <w:rFonts w:ascii="Courier New" w:cs="Courier New" w:eastAsia="Courier New" w:hAnsi="Courier New"/>
          <w:sz w:val="14"/>
          <w:szCs w:val="14"/>
          <w:color w:val="auto"/>
        </w:rPr>
      </w:pPr>
    </w:p>
    <w:p>
      <w:pPr>
        <w:ind w:right="3719" w:firstLine="443"/>
        <w:spacing w:after="0" w:line="258" w:lineRule="auto"/>
        <w:tabs>
          <w:tab w:leader="none" w:pos="781"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is adjudged a bankrupt or an insolvent or an order for relief is entered with respect to the Trustee under any Bankruptcy Law;</w:t>
      </w:r>
    </w:p>
    <w:p>
      <w:pPr>
        <w:spacing w:after="0" w:line="159" w:lineRule="exact"/>
        <w:rPr>
          <w:rFonts w:ascii="Courier New" w:cs="Courier New" w:eastAsia="Courier New" w:hAnsi="Courier New"/>
          <w:sz w:val="14"/>
          <w:szCs w:val="14"/>
          <w:color w:val="auto"/>
        </w:rPr>
      </w:pPr>
    </w:p>
    <w:p>
      <w:pPr>
        <w:ind w:right="3899" w:firstLine="443"/>
        <w:spacing w:after="0" w:line="258" w:lineRule="auto"/>
        <w:tabs>
          <w:tab w:leader="none" w:pos="781"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custodian or public officer takes charge of the Trustee or its property; or</w:t>
      </w:r>
    </w:p>
    <w:p>
      <w:pPr>
        <w:spacing w:after="0" w:line="159"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becomes incapable of acting.</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If the Trustee resigns or is removed or if a vacancy exists in the office of Trustee for any reason, the Company shall promptly appoint a successor Trustee. Within one year after the successor Trustee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20" w:right="1440" w:bottom="1440" w:gutter="0" w:footer="0" w:header="0"/>
        </w:sectPr>
      </w:pPr>
    </w:p>
    <w:bookmarkStart w:id="180" w:name="page181"/>
    <w:bookmarkEnd w:id="180"/>
    <w:p>
      <w:pPr>
        <w:ind w:right="3799"/>
        <w:spacing w:after="0" w:line="255" w:lineRule="auto"/>
        <w:rPr>
          <w:sz w:val="20"/>
          <w:szCs w:val="20"/>
          <w:color w:val="auto"/>
        </w:rPr>
      </w:pPr>
      <w:r>
        <w:rPr>
          <w:rFonts w:ascii="Courier New" w:cs="Courier New" w:eastAsia="Courier New" w:hAnsi="Courier New"/>
          <w:sz w:val="14"/>
          <w:szCs w:val="14"/>
          <w:color w:val="auto"/>
        </w:rPr>
        <w:t>takes office, the Holders of a majority in principal amount of the then outstanding Notes may appoint a successor Trustee to replace the successor Trustee appointed by the Company.</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If a successor Trustee does not take office within 60 days after the retiring Trustee resigns or is removed, the retiring Trustee, the Company, or the Holders of at least 10% in principal amount of the then outstanding Notes may petition any court of competent jurisdiction for the appointment of a successor Trustee.</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63"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provided all sums owing to the Trustee hereunder have been paid and subject to the Lien provided for in Section 7.07 hereof. Notwithstanding replacement of the Trustee pursuant to this Section</w:t>
      </w:r>
    </w:p>
    <w:p>
      <w:pPr>
        <w:spacing w:after="0" w:line="3"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7.08, the Company's obligations under Section 7.07 hereof shall continue for the benefit of the retiring Trustee.</w:t>
      </w:r>
    </w:p>
    <w:p>
      <w:pPr>
        <w:spacing w:after="0" w:line="16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7.09.</w:t>
        <w:tab/>
        <w:t>Successor Trustee by Merger, etc.</w:t>
      </w:r>
    </w:p>
    <w:p>
      <w:pPr>
        <w:spacing w:after="0" w:line="175"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16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7.10.</w:t>
        <w:tab/>
        <w:t>Eligibility; Disqualification.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 million as set forth in its most recent published annual report of condition.</w:t>
      </w:r>
    </w:p>
    <w:p>
      <w:pPr>
        <w:spacing w:after="0" w:line="16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This Indenture shall always have a Trustee who satisfies the requirements of TIA (S) 310(a)(1), (2) and (5). The Trustee is subject to TIA (S) 310(b).</w:t>
      </w:r>
    </w:p>
    <w:p>
      <w:pPr>
        <w:spacing w:after="0" w:line="16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7.11.</w:t>
        <w:tab/>
        <w:t>Preferential Collection of Claims Against Company.</w:t>
      </w:r>
    </w:p>
    <w:p>
      <w:pPr>
        <w:spacing w:after="0" w:line="175"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The Trustee is subject to TIA (S) 311(a), excluding any creditor relationship listed in TIA (S) 311(b). A Trustee who has resigned or been removed shall be subject to TIA (S) 311(a) to the extent indicated therein.</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20" w:right="1440" w:bottom="1440" w:gutter="0" w:footer="0" w:header="0"/>
        </w:sectPr>
      </w:pPr>
    </w:p>
    <w:bookmarkStart w:id="181" w:name="page182"/>
    <w:bookmarkEnd w:id="181"/>
    <w:p>
      <w:pPr>
        <w:jc w:val="center"/>
        <w:ind w:right="3279"/>
        <w:spacing w:after="0"/>
        <w:rPr>
          <w:sz w:val="20"/>
          <w:szCs w:val="20"/>
          <w:color w:val="auto"/>
        </w:rPr>
      </w:pPr>
      <w:r>
        <w:rPr>
          <w:rFonts w:ascii="Courier New" w:cs="Courier New" w:eastAsia="Courier New" w:hAnsi="Courier New"/>
          <w:sz w:val="14"/>
          <w:szCs w:val="14"/>
          <w:color w:val="auto"/>
        </w:rPr>
        <w:t>ARTICLE 8.</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LEGAL DEFEASANCE AND COVENANT DEFEASANCE</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8.01.</w:t>
        <w:tab/>
        <w:t>Option to Effect Legal Defeasance or Covenant Defeasance.</w:t>
      </w:r>
    </w:p>
    <w:p>
      <w:pPr>
        <w:spacing w:after="0" w:line="175"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The Company may, at the option of its Board of Directors evidenced by a resolution set forth in an Officers' Certificate, at any time, elect to have either Section 8.02 or 8.03 hereof be applied to all outstanding Notes upon compliance with the conditions set forth below in this Article Eight.</w:t>
      </w:r>
    </w:p>
    <w:p>
      <w:pPr>
        <w:spacing w:after="0" w:line="16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8.02.</w:t>
        <w:tab/>
        <w:t>Legal Defeasance and Discharge.</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Upon the Company's exercise under Section 8.01 hereof of the option applicable to this Section 8.02, the Company shall, subject to the satisfaction of the conditions set forth in Section 8.04 hereof, be deemed to have been discharged from its obligations with respect to all outstanding Notes on the date the conditions set forth below are satisfied (hereinafter, "Legal Defeasance"). For this purpose, Legal Defeasance means that the Company shall be deemed to have paid and discharged the entire Indebtedness represented by the outstanding Notes, which shall thereafter be deemed to be "outstanding" only for the purposes of Section 8.05 hereof and the other Sections of this Indenture referred to in (a) and (b) below, and to have satisfied all its other obligations under such Notes and this Indenture (and the Trustee, on demand of and at the expense of the Company, shall execute proper instruments acknowledging the same), except for the following provisions which shall survive until otherwise terminated or discharged hereunder: (a) the rights of Holders of outstanding Notes to receive solely from the trust fund described in Section 8.04 hereof, and as more fully set forth in such Section, payments in respect of the principal of, premium and Liquidated Damages, if any, and interest on such Notes when such payments are due, (b) the Company's obligations with respect to such Notes under Article 2 and Section 4.02 hereof, (c) the rights, powers, trusts, duties and immunities of the Trustee hereunder and the Company's and the Guarantors' obligations in connection therewith and (d) this Article Eight. Subject to compliance with this Article Eight, the Company may exercise its option under this Section 8.02 notwithstanding the prior exercise of its option under Section 8.03 hereof.</w:t>
      </w:r>
    </w:p>
    <w:p>
      <w:pPr>
        <w:spacing w:after="0" w:line="34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8.03.</w:t>
        <w:tab/>
        <w:t>Covenant Defeasance.</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Upon the Company's exercise under Section 8.01 hereof of the option applicable to this Section 8.03, the Company shall, subject to the satisfaction of the conditions set forth in Section 8.04 hereof, be released from its obligations under the covenants contained in Sections 4.03, 4.05, 4.07, 4.08,</w:t>
      </w:r>
    </w:p>
    <w:p>
      <w:pPr>
        <w:spacing w:after="0" w:line="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4.09, 4.10, 4.11, 4.12, 4.13, 4.15, 4.16, 4.17, 4.18, 4.19 and 4.20 hereof and clause (iv) of Section 5.01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Company's exercise under Section 8.01 hereof of the option applicable to this Section 8.03 hereof, subject to the satisfaction of the conditions set forth in Section 8.04 hereof, Sections 6.01(c) through 6.01(f) hereof shall not constitute Events of Default.</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20" w:right="1440" w:bottom="1440" w:gutter="0" w:footer="0" w:header="0"/>
        </w:sectPr>
      </w:pPr>
    </w:p>
    <w:bookmarkStart w:id="182" w:name="page183"/>
    <w:bookmarkEnd w:id="182"/>
    <w:p>
      <w:pPr>
        <w:spacing w:after="0"/>
        <w:tabs>
          <w:tab w:leader="none" w:pos="1300" w:val="left"/>
        </w:tabs>
        <w:rPr>
          <w:sz w:val="20"/>
          <w:szCs w:val="20"/>
          <w:color w:val="auto"/>
        </w:rPr>
      </w:pPr>
      <w:r>
        <w:rPr>
          <w:rFonts w:ascii="Courier New" w:cs="Courier New" w:eastAsia="Courier New" w:hAnsi="Courier New"/>
          <w:sz w:val="14"/>
          <w:szCs w:val="14"/>
          <w:color w:val="auto"/>
        </w:rPr>
        <w:t>Section 8.04.</w:t>
        <w:tab/>
        <w:t>Conditions to Legal or Covenant Defeasance.</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following shall be the conditions to the application of either Section 8.02 or 8.03 hereof to the outstanding Notes: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order to exercise either Legal Defeasance or Covenant Defeasance:</w:t>
      </w:r>
    </w:p>
    <w:p>
      <w:pPr>
        <w:spacing w:after="0" w:line="175" w:lineRule="exact"/>
        <w:rPr>
          <w:sz w:val="20"/>
          <w:szCs w:val="20"/>
          <w:color w:val="auto"/>
        </w:rPr>
      </w:pPr>
    </w:p>
    <w:p>
      <w:pPr>
        <w:ind w:right="3279" w:firstLine="443"/>
        <w:spacing w:after="0" w:line="253" w:lineRule="auto"/>
        <w:tabs>
          <w:tab w:leader="none" w:pos="781"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must irrevocably deposit with the Trustee, in trust, for the benefit of the Holders, cash in United States dollars, non-callable Government Securities, or a combination thereof, in such amounts as will be sufficient, in the opinion of a nationally recognized firm of independent public accountants, to pay the principal of, premium and Liquidated Damages, if any, and interest on the outstanding Notes on the stated date for payment thereof or on the applicable redemption date, as the case may be;</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election under Section 8.02 hereof, the Company shall have delivered to the Trustee an Opinion of Counsel in the United States reasonably acceptable to the Trustee confirming that (A) the Company has received from, or there has been published by, the Internal Revenue Service a ruling or (B) since the date hereof,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63"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election under Section 8.03 hereof, the Company shall have delivered to the Trustee an Opinion of Counsel in the United States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have occurred and be continuing on the date of such deposit (other than a Default or Event of Default resulting from the incurrence of Indebtedness all or a portion of the proceeds of which will be used to defease the Notes pursuant to this Article Eight concurrently with such incurrence) or insofar as Sections 6.01(h) or 6.01(i) hereof is concerned, at any time in the period ending on the 91st day after the date of deposit;</w:t>
      </w:r>
    </w:p>
    <w:p>
      <w:pPr>
        <w:spacing w:after="0" w:line="332" w:lineRule="exact"/>
        <w:rPr>
          <w:rFonts w:ascii="Courier New" w:cs="Courier New" w:eastAsia="Courier New" w:hAnsi="Courier New"/>
          <w:sz w:val="14"/>
          <w:szCs w:val="14"/>
          <w:color w:val="auto"/>
        </w:rPr>
      </w:pPr>
    </w:p>
    <w:p>
      <w:pPr>
        <w:ind w:right="3279" w:firstLine="443"/>
        <w:spacing w:after="0" w:line="254" w:lineRule="auto"/>
        <w:tabs>
          <w:tab w:leader="none" w:pos="781"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Legal Defeasance or Covenant Defeasance shall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162" w:lineRule="exact"/>
        <w:rPr>
          <w:rFonts w:ascii="Courier New" w:cs="Courier New" w:eastAsia="Courier New" w:hAnsi="Courier New"/>
          <w:sz w:val="14"/>
          <w:szCs w:val="14"/>
          <w:color w:val="auto"/>
        </w:rPr>
      </w:pPr>
    </w:p>
    <w:p>
      <w:pPr>
        <w:ind w:right="3279" w:firstLine="443"/>
        <w:spacing w:after="0" w:line="254" w:lineRule="auto"/>
        <w:tabs>
          <w:tab w:leader="none" w:pos="781"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delivered to the Trustee an Officers' Certificate stating that the deposit was not made by the Company with the intent of preferring the Holders over any other creditors of the Company or with the intent of defeating, hindering, delaying or defrauding any other creditors of the Company; and</w:t>
      </w:r>
    </w:p>
    <w:p>
      <w:pPr>
        <w:spacing w:after="0" w:line="162" w:lineRule="exact"/>
        <w:rPr>
          <w:rFonts w:ascii="Courier New" w:cs="Courier New" w:eastAsia="Courier New" w:hAnsi="Courier New"/>
          <w:sz w:val="14"/>
          <w:szCs w:val="14"/>
          <w:color w:val="auto"/>
        </w:rPr>
      </w:pPr>
    </w:p>
    <w:p>
      <w:pPr>
        <w:ind w:right="3799" w:firstLine="443"/>
        <w:spacing w:after="0" w:line="254" w:lineRule="auto"/>
        <w:tabs>
          <w:tab w:leader="none" w:pos="781"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delivered to the Trustee an Officers' Certificate and an Opinion of Counsel, each stating that all conditions precedent provided for or relating to the Legal Defeasance or the Covenant Defeasance have been complied with.</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20" w:right="1440" w:bottom="1440" w:gutter="0" w:footer="0" w:header="0"/>
        </w:sectPr>
      </w:pPr>
    </w:p>
    <w:bookmarkStart w:id="183" w:name="page184"/>
    <w:bookmarkEnd w:id="183"/>
    <w:p>
      <w:pPr>
        <w:ind w:left="1320" w:right="3539" w:hanging="1301"/>
        <w:spacing w:after="0" w:line="258" w:lineRule="auto"/>
        <w:tabs>
          <w:tab w:leader="none" w:pos="1300" w:val="left"/>
        </w:tabs>
        <w:rPr>
          <w:sz w:val="20"/>
          <w:szCs w:val="20"/>
          <w:color w:val="auto"/>
        </w:rPr>
      </w:pPr>
      <w:r>
        <w:rPr>
          <w:rFonts w:ascii="Courier New" w:cs="Courier New" w:eastAsia="Courier New" w:hAnsi="Courier New"/>
          <w:sz w:val="14"/>
          <w:szCs w:val="14"/>
          <w:color w:val="auto"/>
        </w:rPr>
        <w:t>Section 8.05.</w:t>
        <w:tab/>
        <w:t>Deposited Money and Government Securities to be Held in Trust; Other Miscellaneous Provisions.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Subject to Section 8.06 hereof, all money and non-callable Government Securities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331"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Company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Anything in this Article Eight to the contrary notwithstanding,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w:t>
      </w:r>
    </w:p>
    <w:p>
      <w:pPr>
        <w:spacing w:after="0" w:line="2"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8.04(a) hereof), are in excess of the amount thereof that would then be required to be deposited to effect an equivalent Legal Defeasance or Covenant Defeasance.</w:t>
      </w:r>
    </w:p>
    <w:p>
      <w:pPr>
        <w:spacing w:after="0" w:line="16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8.06.</w:t>
        <w:tab/>
        <w:t>Repayment to Company.</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Any money deposited with the Trustee or any Paying Agent, or then held by the Company, in trust for the payment of the principal of, premium, if any, or interest on any Note and remaining unclaimed for two years after such principal, and premium, if any, or interest has become due and payable shall be paid to the Company on its request or (if then held by the Company) shall be discharged from such trust; and the Holder of such Note shall thereafter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shall not be less than 30 days from the date of such notification or publication, any unclaimed balance of such money then remaining will be repaid to the Company.</w:t>
      </w:r>
    </w:p>
    <w:p>
      <w:pPr>
        <w:spacing w:after="0" w:line="17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8.07.</w:t>
        <w:tab/>
        <w:t>Reinstatement.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Company's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provided, however, that, if the Company makes any payment of principal of, premium, if any, or interest on any Note following the reinstatement of its obligations, the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20" w:right="1440" w:bottom="1440" w:gutter="0" w:footer="0" w:header="0"/>
        </w:sectPr>
      </w:pPr>
    </w:p>
    <w:bookmarkStart w:id="184" w:name="page185"/>
    <w:bookmarkEnd w:id="184"/>
    <w:p>
      <w:pPr>
        <w:ind w:right="3899"/>
        <w:spacing w:after="0" w:line="258" w:lineRule="auto"/>
        <w:rPr>
          <w:sz w:val="20"/>
          <w:szCs w:val="20"/>
          <w:color w:val="auto"/>
        </w:rPr>
      </w:pPr>
      <w:r>
        <w:rPr>
          <w:rFonts w:ascii="Courier New" w:cs="Courier New" w:eastAsia="Courier New" w:hAnsi="Courier New"/>
          <w:sz w:val="14"/>
          <w:szCs w:val="14"/>
          <w:color w:val="auto"/>
        </w:rPr>
        <w:t>Company shall be subrogated to the rights of the Holders of such Notes to receive such payment from the money held by the Trustee or Paying Agent.</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9.</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AMENDMENT, SUPPLEMENT AND WAIVER</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9.01.</w:t>
        <w:tab/>
        <w:t>Without Consent of Holders of Notes.</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Notwithstanding Section 9.02 of this Indenture, the Company, the Guarantors and the Trustee may amend or supplement this Indenture, the Subsidiary Guarantees or the Notes without the consent of any Holder of a Note:</w:t>
      </w:r>
    </w:p>
    <w:p>
      <w:pPr>
        <w:spacing w:after="0" w:line="162" w:lineRule="exact"/>
        <w:rPr>
          <w:sz w:val="20"/>
          <w:szCs w:val="20"/>
          <w:color w:val="auto"/>
        </w:rPr>
      </w:pPr>
    </w:p>
    <w:p>
      <w:pPr>
        <w:ind w:left="800" w:hanging="357"/>
        <w:spacing w:after="0"/>
        <w:tabs>
          <w:tab w:leader="none" w:pos="80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defect or inconsistency;</w:t>
      </w:r>
    </w:p>
    <w:p>
      <w:pPr>
        <w:spacing w:after="0" w:line="175" w:lineRule="exact"/>
        <w:rPr>
          <w:rFonts w:ascii="Courier New" w:cs="Courier New" w:eastAsia="Courier New" w:hAnsi="Courier New"/>
          <w:sz w:val="14"/>
          <w:szCs w:val="14"/>
          <w:color w:val="auto"/>
        </w:rPr>
      </w:pPr>
    </w:p>
    <w:p>
      <w:pPr>
        <w:ind w:right="3279" w:firstLine="443"/>
        <w:spacing w:after="0" w:line="254" w:lineRule="auto"/>
        <w:tabs>
          <w:tab w:leader="none" w:pos="78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for uncertificated Notes in addition to or in place of certificated Notes or to alter the provisions of Article 2 hereof (including the related definitions) in a manner that does not materially adversely affect any Holder;</w:t>
      </w:r>
    </w:p>
    <w:p>
      <w:pPr>
        <w:spacing w:after="0" w:line="163" w:lineRule="exact"/>
        <w:rPr>
          <w:rFonts w:ascii="Courier New" w:cs="Courier New" w:eastAsia="Courier New" w:hAnsi="Courier New"/>
          <w:sz w:val="14"/>
          <w:szCs w:val="14"/>
          <w:color w:val="auto"/>
        </w:rPr>
      </w:pPr>
    </w:p>
    <w:p>
      <w:pPr>
        <w:ind w:right="3459" w:firstLine="443"/>
        <w:spacing w:after="0" w:line="255" w:lineRule="auto"/>
        <w:tabs>
          <w:tab w:leader="none" w:pos="78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for the assumption of the Company's or a Guarantor's obligations to the Holders of the Notes by a successor to the Company pursuant to Article 5 or Article 11 hereof;</w:t>
      </w:r>
    </w:p>
    <w:p>
      <w:pPr>
        <w:spacing w:after="0" w:line="162" w:lineRule="exact"/>
        <w:rPr>
          <w:rFonts w:ascii="Courier New" w:cs="Courier New" w:eastAsia="Courier New" w:hAnsi="Courier New"/>
          <w:sz w:val="14"/>
          <w:szCs w:val="14"/>
          <w:color w:val="auto"/>
        </w:rPr>
      </w:pPr>
    </w:p>
    <w:p>
      <w:pPr>
        <w:ind w:right="3279" w:firstLine="443"/>
        <w:spacing w:after="0" w:line="255" w:lineRule="auto"/>
        <w:tabs>
          <w:tab w:leader="none" w:pos="78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any change that would provide any additional rights or benefits to the Holders of the Notes or that does not adversely affect the legal rights hereunder of any Holder of the Note;</w:t>
      </w:r>
    </w:p>
    <w:p>
      <w:pPr>
        <w:spacing w:after="0" w:line="162" w:lineRule="exact"/>
        <w:rPr>
          <w:rFonts w:ascii="Courier New" w:cs="Courier New" w:eastAsia="Courier New" w:hAnsi="Courier New"/>
          <w:sz w:val="14"/>
          <w:szCs w:val="14"/>
          <w:color w:val="auto"/>
        </w:rPr>
      </w:pPr>
    </w:p>
    <w:p>
      <w:pPr>
        <w:ind w:right="3459" w:firstLine="443"/>
        <w:spacing w:after="0" w:line="258" w:lineRule="auto"/>
        <w:tabs>
          <w:tab w:leader="none" w:pos="78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comply with requirements of the SEC in order to effect or maintain the qualification of this Indenture under the TIA;</w:t>
      </w:r>
    </w:p>
    <w:p>
      <w:pPr>
        <w:spacing w:after="0" w:line="159" w:lineRule="exact"/>
        <w:rPr>
          <w:rFonts w:ascii="Courier New" w:cs="Courier New" w:eastAsia="Courier New" w:hAnsi="Courier New"/>
          <w:sz w:val="14"/>
          <w:szCs w:val="14"/>
          <w:color w:val="auto"/>
        </w:rPr>
      </w:pPr>
    </w:p>
    <w:p>
      <w:pPr>
        <w:ind w:right="3379" w:firstLine="443"/>
        <w:spacing w:after="0" w:line="258" w:lineRule="auto"/>
        <w:tabs>
          <w:tab w:leader="none" w:pos="78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for the issuance of Additional Notes in accordance with the limitations set forth in this Indenture as of the date hereof; or</w:t>
      </w:r>
    </w:p>
    <w:p>
      <w:pPr>
        <w:spacing w:after="0" w:line="159" w:lineRule="exact"/>
        <w:rPr>
          <w:rFonts w:ascii="Courier New" w:cs="Courier New" w:eastAsia="Courier New" w:hAnsi="Courier New"/>
          <w:sz w:val="14"/>
          <w:szCs w:val="14"/>
          <w:color w:val="auto"/>
        </w:rPr>
      </w:pPr>
    </w:p>
    <w:p>
      <w:pPr>
        <w:ind w:right="3639" w:firstLine="443"/>
        <w:spacing w:after="0" w:line="258" w:lineRule="auto"/>
        <w:tabs>
          <w:tab w:leader="none" w:pos="78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allow any Guarantor to execute a supplemental indenture and/or a Subsidiary Guarantee with respect to the Notes.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Upon the request of the Company accompanied by a resolution of its Board of Directors authorizing the execution of any such amended or supplemental Indenture, and upon receipt by the Trustee of the documents described in Section 7.02 hereof, the Trustee shall join with the Company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6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9.02.</w:t>
        <w:tab/>
        <w:t>With Consent of Holders of Notes.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Except as provided below in this Section 9.02, the Company and the Trustee may amend or supplement this Indenture (including Section 3.09, 4.10 and 4.15 hereof), the Subsidiary Guarantees and the Notes with the consent of the Holders of at least a majority in principal amount of the Notes (including Additional Notes, if any) then outstanding voting as a single class (including consents obtained in connection with a tender offer or exchange offer for, or purchase of, the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20" w:right="1440" w:bottom="1440" w:gutter="0" w:footer="0" w:header="0"/>
        </w:sectPr>
      </w:pPr>
    </w:p>
    <w:bookmarkStart w:id="185" w:name="page186"/>
    <w:bookmarkEnd w:id="185"/>
    <w:p>
      <w:pPr>
        <w:ind w:right="3279"/>
        <w:spacing w:after="0" w:line="252" w:lineRule="auto"/>
        <w:rPr>
          <w:sz w:val="20"/>
          <w:szCs w:val="20"/>
          <w:color w:val="auto"/>
        </w:rPr>
      </w:pPr>
      <w:r>
        <w:rPr>
          <w:rFonts w:ascii="Courier New" w:cs="Courier New" w:eastAsia="Courier New" w:hAnsi="Courier New"/>
          <w:sz w:val="14"/>
          <w:szCs w:val="14"/>
          <w:color w:val="auto"/>
        </w:rPr>
        <w:t>Indenture, the Subsidiary Guarantees or the Notes may be waived with the consent of the Holders of a majority in principal amount of the then outstanding Notes (including Additional Notes, if any) voting as a single class (including consents obtained in connection with a tender offer or exchange offer for, or purchase of, the Notes). Without the consent of at least 75% in principal amount of the Notes then outstanding (including consents obtained in connection with a tender offer or exchange offer for, or purchase of, such Notes), no waiver or amendment to this Indenture may make any change relating to (1) the provisions of Article 10 hereof that adversely affect the rights of any Holder of Notes or</w:t>
      </w:r>
    </w:p>
    <w:p>
      <w:pPr>
        <w:spacing w:after="0" w:line="3" w:lineRule="exact"/>
        <w:rPr>
          <w:sz w:val="20"/>
          <w:szCs w:val="20"/>
          <w:color w:val="auto"/>
        </w:rPr>
      </w:pPr>
    </w:p>
    <w:p>
      <w:pPr>
        <w:ind w:right="3379" w:firstLine="9"/>
        <w:spacing w:after="0" w:line="254" w:lineRule="auto"/>
        <w:tabs>
          <w:tab w:leader="none" w:pos="347"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of any Guarantor from any of its obligations under its Subsidiary Guarantee or this Indenture, except in accordance with the terms of this Indenture. Section 2.08 hereof shall determine which Notes are considered to be "outstanding" for purposes of this Section 9.02.</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Company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64"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It shall not be necessary for the consent of the Holders of Notes under this Section 9.02 to approve the particular form of any proposed amendment or waiver, but it shall be sufficient if such consent approves the substance thereof.</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After an amendment, supplement or waiver under this Section becomes effective, the Company shall mail to the Holders of Notes affected thereby a notice briefly describing the amendment, supplement or waiver. Any failure of the Company to mail such notice, or any defect therein, shall not, however, in any way impair or affect the validity of any such amended or supplemental Indenture or waiver. Subject to Sections 6.04 and 6.07 hereof, the Holders of a majority in aggregate principal amount of the Notes (including Additional Notes, if any) then outstanding voting as a single class may waive compliance in a particular instance by the Company with any provision of this Indenture or the Notes. However, without the consent of each Holder affected, an amendment or waiver under this Section 9.02 may not (with respect to any Notes held by a non-consenting Holder):</w:t>
      </w:r>
    </w:p>
    <w:p>
      <w:pPr>
        <w:spacing w:after="0" w:line="331" w:lineRule="exact"/>
        <w:rPr>
          <w:sz w:val="20"/>
          <w:szCs w:val="20"/>
          <w:color w:val="auto"/>
        </w:rPr>
      </w:pPr>
    </w:p>
    <w:p>
      <w:pPr>
        <w:ind w:right="3459" w:firstLine="443"/>
        <w:spacing w:after="0" w:line="258" w:lineRule="auto"/>
        <w:tabs>
          <w:tab w:leader="none" w:pos="78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amount of Notes whose Holders must consent to an amendment, supplement or waiver;</w:t>
      </w:r>
    </w:p>
    <w:p>
      <w:pPr>
        <w:spacing w:after="0" w:line="159" w:lineRule="exact"/>
        <w:rPr>
          <w:rFonts w:ascii="Courier New" w:cs="Courier New" w:eastAsia="Courier New" w:hAnsi="Courier New"/>
          <w:sz w:val="14"/>
          <w:szCs w:val="14"/>
          <w:color w:val="auto"/>
        </w:rPr>
      </w:pPr>
    </w:p>
    <w:p>
      <w:pPr>
        <w:ind w:right="3279" w:firstLine="443"/>
        <w:spacing w:after="0" w:line="255" w:lineRule="auto"/>
        <w:tabs>
          <w:tab w:leader="none" w:pos="78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of or change the fixed maturity of any Note or alter or waive any of the provisions with respect to the redemption of the Notes except as provided above with respect to Sections 3.09, 4.10 and 4.15 hereof;</w:t>
      </w:r>
    </w:p>
    <w:p>
      <w:pPr>
        <w:spacing w:after="0" w:line="162" w:lineRule="exact"/>
        <w:rPr>
          <w:rFonts w:ascii="Courier New" w:cs="Courier New" w:eastAsia="Courier New" w:hAnsi="Courier New"/>
          <w:sz w:val="14"/>
          <w:szCs w:val="14"/>
          <w:color w:val="auto"/>
        </w:rPr>
      </w:pPr>
    </w:p>
    <w:p>
      <w:pPr>
        <w:ind w:right="4059" w:firstLine="443"/>
        <w:spacing w:after="0" w:line="258" w:lineRule="auto"/>
        <w:tabs>
          <w:tab w:leader="none" w:pos="78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of or change the time for payment of interest, including default interest, on any Note;</w:t>
      </w:r>
    </w:p>
    <w:p>
      <w:pPr>
        <w:spacing w:after="0" w:line="159" w:lineRule="exact"/>
        <w:rPr>
          <w:rFonts w:ascii="Courier New" w:cs="Courier New" w:eastAsia="Courier New" w:hAnsi="Courier New"/>
          <w:sz w:val="14"/>
          <w:szCs w:val="14"/>
          <w:color w:val="auto"/>
        </w:rPr>
      </w:pPr>
    </w:p>
    <w:p>
      <w:pPr>
        <w:ind w:right="3279" w:firstLine="443"/>
        <w:spacing w:after="0" w:line="254" w:lineRule="auto"/>
        <w:tabs>
          <w:tab w:leader="none" w:pos="78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 Default or Event of Default in the payment of principal of or premium, if any, or interest on the Notes (except a rescission of acceleration of the Notes by the Holders of at least a majority in aggregate principal amount of the then outstanding Notes (including Additional Notes, if any) and a waiver of the payment default that resulted from such acceleration);</w:t>
      </w:r>
    </w:p>
    <w:p>
      <w:pPr>
        <w:spacing w:after="0" w:line="162"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Note payable in money other than that stated in the Notes;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20" w:right="1440" w:bottom="1440" w:gutter="0" w:footer="0" w:header="0"/>
        </w:sectPr>
      </w:pPr>
    </w:p>
    <w:bookmarkStart w:id="186" w:name="page187"/>
    <w:bookmarkEnd w:id="186"/>
    <w:p>
      <w:pPr>
        <w:ind w:right="3279" w:firstLine="443"/>
        <w:spacing w:after="0" w:line="255" w:lineRule="auto"/>
        <w:tabs>
          <w:tab w:leader="none" w:pos="781"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change in the provisions of this Indenture relating to waivers of past Defaults or the rights of Holders of Notes to receive payments of principal of or interest or premium or Liquidated Damages, if any, on the Notes;</w:t>
      </w:r>
    </w:p>
    <w:p>
      <w:pPr>
        <w:spacing w:after="0" w:line="162" w:lineRule="exact"/>
        <w:rPr>
          <w:rFonts w:ascii="Courier New" w:cs="Courier New" w:eastAsia="Courier New" w:hAnsi="Courier New"/>
          <w:sz w:val="14"/>
          <w:szCs w:val="14"/>
          <w:color w:val="auto"/>
        </w:rPr>
      </w:pPr>
    </w:p>
    <w:p>
      <w:pPr>
        <w:ind w:right="3719" w:firstLine="443"/>
        <w:spacing w:after="0" w:line="258" w:lineRule="auto"/>
        <w:tabs>
          <w:tab w:leader="none" w:pos="781"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change in Section 6.04 or 6.07 hereof or in the foregoing amendment and waiver provisions; or</w:t>
      </w:r>
    </w:p>
    <w:p>
      <w:pPr>
        <w:spacing w:after="0" w:line="159" w:lineRule="exact"/>
        <w:rPr>
          <w:rFonts w:ascii="Courier New" w:cs="Courier New" w:eastAsia="Courier New" w:hAnsi="Courier New"/>
          <w:sz w:val="14"/>
          <w:szCs w:val="14"/>
          <w:color w:val="auto"/>
        </w:rPr>
      </w:pPr>
    </w:p>
    <w:p>
      <w:pPr>
        <w:ind w:right="3379" w:firstLine="443"/>
        <w:spacing w:after="0" w:line="258" w:lineRule="auto"/>
        <w:tabs>
          <w:tab w:leader="none" w:pos="781"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 redemption payment with respect to any Note except as provided above with respect to Sections 3.09, 4.10 and 4.15 hereof.</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9.03. Compliance with Trust Indenture Act.</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Every amendment or supplement to this Indenture or the Notes shall be set forth in a amended or supplemental Indenture that complies with the TIA as then in effect.</w:t>
      </w:r>
    </w:p>
    <w:p>
      <w:pPr>
        <w:spacing w:after="0" w:line="16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9.04.</w:t>
        <w:tab/>
        <w:t>Revocation and Effect of Consents.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6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9.05.</w:t>
        <w:tab/>
        <w:t>Notation on or Exchange of Notes.</w:t>
      </w:r>
    </w:p>
    <w:p>
      <w:pPr>
        <w:spacing w:after="0" w:line="175" w:lineRule="exact"/>
        <w:rPr>
          <w:sz w:val="20"/>
          <w:szCs w:val="20"/>
          <w:color w:val="auto"/>
        </w:rPr>
      </w:pPr>
    </w:p>
    <w:p>
      <w:pPr>
        <w:ind w:right="3799" w:firstLine="434"/>
        <w:spacing w:after="0" w:line="254" w:lineRule="auto"/>
        <w:rPr>
          <w:sz w:val="20"/>
          <w:szCs w:val="20"/>
          <w:color w:val="auto"/>
        </w:rPr>
      </w:pPr>
      <w:r>
        <w:rPr>
          <w:rFonts w:ascii="Courier New" w:cs="Courier New" w:eastAsia="Courier New" w:hAnsi="Courier New"/>
          <w:sz w:val="14"/>
          <w:szCs w:val="14"/>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62"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Failure to make the appropriate notation or issue a new Note shall not affect the validity and effect of such amendment, supplement or waiver.</w:t>
      </w:r>
    </w:p>
    <w:p>
      <w:pPr>
        <w:spacing w:after="0" w:line="16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9.06.</w:t>
        <w:tab/>
        <w:t>Trustee to Sign Amendments, etc.</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Trustee shall sign any amended or supplemental Indenture authorized pursuant to this Article Nine if the amendment or supplement does not adversely affect the rights, duties, liabilities or immunities of the Trustee. The Company may not sign an amendment or supplemental Indenture until the Board of Directors approves it. In executing any amended or supplemental indenture, the Trustee shall be entitled to receive and (subject to Section 7.01 hereof) shall be fully protected in relying upon, in addition to the documents required by Section 13.04 hereof, an Officer's Certificate and an Opinion of Counsel stating that the execution of such amended or supplemental indenture is authorized or permitted by this Indenture.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20" w:right="1440" w:bottom="1440" w:gutter="0" w:footer="0" w:header="0"/>
        </w:sectPr>
      </w:pPr>
    </w:p>
    <w:bookmarkStart w:id="187" w:name="page188"/>
    <w:bookmarkEnd w:id="187"/>
    <w:p>
      <w:pPr>
        <w:jc w:val="center"/>
        <w:ind w:right="3379"/>
        <w:spacing w:after="0"/>
        <w:rPr>
          <w:sz w:val="20"/>
          <w:szCs w:val="20"/>
          <w:color w:val="auto"/>
        </w:rPr>
      </w:pPr>
      <w:r>
        <w:rPr>
          <w:rFonts w:ascii="Courier New" w:cs="Courier New" w:eastAsia="Courier New" w:hAnsi="Courier New"/>
          <w:sz w:val="14"/>
          <w:szCs w:val="14"/>
          <w:color w:val="auto"/>
        </w:rPr>
        <w:t>ARTICLE 10.</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SUBORDINATION</w:t>
      </w:r>
    </w:p>
    <w:p>
      <w:pPr>
        <w:spacing w:after="0" w:line="17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10.01.</w:t>
        <w:tab/>
        <w:t>Agreement to Subordinate.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agrees, and each Holder by accepting a Note agrees, that the Indebtedness evidenced by the Notes is subordinated in right of payment, to the extent and in the manner provided in this Article 10, to the prior payment in full of all Senior Debt (whether outstanding on the date hereof or hereafter created, incurred, assumed or guaranteed), and that the subordination is for the benefit of the holders of Senior Debt.</w:t>
      </w:r>
    </w:p>
    <w:p>
      <w:pPr>
        <w:spacing w:after="0" w:line="16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10.02.</w:t>
        <w:tab/>
        <w:t>Liquidation; Dissolution; Bankruptcy.</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Upon any distribution to creditors of the Company in a liquidation or dissolution of the Company or in a bankruptcy, reorganization, insolvency, receivership or similar proceeding relating to the Company or its property, in an assignment for the benefit of creditors or any marshaling of the Company's assets and liabilities:</w:t>
      </w:r>
    </w:p>
    <w:p>
      <w:pPr>
        <w:spacing w:after="0" w:line="162" w:lineRule="exact"/>
        <w:rPr>
          <w:sz w:val="20"/>
          <w:szCs w:val="20"/>
          <w:color w:val="auto"/>
        </w:rPr>
      </w:pPr>
    </w:p>
    <w:p>
      <w:pPr>
        <w:ind w:left="440" w:right="3279" w:firstLine="437"/>
        <w:spacing w:after="0" w:line="253" w:lineRule="auto"/>
        <w:tabs>
          <w:tab w:leader="none" w:pos="1221"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Senior Debt shall be entitled to receive payment in full of all Obligations due in respect of such Senior Debt (including interest after the commencement of any such proceeding at the rate specified in the applicable Senior Debt whether or not a claim for such interest would be allowed in such proceeding) before Holders of the Notes shall be entitled to receive any payment with respect to the Notes or on account of any purchase or redemption or other acquisition on any Note (except that Holders may receive and retain (A) Permitted Junior Securities and (B) payments and other distributions made from any defeasance trust created pursuant to Section 8.01 hereof so long as, on the date or dates the respective amounts were paid into trust, such payments were made without violating the provisions set forth in this Article 10); and</w:t>
      </w:r>
    </w:p>
    <w:p>
      <w:pPr>
        <w:spacing w:after="0" w:line="163" w:lineRule="exact"/>
        <w:rPr>
          <w:rFonts w:ascii="Courier New" w:cs="Courier New" w:eastAsia="Courier New" w:hAnsi="Courier New"/>
          <w:sz w:val="14"/>
          <w:szCs w:val="14"/>
          <w:color w:val="auto"/>
        </w:rPr>
      </w:pPr>
    </w:p>
    <w:p>
      <w:pPr>
        <w:ind w:left="440" w:right="3279" w:firstLine="437"/>
        <w:spacing w:after="0" w:line="253" w:lineRule="auto"/>
        <w:tabs>
          <w:tab w:leader="none" w:pos="1308"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all Obligations with respect to Senior Debt (as provided in clause (i) above) are paid in full, any distribution to which Holders would be entitled but for this Article 10 shall be made to holders of Senior Debt (except that Holders of Notes may receive and retain (A) Permitted Junior Securities and (B) payments and other distributions made from any defeasance trust created pursuant to Section 8.01 hereof), as their interests may appear.</w:t>
      </w:r>
    </w:p>
    <w:p>
      <w:pPr>
        <w:spacing w:after="0" w:line="16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10.03.</w:t>
        <w:tab/>
        <w:t>Default on Designated Senior Debt.</w:t>
      </w:r>
    </w:p>
    <w:p>
      <w:pPr>
        <w:spacing w:after="0" w:line="175" w:lineRule="exact"/>
        <w:rPr>
          <w:sz w:val="20"/>
          <w:szCs w:val="20"/>
          <w:color w:val="auto"/>
        </w:rPr>
      </w:pPr>
    </w:p>
    <w:p>
      <w:pPr>
        <w:ind w:right="3279" w:firstLine="443"/>
        <w:spacing w:after="0" w:line="253" w:lineRule="auto"/>
        <w:tabs>
          <w:tab w:leader="none" w:pos="781"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Guarantor may make any payment or distribution to the Trustee or any Holder in respect of Obligations with respect to the Notes and may not acquire from the Trustee or any Holder any Notes for cash or property (other than (A) Permitted Junior Securities and (B) payments and other distributions made from any defeasance trust created pursuant to Section 8.01 hereof) until all principal and other Obligations with respect to the Senior Debt have been paid in full if:</w:t>
      </w:r>
    </w:p>
    <w:p>
      <w:pPr>
        <w:spacing w:after="0" w:line="164" w:lineRule="exact"/>
        <w:rPr>
          <w:rFonts w:ascii="Courier New" w:cs="Courier New" w:eastAsia="Courier New" w:hAnsi="Courier New"/>
          <w:sz w:val="14"/>
          <w:szCs w:val="14"/>
          <w:color w:val="auto"/>
        </w:rPr>
      </w:pPr>
    </w:p>
    <w:p>
      <w:pPr>
        <w:ind w:left="440" w:right="3379" w:firstLine="437"/>
        <w:spacing w:after="0" w:line="254" w:lineRule="auto"/>
        <w:tabs>
          <w:tab w:leader="none" w:pos="1221"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in the payment of any principal or other Obligations with respect to Designated Senior Debt occurs and is continuing beyond any applicable grace period in the agreement, indenture or other document governing such Designated Senior Debt; or</w:t>
      </w:r>
    </w:p>
    <w:p>
      <w:pPr>
        <w:spacing w:after="0" w:line="163" w:lineRule="exact"/>
        <w:rPr>
          <w:rFonts w:ascii="Courier New" w:cs="Courier New" w:eastAsia="Courier New" w:hAnsi="Courier New"/>
          <w:sz w:val="14"/>
          <w:szCs w:val="14"/>
          <w:color w:val="auto"/>
        </w:rPr>
      </w:pPr>
    </w:p>
    <w:p>
      <w:pPr>
        <w:ind w:left="440" w:right="3279" w:firstLine="437"/>
        <w:spacing w:after="0" w:line="254" w:lineRule="auto"/>
        <w:tabs>
          <w:tab w:leader="none" w:pos="1308"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other than a payment default, on Designated Senior Debt occurs and is continuing that then permits holders of the Designated Senior Debt to accelerate its maturity and the Trustee receives a notice of the default (a "Payment Blockage Notice") from a Person who may give it pursuant to Section 10.11 hereof. If the Trustee receives any such Payment Blockage</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20" w:right="1440" w:bottom="1440" w:gutter="0" w:footer="0" w:header="0"/>
        </w:sectPr>
      </w:pPr>
    </w:p>
    <w:bookmarkStart w:id="188" w:name="page189"/>
    <w:bookmarkEnd w:id="188"/>
    <w:p>
      <w:pPr>
        <w:ind w:left="440" w:right="3279"/>
        <w:spacing w:after="0" w:line="253" w:lineRule="auto"/>
        <w:rPr>
          <w:sz w:val="20"/>
          <w:szCs w:val="20"/>
          <w:color w:val="auto"/>
        </w:rPr>
      </w:pPr>
      <w:r>
        <w:rPr>
          <w:rFonts w:ascii="Courier New" w:cs="Courier New" w:eastAsia="Courier New" w:hAnsi="Courier New"/>
          <w:sz w:val="14"/>
          <w:szCs w:val="14"/>
          <w:color w:val="auto"/>
        </w:rPr>
        <w:t>Notice, no subsequent Payment Blockage Notice shall be effective for purposes of this Section unless and until at least 360 days shall have elapsed since the effectiveness of the immediately prior Payment Blockage Notice. No nonpayment default that existed or was continuing on the date of delivery of any Payment Blockage Notice to the Trustee shall be, or be made, the basis for a subsequent Payment Blockage Notice unless such default has been cured or waived for a period of not less than 90 days.</w:t>
      </w:r>
    </w:p>
    <w:p>
      <w:pPr>
        <w:spacing w:after="0" w:line="165" w:lineRule="exact"/>
        <w:rPr>
          <w:sz w:val="20"/>
          <w:szCs w:val="20"/>
          <w:color w:val="auto"/>
        </w:rPr>
      </w:pPr>
    </w:p>
    <w:p>
      <w:pPr>
        <w:ind w:right="3799" w:firstLine="443"/>
        <w:spacing w:after="0" w:line="258" w:lineRule="auto"/>
        <w:tabs>
          <w:tab w:leader="none" w:pos="781"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and shall resume payments on and distributions in respect of the Notes and may acquire them upon the earlier of:</w:t>
      </w:r>
    </w:p>
    <w:p>
      <w:pPr>
        <w:spacing w:after="0" w:line="159" w:lineRule="exact"/>
        <w:rPr>
          <w:rFonts w:ascii="Courier New" w:cs="Courier New" w:eastAsia="Courier New" w:hAnsi="Courier New"/>
          <w:sz w:val="14"/>
          <w:szCs w:val="14"/>
          <w:color w:val="auto"/>
        </w:rPr>
      </w:pPr>
    </w:p>
    <w:p>
      <w:pPr>
        <w:ind w:left="1220" w:hanging="343"/>
        <w:spacing w:after="0"/>
        <w:tabs>
          <w:tab w:leader="none" w:pos="1220"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upon which the default is cured or waived, or</w:t>
      </w:r>
    </w:p>
    <w:p>
      <w:pPr>
        <w:spacing w:after="0" w:line="175" w:lineRule="exact"/>
        <w:rPr>
          <w:rFonts w:ascii="Courier New" w:cs="Courier New" w:eastAsia="Courier New" w:hAnsi="Courier New"/>
          <w:sz w:val="14"/>
          <w:szCs w:val="14"/>
          <w:color w:val="auto"/>
        </w:rPr>
      </w:pPr>
    </w:p>
    <w:p>
      <w:pPr>
        <w:ind w:left="440" w:right="3279" w:firstLine="437"/>
        <w:spacing w:after="0" w:line="253" w:lineRule="auto"/>
        <w:tabs>
          <w:tab w:leader="none" w:pos="1308"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default referred to in clause (ii) of Section 10.03(a) hereof, the earlier of: (A) 179 days pass after the Applicable Payment Blockage Notice is received, or (B) the date on which the trustee receives notice from or on behalf of the holders of Designated Senior Debt to terminate the applicable Payment Blockage Notice, unless in either case, the maturity of such Designated Senior Debt has been accelerated,</w:t>
      </w:r>
    </w:p>
    <w:p>
      <w:pPr>
        <w:spacing w:after="0" w:line="16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if this Article 10 otherwise permits the payment, distribution or acquisition at the time of such payment or acquisition.</w:t>
      </w:r>
    </w:p>
    <w:p>
      <w:pPr>
        <w:spacing w:after="0" w:line="16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10.04.</w:t>
        <w:tab/>
        <w:t>Acceleration of Notes.</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If payment of the Notes is accelerated because of an Event of Default, the Company shall promptly notify holders of Senior Debt of the acceleration.</w:t>
      </w:r>
    </w:p>
    <w:p>
      <w:pPr>
        <w:spacing w:after="0" w:line="16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10.05.</w:t>
        <w:tab/>
        <w:t>When Distribution Must Be Paid Over.</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the event that the Trustee or any Holder receives any payment of any Obligations with respect to the Notes (except (A) in Permitted Junior Securities or (B) from payments and other distributions made from any defeasance trust created pursuant to Section 8.01 hereof) at a time such payment is prohibited by Section 10.03 hereof, such payment shall be held by the Trustee or such Holder, in trust for the benefit of, and shall be paid forthwith over and delivered, upon written request, to, the holders of Senior Debt as their interests may appear or their Representative under this indenture or other agreement (if any) pursuant to which Senior Debt may have been issued, as their respective interests may appear, for application to the payment of all Obligations with respect to Senior Debt remaining unpaid to the extent necessary to pay such Obligations in full in accordance with their terms, after giving effect to any concurrent payment or distribution to or for the holders of Senior Debt.</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With respect to the holders of Senior Debt, the Trustee undertakes to perform only such obligations on the part of the Trustee as are specifically set forth in this Article 10, and no implied covenants or obligations with respect to the holders of Senior Debt shall be read into this Indenture against the Trustee. The Trustee shall not be deemed to owe any fiduciary duty to the holders of Senior Debt, and shall not be liable to any such holders if the Trustee shall pay over or distribute to or on behalf of Holders or the Company money or assets to which any holders of Senior Debt shall be entitled by virtue of this Article 10, except if such payment is made as a result of the willful misconduct or gross negligence of the Trustee.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20" w:right="1440" w:bottom="1440" w:gutter="0" w:footer="0" w:header="0"/>
        </w:sectPr>
      </w:pPr>
    </w:p>
    <w:bookmarkStart w:id="189" w:name="page190"/>
    <w:bookmarkEnd w:id="189"/>
    <w:p>
      <w:pPr>
        <w:spacing w:after="0"/>
        <w:tabs>
          <w:tab w:leader="none" w:pos="1380" w:val="left"/>
        </w:tabs>
        <w:rPr>
          <w:sz w:val="20"/>
          <w:szCs w:val="20"/>
          <w:color w:val="auto"/>
        </w:rPr>
      </w:pPr>
      <w:r>
        <w:rPr>
          <w:rFonts w:ascii="Courier New" w:cs="Courier New" w:eastAsia="Courier New" w:hAnsi="Courier New"/>
          <w:sz w:val="14"/>
          <w:szCs w:val="14"/>
          <w:color w:val="auto"/>
        </w:rPr>
        <w:t>Section 10.06.</w:t>
        <w:tab/>
        <w:t>Notice by Company.</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Company shall promptly notify the Trustee and the Paying Agent of any facts known to the Company that would cause a payment of any Obligations with respect to the Notes to violate this Article 10, but failure to give such notice shall not affect the subordination of the Notes to the Senior Debt as provided in this Article 10.</w:t>
      </w:r>
    </w:p>
    <w:p>
      <w:pPr>
        <w:spacing w:after="0" w:line="16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10.07.</w:t>
        <w:tab/>
        <w:t>Subrogation.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After all Senior Debt is paid in full and until the Notes are paid in full, Holders of Notes shall be subrogated (equally and ratably with all other Indebtedness pari passu with the Notes) to the rights of holders of Senior Debt to receive distributions applicable to Senior Debt to the extent that distributions otherwise payable to the Holders of Notes have been applied to the payment of Senior Debt. A distribution made under this Article 10 to holders of Senior Debt that otherwise would have been made to Holders of Notes is not, as between the Company and Holders, a payment by the Company on the Notes.</w:t>
      </w:r>
    </w:p>
    <w:p>
      <w:pPr>
        <w:spacing w:after="0" w:line="16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10.08.</w:t>
        <w:tab/>
        <w:t>Relative Rights.</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This Article 10 defines the relative rights of Holders of Notes and holders of Senior Debt. Nothing in this Indenture shall:</w:t>
      </w:r>
    </w:p>
    <w:p>
      <w:pPr>
        <w:spacing w:after="0" w:line="160" w:lineRule="exact"/>
        <w:rPr>
          <w:sz w:val="20"/>
          <w:szCs w:val="20"/>
          <w:color w:val="auto"/>
        </w:rPr>
      </w:pPr>
    </w:p>
    <w:p>
      <w:pPr>
        <w:ind w:left="440" w:right="3719" w:firstLine="437"/>
        <w:spacing w:after="0" w:line="255" w:lineRule="auto"/>
        <w:tabs>
          <w:tab w:leader="none" w:pos="122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as between the Company and Holders of Notes, the obligation of the Company, which is absolute and unconditional, to pay principal of and interest on the Notes in accordance with their terms;</w:t>
      </w:r>
    </w:p>
    <w:p>
      <w:pPr>
        <w:spacing w:after="0" w:line="162" w:lineRule="exact"/>
        <w:rPr>
          <w:rFonts w:ascii="Courier New" w:cs="Courier New" w:eastAsia="Courier New" w:hAnsi="Courier New"/>
          <w:sz w:val="14"/>
          <w:szCs w:val="14"/>
          <w:color w:val="auto"/>
        </w:rPr>
      </w:pPr>
    </w:p>
    <w:p>
      <w:pPr>
        <w:ind w:left="440" w:right="3379" w:firstLine="437"/>
        <w:spacing w:after="0" w:line="255" w:lineRule="auto"/>
        <w:tabs>
          <w:tab w:leader="none" w:pos="1308"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affect the relative rights of Holders of Notes and creditors of the Company other than their rights in relation to holders of Senior Debt; or</w:t>
      </w:r>
    </w:p>
    <w:p>
      <w:pPr>
        <w:spacing w:after="0" w:line="162" w:lineRule="exact"/>
        <w:rPr>
          <w:rFonts w:ascii="Courier New" w:cs="Courier New" w:eastAsia="Courier New" w:hAnsi="Courier New"/>
          <w:sz w:val="14"/>
          <w:szCs w:val="14"/>
          <w:color w:val="auto"/>
        </w:rPr>
      </w:pPr>
    </w:p>
    <w:p>
      <w:pPr>
        <w:ind w:left="440" w:right="3379" w:firstLine="437"/>
        <w:spacing w:after="0" w:line="254" w:lineRule="auto"/>
        <w:tabs>
          <w:tab w:leader="none" w:pos="1481"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prevent the Trustee or any Holder of Notes from exercising its available remedies upon a Default or Event of Default, subject to the rights of holders and owners of Senior Debt to receive distributions and payments otherwise payable to Holders of Notes.</w:t>
      </w:r>
    </w:p>
    <w:p>
      <w:pPr>
        <w:spacing w:after="0" w:line="163"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If the Company fails because of this Article 10 to pay principal of or interest on a Note on the due date, the failure is still a Default or Event of Default.</w:t>
      </w:r>
    </w:p>
    <w:p>
      <w:pPr>
        <w:spacing w:after="0" w:line="16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10.09.</w:t>
        <w:tab/>
        <w:t>Subordination May Not Be Impaired by Company.</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No right of any holder of Senior Debt to enforce the subordination of the Indebtedness evidenced by the Notes shall be impaired by any act or failure to act by the Company or any Holder or by the failure of the Company or any Holder to comply with this Indenture.</w:t>
      </w:r>
    </w:p>
    <w:p>
      <w:pPr>
        <w:spacing w:after="0" w:line="16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10.10.</w:t>
        <w:tab/>
        <w:t>Distribution or Notice to Representative.</w:t>
      </w:r>
    </w:p>
    <w:p>
      <w:pPr>
        <w:spacing w:after="0" w:line="175" w:lineRule="exact"/>
        <w:rPr>
          <w:sz w:val="20"/>
          <w:szCs w:val="20"/>
          <w:color w:val="auto"/>
        </w:rPr>
      </w:pPr>
    </w:p>
    <w:p>
      <w:pPr>
        <w:ind w:right="3799" w:firstLine="434"/>
        <w:spacing w:after="0" w:line="255" w:lineRule="auto"/>
        <w:rPr>
          <w:sz w:val="20"/>
          <w:szCs w:val="20"/>
          <w:color w:val="auto"/>
        </w:rPr>
      </w:pPr>
      <w:r>
        <w:rPr>
          <w:rFonts w:ascii="Courier New" w:cs="Courier New" w:eastAsia="Courier New" w:hAnsi="Courier New"/>
          <w:sz w:val="14"/>
          <w:szCs w:val="14"/>
          <w:color w:val="auto"/>
        </w:rPr>
        <w:t>Whenever a distribution is to be made or a notice given to holders of Senior Debt, the distribution may be made and the notice given to their Representative.</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Upon any payment or distribution of assets of the Company referred to in this Article 10, the Trustee and the Holders of Notes shall be entitled to rely upon any order or decree made by any court of competent jurisdiction or upon any certificate of such Representative or of the liquidating trustee or agent or other Person making any distribution to the Trustee or to the Holders of Notes for the purpose of ascertaining the Persons entitled to participate in such distribution, the holders of the Senior Debt and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20" w:right="1440" w:bottom="1440" w:gutter="0" w:footer="0" w:header="0"/>
        </w:sectPr>
      </w:pPr>
    </w:p>
    <w:bookmarkStart w:id="190" w:name="page191"/>
    <w:bookmarkEnd w:id="190"/>
    <w:p>
      <w:pPr>
        <w:ind w:right="3539"/>
        <w:spacing w:after="0" w:line="255" w:lineRule="auto"/>
        <w:rPr>
          <w:sz w:val="20"/>
          <w:szCs w:val="20"/>
          <w:color w:val="auto"/>
        </w:rPr>
      </w:pPr>
      <w:r>
        <w:rPr>
          <w:rFonts w:ascii="Courier New" w:cs="Courier New" w:eastAsia="Courier New" w:hAnsi="Courier New"/>
          <w:sz w:val="14"/>
          <w:szCs w:val="14"/>
          <w:color w:val="auto"/>
        </w:rPr>
        <w:t>other Indebtedness of the Company, the amount thereof or payable thereon, the amount or amounts paid or distributed thereon and all other facts pertinent thereto or to this Article 10.</w:t>
      </w:r>
    </w:p>
    <w:p>
      <w:pPr>
        <w:spacing w:after="0" w:line="16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10.11.</w:t>
        <w:tab/>
        <w:t>Rights of Trustee and Paying Agent.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Notwithstanding the provisions of this Article 10 or any other provision of this Indenture, the Trustee shall not be charged with knowledge of the existence of any facts that would prohibit the making of any payment or distribution by the Trustee, and the Trustee and the Paying Agent may continue to make payments on the Notes, unless the Trustee shall have received at its Corporate Trust Office at least five Business Days prior to the date of such payment written notice of facts that would cause the payment of any Obligations with respect to the Notes to violate this Article 10. Only the Company or a Representative may give the notice. Nothing in this Article 10 shall impair the claims of, or payments to, the Trustee under or pursuant to Section 7.07 hereof.</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Trustee in its individual or any other capacity may hold Senior Debt with the same rights it would have if it were not Trustee. Any Agent may do the same with like rights.</w:t>
      </w:r>
    </w:p>
    <w:p>
      <w:pPr>
        <w:spacing w:after="0" w:line="16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10.12.</w:t>
        <w:tab/>
        <w:t>Authorization to Effect Subordination.</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Each Holder of Notes, by the Holder's acceptance thereof, authorizes and directs the Trustee on such Holder's behalf to take such action as may be necessary or appropriate to effectuate the subordination as provided in this Article 10, and appoints the Trustee to act as such Holder's attorney-in-fact for any and all such purposes. If the Trustee does not file a proper proof of claim or proof of debt in the form required in any proceeding referred to in Section 6.09 hereof at least 30 days before the expiration of the time to file such claim, the Representatives are hereby authorized to file an appropriate claim for and on behalf of the Holders of the Notes.</w:t>
      </w:r>
    </w:p>
    <w:p>
      <w:pPr>
        <w:spacing w:after="0" w:line="16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10.13.</w:t>
        <w:tab/>
        <w:t>Amendments.</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provisions of this Article 10 shall not be amended or modified without the written consent of the holders of all Senior Debt.</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11.</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SUBSIDIARY GUARANTEES</w:t>
      </w:r>
    </w:p>
    <w:p>
      <w:pPr>
        <w:spacing w:after="0" w:line="17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11.01.</w:t>
        <w:tab/>
        <w:t>Guarantee.</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 (a) the principal of and interest on the Notes will be promptly paid in full when due, whether at maturity, by acceleration, redemption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 (b) in case of any extension of time of payment or renewal of any Notes or any of such other obligations, that same will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20" w:right="1440" w:bottom="1440" w:gutter="0" w:footer="0" w:header="0"/>
        </w:sectPr>
      </w:pPr>
    </w:p>
    <w:bookmarkStart w:id="191" w:name="page192"/>
    <w:bookmarkEnd w:id="191"/>
    <w:p>
      <w:pPr>
        <w:ind w:right="3279" w:firstLine="434"/>
        <w:spacing w:after="0" w:line="253" w:lineRule="auto"/>
        <w:rPr>
          <w:sz w:val="20"/>
          <w:szCs w:val="20"/>
          <w:color w:val="auto"/>
        </w:rPr>
      </w:pPr>
      <w:r>
        <w:rPr>
          <w:rFonts w:ascii="Courier New" w:cs="Courier New" w:eastAsia="Courier New" w:hAnsi="Courier New"/>
          <w:sz w:val="14"/>
          <w:szCs w:val="14"/>
          <w:color w:val="auto"/>
        </w:rPr>
        <w:t>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Subsidiary Guarantee shall not be discharged except by complete performance of the obligations contained in the Notes and this Indenture.</w:t>
      </w:r>
    </w:p>
    <w:p>
      <w:pPr>
        <w:spacing w:after="0" w:line="33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Subsidiary Guarantee, to the extent theretofore discharged, shall be reinstated in full force and effect.</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Article 6 hereof for the purposes of this Subsidiary Guarantee, notwithstanding any stay, injunction or other prohibition preventing such acceleration in respect of the obligations guaranteed hereby, and (y) in the event of any declaration of acceleration of such obligations as provided in Article 6 hereof, such obligations (whether or not due and payable) shall forthwith become due and payable by the Guarantors for the purpose of this Subsidiary Guarantee. The Guarantors shall have the right to seek contribution from any non-paying Guarantor so long as the exercise of such right does not impair the rights of the Holders under the Guarantee.</w:t>
      </w:r>
    </w:p>
    <w:p>
      <w:pPr>
        <w:spacing w:after="0" w:line="33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11.02.</w:t>
        <w:tab/>
        <w:t>Subordination of Subsidiary Guarantee.</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Obligations of each Guarantor under its Subsidiary Guarantee pursuant to this Article 11 shall be junior and subordinated to the Senior Guarantee of such Guarantor on the same basis as the Notes are junior and subordinated to Senior Debt of the Company. For the purposes of the foregoing sentence, the Trustee and the Holders shall have the right to receive and/or retain payments by any of the Guarantors only at such times as they may receive and/or retain payments in respect of the Notes pursuant to this Indenture, including Article 10 hereof.</w:t>
      </w:r>
    </w:p>
    <w:p>
      <w:pPr>
        <w:spacing w:after="0" w:line="16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11.03.</w:t>
        <w:tab/>
        <w:t>Limitation on Guarantor Liability.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Each Guarantor, and by its acceptance of Notes, each Holder, hereby confirms that it is the intention of all such parties that the Subsidiary Guarantee of such Guarantor not constitute a fraudulent transfer or conveyance for purposes of Bankruptcy Law, the Uniform Fraudulent Conveyance Act, the Uniform Fraudulent Transfer Act or any similar federal or state law to the extent applicable to any Subsidiary Guarantee. To effectuate the foregoing intention, the Trustee, the Holders and the Guarantors hereby irrevocably agree that the obligations of such Guarantor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Subsidiary Guarantee not constituting a fraudulent transfer or conveyance.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20" w:right="1440" w:bottom="1440" w:gutter="0" w:footer="0" w:header="0"/>
        </w:sectPr>
      </w:pPr>
    </w:p>
    <w:bookmarkStart w:id="192" w:name="page193"/>
    <w:bookmarkEnd w:id="192"/>
    <w:p>
      <w:pPr>
        <w:spacing w:after="0"/>
        <w:tabs>
          <w:tab w:leader="none" w:pos="1380" w:val="left"/>
        </w:tabs>
        <w:rPr>
          <w:sz w:val="20"/>
          <w:szCs w:val="20"/>
          <w:color w:val="auto"/>
        </w:rPr>
      </w:pPr>
      <w:r>
        <w:rPr>
          <w:rFonts w:ascii="Courier New" w:cs="Courier New" w:eastAsia="Courier New" w:hAnsi="Courier New"/>
          <w:sz w:val="14"/>
          <w:szCs w:val="14"/>
          <w:color w:val="auto"/>
        </w:rPr>
        <w:t>Section 11.04.</w:t>
        <w:tab/>
        <w:t>Execution and Delivery of Subsidiary Guarantee.</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To evidence its Subsidiary Guarantee set forth in Section 11.01, each Guarantor hereby agrees that a notation of such Subsidiary Guarantee substantially in the form included in Exhibit E shall be endorsed by an Officer of such Guarantor on each Note authenticated and delivered by the Trustee and that this Indenture shall be executed on behalf of such Guarantor by its President or one of its Vice Presidents.</w:t>
      </w:r>
    </w:p>
    <w:p>
      <w:pPr>
        <w:spacing w:after="0" w:line="16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Each Guarantor hereby agrees that its Subsidiary Guarantee set forth in Section 11.01 shall remain in full force and effect notwithstanding any failure to endorse on each Note a notation of such Subsidiary Guarantee.</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If an Officer whose signature is on this Indenture or on the Subsidiary Guarantee no longer holds that office at the time the Trustee authenticates the Note on which a Subsidiary Guarantee is endorsed, the Subsidiary Guarantee shall be valid nevertheless.</w:t>
      </w:r>
    </w:p>
    <w:p>
      <w:pPr>
        <w:spacing w:after="0" w:line="163"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The delivery of any Note by the Trustee, after the authentication thereof hereunder, shall constitute due delivery of the Subsidiary Guarantee set forth in this Indenture on behalf of the Guarantors.</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 the event that the Company creates or acquires any new Subsidiaries subsequent to the date hereof, if required by Section 4.17 hereof, the Company shall cause such Subsidiaries to execute supplemental indentures to this Indenture and Subsidiary Guarantees in accordance with Section 4.17 hereof and this Article 11, to the extent applicable.</w:t>
      </w:r>
    </w:p>
    <w:p>
      <w:pPr>
        <w:spacing w:after="0" w:line="16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11.05.</w:t>
        <w:tab/>
        <w:t>Guarantors May Consolidate, etc., on Certain Terms.</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Except as otherwise provided in Section 11.06, no Guarantor may consolidate with or merge with or into (whether or not such Guarantor is the surviving Person) another Person whether or not affiliated with such Guarantor unless:</w:t>
      </w:r>
    </w:p>
    <w:p>
      <w:pPr>
        <w:spacing w:after="0" w:line="162" w:lineRule="exact"/>
        <w:rPr>
          <w:sz w:val="20"/>
          <w:szCs w:val="20"/>
          <w:color w:val="auto"/>
        </w:rPr>
      </w:pPr>
    </w:p>
    <w:p>
      <w:pPr>
        <w:ind w:right="3379" w:firstLine="443"/>
        <w:spacing w:after="0" w:line="253" w:lineRule="auto"/>
        <w:tabs>
          <w:tab w:leader="none" w:pos="781"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11.06 hereof, the Person formed by or surviving any such consolidation or merger (if other than a Guarantor or the Company) unconditionally assumes all the obligations of such Guarantor, pursuant to a supplemental indenture in form and substance reasonably satisfactory to the Trustee, under the Notes, this Indenture and the Subsidiary Guarantee on the terms set forth herein or therein; and</w:t>
      </w:r>
    </w:p>
    <w:p>
      <w:pPr>
        <w:spacing w:after="0" w:line="165" w:lineRule="exact"/>
        <w:rPr>
          <w:rFonts w:ascii="Courier New" w:cs="Courier New" w:eastAsia="Courier New" w:hAnsi="Courier New"/>
          <w:sz w:val="14"/>
          <w:szCs w:val="14"/>
          <w:color w:val="auto"/>
        </w:rPr>
      </w:pPr>
    </w:p>
    <w:p>
      <w:pPr>
        <w:ind w:right="3719" w:firstLine="443"/>
        <w:spacing w:after="0" w:line="258" w:lineRule="auto"/>
        <w:tabs>
          <w:tab w:leader="none" w:pos="781"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no Default or Event of Default exists.</w:t>
      </w:r>
    </w:p>
    <w:p>
      <w:pPr>
        <w:spacing w:after="0" w:line="160"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In case of any such consolidation, merger, sale or conveyance and upon the assumption by the successor Person, by supplemental indenture, executed and delivered to the Trustee and satisfactory in form to the Trustee, of the Subsidiary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Subsidiary Guarantees to be endorsed upon all of the Notes issuable hereunder which theretofore shall not have been signed by the Company and delivered to the Trustee. All the Subsidiary Guarantees so issued shall in all respects have the same legal rank and benefit under this Indenture as the Subsidiary Guarantees theretofore and thereafter issued in accordance with the terms of this Indenture as though all of such Subsidiary Guarantees had been issued at the date of the execution hereof.</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20" w:right="1440" w:bottom="1440" w:gutter="0" w:footer="0" w:header="0"/>
        </w:sectPr>
      </w:pPr>
    </w:p>
    <w:bookmarkStart w:id="193" w:name="page194"/>
    <w:bookmarkEnd w:id="193"/>
    <w:p>
      <w:pPr>
        <w:ind w:left="440"/>
        <w:spacing w:after="0"/>
        <w:rPr>
          <w:sz w:val="20"/>
          <w:szCs w:val="20"/>
          <w:color w:val="auto"/>
        </w:rPr>
      </w:pPr>
      <w:r>
        <w:rPr>
          <w:rFonts w:ascii="Courier New" w:cs="Courier New" w:eastAsia="Courier New" w:hAnsi="Courier New"/>
          <w:sz w:val="14"/>
          <w:szCs w:val="14"/>
          <w:color w:val="auto"/>
        </w:rPr>
        <w:t>Except as set forth in Articles 4 and 5 hereof, and notwithstanding clauses</w:t>
      </w:r>
    </w:p>
    <w:p>
      <w:pPr>
        <w:spacing w:after="0" w:line="8" w:lineRule="exact"/>
        <w:rPr>
          <w:sz w:val="20"/>
          <w:szCs w:val="20"/>
          <w:color w:val="auto"/>
        </w:rPr>
      </w:pPr>
    </w:p>
    <w:p>
      <w:pPr>
        <w:ind w:right="3539" w:firstLine="9"/>
        <w:spacing w:after="0" w:line="254" w:lineRule="auto"/>
        <w:tabs>
          <w:tab w:leader="none" w:pos="347"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(b) above, nothing contained in this Indenture or in any of the Notes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16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11.06.</w:t>
        <w:tab/>
        <w:t>Releases Following Sale of Assets.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the event of a sale or other disposition of all of the assets of any Guarantor, by way of merger, consolidation or otherwise, or a sale or other disposition of all to the capital stock of any Guarantor, in each case to a Person that is not (either before or after giving effect to such transactions) a Restricted Subsidiary of the Company,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released and relieved of any obligations under its Subsidiary Guarantee; provided that the Net Proceeds of such sale or other disposition are applied in accordance with the applicable provisions of this Indenture, including without limitation Section 4.10 hereof. Upon delivery by the Company to the Trustee of an Officers' Certificate and an Opinion of Counsel to the effect that such sale or other disposition was made by the Company in accordance with the provisions of this Indenture, including without limitation Section 4.10 hereof, the Trustee shall execute any documents reasonably required in order to evidence the release of any Guarantor from its obligations under its Subsidiary Guarantee.</w:t>
      </w:r>
    </w:p>
    <w:p>
      <w:pPr>
        <w:spacing w:after="0" w:line="17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Any Guarantor not released from its obligations under its Subsidiary Guarantee shall remain liable for the full amount of principal of and interest on the Notes and for the other obligations of any Guarantor under this Indenture as provided in this Article 11.</w:t>
      </w:r>
    </w:p>
    <w:p>
      <w:pPr>
        <w:spacing w:after="0" w:line="16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12.</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SATISFACTION AND DISCHARGE</w:t>
      </w:r>
    </w:p>
    <w:p>
      <w:pPr>
        <w:spacing w:after="0" w:line="17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12.01.</w:t>
        <w:tab/>
        <w:t>Satisfaction and Discharge.</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This Indenture will be discharged and will cease to be of further effect as to all Notes issued hereunder, when:</w:t>
      </w:r>
    </w:p>
    <w:p>
      <w:pPr>
        <w:spacing w:after="0" w:line="160" w:lineRule="exact"/>
        <w:rPr>
          <w:sz w:val="20"/>
          <w:szCs w:val="20"/>
          <w:color w:val="auto"/>
        </w:rPr>
      </w:pPr>
    </w:p>
    <w:p>
      <w:pPr>
        <w:ind w:left="440" w:hanging="431"/>
        <w:spacing w:after="0"/>
        <w:tabs>
          <w:tab w:leader="none" w:pos="44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w:t>
      </w:r>
    </w:p>
    <w:p>
      <w:pPr>
        <w:spacing w:after="0" w:line="175" w:lineRule="exact"/>
        <w:rPr>
          <w:rFonts w:ascii="Courier New" w:cs="Courier New" w:eastAsia="Courier New" w:hAnsi="Courier New"/>
          <w:sz w:val="14"/>
          <w:szCs w:val="14"/>
          <w:color w:val="auto"/>
        </w:rPr>
      </w:pPr>
    </w:p>
    <w:p>
      <w:pPr>
        <w:ind w:left="880" w:right="3459" w:hanging="437"/>
        <w:spacing w:after="0" w:line="254" w:lineRule="auto"/>
        <w:tabs>
          <w:tab w:leader="none" w:pos="880"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162" w:lineRule="exact"/>
        <w:rPr>
          <w:rFonts w:ascii="Courier New" w:cs="Courier New" w:eastAsia="Courier New" w:hAnsi="Courier New"/>
          <w:sz w:val="14"/>
          <w:szCs w:val="14"/>
          <w:color w:val="auto"/>
        </w:rPr>
      </w:pPr>
    </w:p>
    <w:p>
      <w:pPr>
        <w:ind w:left="880" w:right="3279" w:hanging="437"/>
        <w:spacing w:after="0" w:line="253" w:lineRule="auto"/>
        <w:tabs>
          <w:tab w:leader="none" w:pos="880"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Notes that have not been delivered to the Trustee for cancellation have become due and payable by reason of the making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thereof, in such amounts as will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20" w:right="1440" w:bottom="1440" w:gutter="0" w:footer="0" w:header="0"/>
        </w:sectPr>
      </w:pPr>
    </w:p>
    <w:bookmarkStart w:id="194" w:name="page195"/>
    <w:bookmarkEnd w:id="194"/>
    <w:p>
      <w:pPr>
        <w:ind w:left="440" w:right="3279" w:hanging="431"/>
        <w:spacing w:after="0" w:line="254" w:lineRule="auto"/>
        <w:tabs>
          <w:tab w:leader="none" w:pos="44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have occurred and be continuing on the date of such deposit or shall occur as a result of such deposit and such deposit will not result in a breach or violation of, or constitute a default under, any other instrument to which the Company or any Guarantor is a party or by which the Company or any Guarantor is bound;</w:t>
      </w:r>
    </w:p>
    <w:p>
      <w:pPr>
        <w:spacing w:after="0" w:line="162" w:lineRule="exact"/>
        <w:rPr>
          <w:rFonts w:ascii="Courier New" w:cs="Courier New" w:eastAsia="Courier New" w:hAnsi="Courier New"/>
          <w:sz w:val="14"/>
          <w:szCs w:val="14"/>
          <w:color w:val="auto"/>
        </w:rPr>
      </w:pPr>
    </w:p>
    <w:p>
      <w:pPr>
        <w:ind w:left="440" w:right="3279" w:hanging="431"/>
        <w:spacing w:after="0" w:line="258" w:lineRule="auto"/>
        <w:tabs>
          <w:tab w:leader="none" w:pos="44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Guarantor has paid or caused to be paid all sums payable by it under this Indenture; and</w:t>
      </w:r>
    </w:p>
    <w:p>
      <w:pPr>
        <w:spacing w:after="0" w:line="159" w:lineRule="exact"/>
        <w:rPr>
          <w:rFonts w:ascii="Courier New" w:cs="Courier New" w:eastAsia="Courier New" w:hAnsi="Courier New"/>
          <w:sz w:val="14"/>
          <w:szCs w:val="14"/>
          <w:color w:val="auto"/>
        </w:rPr>
      </w:pPr>
    </w:p>
    <w:p>
      <w:pPr>
        <w:ind w:left="440" w:right="3279" w:hanging="431"/>
        <w:spacing w:after="0" w:line="255" w:lineRule="auto"/>
        <w:tabs>
          <w:tab w:leader="none" w:pos="44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irrevocable instructions to the Trustee under this Indenture to apply the deposited money toward the payment of the Notes at maturity or the redemption date, as the case may be.</w:t>
      </w:r>
    </w:p>
    <w:p>
      <w:pPr>
        <w:spacing w:after="0" w:line="16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addition, the Company must deliver an Officers' Certificate and an Opinion of Counsel to the Trustee stating that all conditions precedent to satisfaction and discharge have been satisfied.</w:t>
      </w:r>
    </w:p>
    <w:p>
      <w:pPr>
        <w:spacing w:after="0" w:line="16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Notwithstanding the satisfaction and discharge of this Indenture, if money shall have been deposited with the Trustee pursuant to subclause (b) of clause</w:t>
      </w:r>
    </w:p>
    <w:p>
      <w:pPr>
        <w:spacing w:after="0" w:line="1" w:lineRule="exact"/>
        <w:rPr>
          <w:sz w:val="20"/>
          <w:szCs w:val="20"/>
          <w:color w:val="auto"/>
        </w:rPr>
      </w:pPr>
    </w:p>
    <w:p>
      <w:pPr>
        <w:ind w:right="3719" w:firstLine="9"/>
        <w:spacing w:after="0" w:line="258" w:lineRule="auto"/>
        <w:tabs>
          <w:tab w:leader="none" w:pos="347"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the provisions of Section 12.02 and Section 8.06 shall survive.</w:t>
      </w:r>
    </w:p>
    <w:p>
      <w:pPr>
        <w:spacing w:after="0" w:line="16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12.02.</w:t>
        <w:tab/>
        <w:t>Application of Trust Money.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Subject to the provisions of Section 8.06, all money deposited with the Trustee pursuant to Section 12.01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the Trustee or Paying Agent is unable to apply any money or Government Securities in accordance with Section 12.01 by reason of any legal proceeding or by reason of any order or judgment of any court or governmental authority enjoining, restraining or otherwise prohibiting such application, the Company's and any Guarantor's obligations under this Indenture and the Notes shall be revived and reinstated as though no deposit had occurred pursuant to Section 12.01; provided that if the Company has made any payment of principal of, premium, if any, or interest on any Notes because of the reinstatement of its obligations, the Company shall be subrogated to the rights of the Holders of such Notes to receive such payment from the money or Government Securities held by the Trustee or Paying Agent.</w:t>
      </w:r>
    </w:p>
    <w:p>
      <w:pPr>
        <w:spacing w:after="0" w:line="16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13.</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13.01.</w:t>
        <w:tab/>
        <w:t>Trust Indenture Act Controls.</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If any provision of this Indenture limits, qualifies or conflicts with the duties imposed by TIA (S)318(c), the imposed duties shall control.</w:t>
      </w:r>
    </w:p>
    <w:p>
      <w:pPr>
        <w:spacing w:after="0" w:line="16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13.02.</w:t>
        <w:tab/>
        <w:t>Notices.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Any notice or communication by the Company, any Guarantor or the Trustee to the others is duly given if in writing and delivered in Person or mailed by first class mail (registered or certified, return receipt requested), telex, telecopier or overnight air courier guaranteeing next day delivery, to the others' address: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20" w:right="1440" w:bottom="1440" w:gutter="0" w:footer="0" w:header="0"/>
        </w:sectPr>
      </w:pPr>
    </w:p>
    <w:bookmarkStart w:id="195" w:name="page196"/>
    <w:bookmarkEnd w:id="195"/>
    <w:p>
      <w:pPr>
        <w:ind w:left="440"/>
        <w:spacing w:after="0"/>
        <w:rPr>
          <w:sz w:val="20"/>
          <w:szCs w:val="20"/>
          <w:color w:val="auto"/>
        </w:rPr>
      </w:pPr>
      <w:r>
        <w:rPr>
          <w:rFonts w:ascii="Courier New" w:cs="Courier New" w:eastAsia="Courier New" w:hAnsi="Courier New"/>
          <w:sz w:val="14"/>
          <w:szCs w:val="14"/>
          <w:color w:val="auto"/>
        </w:rPr>
        <w:t>If to the Company and/or any Guarantor:</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Radio One, Inc.</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5900 Princess Garden Parkway, 7th Floor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Lanham, Maryland 20706</w:t>
      </w:r>
    </w:p>
    <w:p>
      <w:pPr>
        <w:spacing w:after="0" w:line="8" w:lineRule="exact"/>
        <w:rPr>
          <w:sz w:val="20"/>
          <w:szCs w:val="20"/>
          <w:color w:val="auto"/>
        </w:rPr>
      </w:pPr>
    </w:p>
    <w:p>
      <w:pPr>
        <w:ind w:left="440"/>
        <w:spacing w:after="0"/>
        <w:tabs>
          <w:tab w:leader="none" w:pos="1900" w:val="left"/>
        </w:tabs>
        <w:rPr>
          <w:sz w:val="20"/>
          <w:szCs w:val="20"/>
          <w:color w:val="auto"/>
        </w:rPr>
      </w:pPr>
      <w:r>
        <w:rPr>
          <w:rFonts w:ascii="Courier New" w:cs="Courier New" w:eastAsia="Courier New" w:hAnsi="Courier New"/>
          <w:sz w:val="14"/>
          <w:szCs w:val="14"/>
          <w:color w:val="auto"/>
        </w:rPr>
        <w:t>Telecopier No.:</w:t>
        <w:tab/>
        <w:t>(301) 306-9694</w:t>
      </w:r>
    </w:p>
    <w:p>
      <w:pPr>
        <w:spacing w:after="0" w:line="8"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Attention:</w:t>
        <w:tab/>
        <w:t>Linda J. Eckard Vilardo, Esq.</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Kirkland &amp; Ellis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655 Fifteenth Street, N.W.</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Washington, D.C. 20005</w:t>
      </w:r>
    </w:p>
    <w:p>
      <w:pPr>
        <w:spacing w:after="0" w:line="8" w:lineRule="exact"/>
        <w:rPr>
          <w:sz w:val="20"/>
          <w:szCs w:val="20"/>
          <w:color w:val="auto"/>
        </w:rPr>
      </w:pPr>
    </w:p>
    <w:p>
      <w:pPr>
        <w:ind w:left="440"/>
        <w:spacing w:after="0"/>
        <w:tabs>
          <w:tab w:leader="none" w:pos="1900" w:val="left"/>
        </w:tabs>
        <w:rPr>
          <w:sz w:val="20"/>
          <w:szCs w:val="20"/>
          <w:color w:val="auto"/>
        </w:rPr>
      </w:pPr>
      <w:r>
        <w:rPr>
          <w:rFonts w:ascii="Courier New" w:cs="Courier New" w:eastAsia="Courier New" w:hAnsi="Courier New"/>
          <w:sz w:val="14"/>
          <w:szCs w:val="14"/>
          <w:color w:val="auto"/>
        </w:rPr>
        <w:t>Telecopier No.:</w:t>
        <w:tab/>
        <w:t>(202) 879-5200</w:t>
      </w:r>
    </w:p>
    <w:p>
      <w:pPr>
        <w:spacing w:after="0" w:line="8"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Attention:</w:t>
        <w:tab/>
        <w:t>Terrance L. Bessey, Esq.</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Trustee: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United States Trust Company of New York</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114 West 47th Street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York, NY 10036</w:t>
      </w:r>
    </w:p>
    <w:p>
      <w:pPr>
        <w:spacing w:after="0" w:line="8" w:lineRule="exact"/>
        <w:rPr>
          <w:sz w:val="20"/>
          <w:szCs w:val="20"/>
          <w:color w:val="auto"/>
        </w:rPr>
      </w:pPr>
    </w:p>
    <w:p>
      <w:pPr>
        <w:ind w:left="440"/>
        <w:spacing w:after="0"/>
        <w:tabs>
          <w:tab w:leader="none" w:pos="1900" w:val="left"/>
        </w:tabs>
        <w:rPr>
          <w:sz w:val="20"/>
          <w:szCs w:val="20"/>
          <w:color w:val="auto"/>
        </w:rPr>
      </w:pPr>
      <w:r>
        <w:rPr>
          <w:rFonts w:ascii="Courier New" w:cs="Courier New" w:eastAsia="Courier New" w:hAnsi="Courier New"/>
          <w:sz w:val="14"/>
          <w:szCs w:val="14"/>
          <w:color w:val="auto"/>
        </w:rPr>
        <w:t>Telecopier No.:</w:t>
        <w:tab/>
        <w:t>(212) 852-1626</w:t>
      </w:r>
    </w:p>
    <w:p>
      <w:pPr>
        <w:spacing w:after="0" w:line="8"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Attention:</w:t>
        <w:tab/>
        <w:t>Corporate Trust Division</w:t>
      </w:r>
    </w:p>
    <w:p>
      <w:pPr>
        <w:spacing w:after="0" w:line="175"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The Company, any Guarantor or the Trustee, by notice to the others may designate additional or different addresses for subsequent notices or communications.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telecopied; and the next Business Day after timely delivery to the courier, if sent by overnight air courier guaranteeing next day delivery.</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(S) 313(c), to the extent required by the TIA. Failure to mail a notice or communication to a Holder or any defect in it shall not affect its sufficiency with respect to other Holders.</w:t>
      </w:r>
    </w:p>
    <w:p>
      <w:pPr>
        <w:spacing w:after="0" w:line="16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If a notice or communication is mailed in the manner provided above within the time prescribed, it is duly given, whether or not the addressee receives it.</w:t>
      </w:r>
    </w:p>
    <w:p>
      <w:pPr>
        <w:spacing w:after="0" w:line="160"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If the Company mails a notice or communication to Holders, it shall mail a copy to the Trustee and each Agent at the same time.</w:t>
      </w:r>
    </w:p>
    <w:p>
      <w:pPr>
        <w:spacing w:after="0" w:line="16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13.03.</w:t>
        <w:tab/>
        <w:t>Communication by Holders of Notes with Other Holders of Notes.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Holders may communicate pursuant to TIA (S) 312(b) with other Holders with respect to their rights under this Indenture or the Notes. The Company, the Trustee, the Registrar and anyone else shall have the protection of TIA (S) 312(c).</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620" w:right="1440" w:bottom="1440" w:gutter="0" w:footer="0" w:header="0"/>
        </w:sectPr>
      </w:pPr>
    </w:p>
    <w:bookmarkStart w:id="196" w:name="page197"/>
    <w:bookmarkEnd w:id="196"/>
    <w:p>
      <w:pPr>
        <w:spacing w:after="0"/>
        <w:tabs>
          <w:tab w:leader="none" w:pos="1380" w:val="left"/>
        </w:tabs>
        <w:rPr>
          <w:sz w:val="20"/>
          <w:szCs w:val="20"/>
          <w:color w:val="auto"/>
        </w:rPr>
      </w:pPr>
      <w:r>
        <w:rPr>
          <w:rFonts w:ascii="Courier New" w:cs="Courier New" w:eastAsia="Courier New" w:hAnsi="Courier New"/>
          <w:sz w:val="14"/>
          <w:szCs w:val="14"/>
          <w:color w:val="auto"/>
        </w:rPr>
        <w:t>Section 13.04.</w:t>
        <w:tab/>
        <w:t>Certificate and Opinion as to Conditions Precedent.</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Upon any request or application by the Company to the Trustee to take any action under this Indenture, the Company shall furnish to the Trustee:</w:t>
      </w:r>
    </w:p>
    <w:p>
      <w:pPr>
        <w:spacing w:after="0" w:line="160" w:lineRule="exact"/>
        <w:rPr>
          <w:sz w:val="20"/>
          <w:szCs w:val="20"/>
          <w:color w:val="auto"/>
        </w:rPr>
      </w:pPr>
    </w:p>
    <w:p>
      <w:pPr>
        <w:ind w:right="3379" w:firstLine="443"/>
        <w:spacing w:after="0" w:line="254" w:lineRule="auto"/>
        <w:tabs>
          <w:tab w:leader="none" w:pos="781"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Officers' Certificate in form and substance reasonably satisfactory to the Trustee (which shall include the statements set forth in Section 13.05 hereof) stating that, in the opinion of the signers, all conditions precedent and covenants, if any, provided for in this Indenture relating to the proposed action have been satisfied; and</w:t>
      </w:r>
    </w:p>
    <w:p>
      <w:pPr>
        <w:spacing w:after="0" w:line="162" w:lineRule="exact"/>
        <w:rPr>
          <w:rFonts w:ascii="Courier New" w:cs="Courier New" w:eastAsia="Courier New" w:hAnsi="Courier New"/>
          <w:sz w:val="14"/>
          <w:szCs w:val="14"/>
          <w:color w:val="auto"/>
        </w:rPr>
      </w:pPr>
    </w:p>
    <w:p>
      <w:pPr>
        <w:ind w:right="3379" w:firstLine="443"/>
        <w:spacing w:after="0" w:line="254" w:lineRule="auto"/>
        <w:tabs>
          <w:tab w:leader="none" w:pos="781"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in form and substance reasonably satisfactory to the Trustee (which shall include the statements set forth in Section 13.05 hereof) stating that, in the opinion of such counsel, all such conditions precedent and covenants have been satisfied.</w:t>
      </w:r>
    </w:p>
    <w:p>
      <w:pPr>
        <w:spacing w:after="0" w:line="16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13.05.</w:t>
        <w:tab/>
        <w:t>Statements Required in Certificate or Opinion.</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Each certificate or opinion with respect to compliance with a condition or covenant provided for in this Indenture (other than a certificate provided pursuant to TIA (S) 314(a)(4)) shall comply with the provisions of TIA (S) 314(e) and shall include:</w:t>
      </w:r>
    </w:p>
    <w:p>
      <w:pPr>
        <w:spacing w:after="0" w:line="163" w:lineRule="exact"/>
        <w:rPr>
          <w:sz w:val="20"/>
          <w:szCs w:val="20"/>
          <w:color w:val="auto"/>
        </w:rPr>
      </w:pPr>
    </w:p>
    <w:p>
      <w:pPr>
        <w:ind w:right="3279" w:firstLine="443"/>
        <w:spacing w:after="0" w:line="258" w:lineRule="auto"/>
        <w:tabs>
          <w:tab w:leader="none" w:pos="781"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the Person making such certificate or opinion has read such covenant or condition;</w:t>
      </w:r>
    </w:p>
    <w:p>
      <w:pPr>
        <w:spacing w:after="0" w:line="159" w:lineRule="exact"/>
        <w:rPr>
          <w:rFonts w:ascii="Courier New" w:cs="Courier New" w:eastAsia="Courier New" w:hAnsi="Courier New"/>
          <w:sz w:val="14"/>
          <w:szCs w:val="14"/>
          <w:color w:val="auto"/>
        </w:rPr>
      </w:pPr>
    </w:p>
    <w:p>
      <w:pPr>
        <w:ind w:right="3719" w:firstLine="443"/>
        <w:spacing w:after="0" w:line="255" w:lineRule="auto"/>
        <w:tabs>
          <w:tab w:leader="none" w:pos="781"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brief statement as to the nature and scope of the examination or investigation upon which the statements or opinions contained in such certificate or opinion are based;</w:t>
      </w:r>
    </w:p>
    <w:p>
      <w:pPr>
        <w:spacing w:after="0" w:line="162" w:lineRule="exact"/>
        <w:rPr>
          <w:rFonts w:ascii="Courier New" w:cs="Courier New" w:eastAsia="Courier New" w:hAnsi="Courier New"/>
          <w:sz w:val="14"/>
          <w:szCs w:val="14"/>
          <w:color w:val="auto"/>
        </w:rPr>
      </w:pPr>
    </w:p>
    <w:p>
      <w:pPr>
        <w:ind w:right="3539" w:firstLine="443"/>
        <w:spacing w:after="0" w:line="254" w:lineRule="auto"/>
        <w:tabs>
          <w:tab w:leader="none" w:pos="781"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in the opinion of such Person, he or she has made such examination or investigation as is necessary to enable him to express an informed opinion as to whether or not such covenant or condition has been satisfied; and</w:t>
      </w:r>
    </w:p>
    <w:p>
      <w:pPr>
        <w:spacing w:after="0" w:line="163" w:lineRule="exact"/>
        <w:rPr>
          <w:rFonts w:ascii="Courier New" w:cs="Courier New" w:eastAsia="Courier New" w:hAnsi="Courier New"/>
          <w:sz w:val="14"/>
          <w:szCs w:val="14"/>
          <w:color w:val="auto"/>
        </w:rPr>
      </w:pPr>
    </w:p>
    <w:p>
      <w:pPr>
        <w:ind w:right="3459" w:firstLine="443"/>
        <w:spacing w:after="0" w:line="258" w:lineRule="auto"/>
        <w:tabs>
          <w:tab w:leader="none" w:pos="781"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or not, in the opinion of such Person, such condition or covenant has been satisfied.</w:t>
      </w:r>
    </w:p>
    <w:p>
      <w:pPr>
        <w:spacing w:after="0" w:line="16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13.06.</w:t>
        <w:tab/>
        <w:t>Rules by Trustee and Agents.</w:t>
      </w:r>
    </w:p>
    <w:p>
      <w:pPr>
        <w:spacing w:after="0" w:line="175"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The Trustee may make reasonable rules for action by or at a meeting of Holders. The Registrar or Paying Agent may make reasonable rules and set reasonable requirements for its functions.</w:t>
      </w:r>
    </w:p>
    <w:p>
      <w:pPr>
        <w:spacing w:after="0" w:line="162" w:lineRule="exact"/>
        <w:rPr>
          <w:sz w:val="20"/>
          <w:szCs w:val="20"/>
          <w:color w:val="auto"/>
        </w:rPr>
      </w:pPr>
    </w:p>
    <w:p>
      <w:pPr>
        <w:ind w:left="1400" w:right="3719" w:hanging="1388"/>
        <w:spacing w:after="0" w:line="258" w:lineRule="auto"/>
        <w:tabs>
          <w:tab w:leader="none" w:pos="1380" w:val="left"/>
        </w:tabs>
        <w:rPr>
          <w:sz w:val="20"/>
          <w:szCs w:val="20"/>
          <w:color w:val="auto"/>
        </w:rPr>
      </w:pPr>
      <w:r>
        <w:rPr>
          <w:rFonts w:ascii="Courier New" w:cs="Courier New" w:eastAsia="Courier New" w:hAnsi="Courier New"/>
          <w:sz w:val="14"/>
          <w:szCs w:val="14"/>
          <w:color w:val="auto"/>
        </w:rPr>
        <w:t>Section 13.07.</w:t>
        <w:tab/>
        <w:t>No Personal Liability of Directors, Officers, Employees and Stockholders.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 past, present or future director, officer, employee, incorporator or stockholder of the Company or any Guarantor, as such, shall have any liability for any obligations of the Company or such Guarantor under the Notes, the Subsidiary Guarantees, this Indenture or for any claim based on, in respect of, or by reason of, such obligations or their creation. Each Holder by accepting a Note waives and releases all such liability. The waiver and release are part of the consideration for issuance of the Notes.</w:t>
      </w:r>
    </w:p>
    <w:p>
      <w:pPr>
        <w:spacing w:after="0" w:line="16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13.08.</w:t>
        <w:tab/>
        <w:t>Governing Law.</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INTERNAL LAW OF THE STATE OF NEW YORK SHALL GOVERN AND BE USED TO CONSTRUE THIS INDENTURE, THE NOTES AND THE SUBSIDIARY GUARANTEES WITHOUT GIVING EFFECT TO APPLICABLE PRINCIPLES OF CONFLICTS OF LAW TO THE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20" w:right="1440" w:bottom="1440" w:gutter="0" w:footer="0" w:header="0"/>
        </w:sectPr>
      </w:pPr>
    </w:p>
    <w:bookmarkStart w:id="197" w:name="page198"/>
    <w:bookmarkEnd w:id="197"/>
    <w:p>
      <w:pPr>
        <w:ind w:right="3979"/>
        <w:spacing w:after="0" w:line="258" w:lineRule="auto"/>
        <w:rPr>
          <w:sz w:val="20"/>
          <w:szCs w:val="20"/>
          <w:color w:val="auto"/>
        </w:rPr>
      </w:pPr>
      <w:r>
        <w:rPr>
          <w:rFonts w:ascii="Courier New" w:cs="Courier New" w:eastAsia="Courier New" w:hAnsi="Courier New"/>
          <w:sz w:val="14"/>
          <w:szCs w:val="14"/>
          <w:color w:val="auto"/>
        </w:rPr>
        <w:t>EXTENT THAT THE APPLICATION OF THE LAWS OF ANOTHER JURISDICTION WOULD BE REQUIRED THEREBY.</w:t>
      </w:r>
    </w:p>
    <w:p>
      <w:pPr>
        <w:spacing w:after="0" w:line="160" w:lineRule="exact"/>
        <w:rPr>
          <w:sz w:val="20"/>
          <w:szCs w:val="20"/>
          <w:color w:val="auto"/>
        </w:rPr>
      </w:pPr>
    </w:p>
    <w:p>
      <w:pPr>
        <w:ind w:left="1400" w:right="3459" w:hanging="1388"/>
        <w:spacing w:after="0" w:line="258" w:lineRule="auto"/>
        <w:tabs>
          <w:tab w:leader="none" w:pos="1380" w:val="left"/>
        </w:tabs>
        <w:rPr>
          <w:sz w:val="20"/>
          <w:szCs w:val="20"/>
          <w:color w:val="auto"/>
        </w:rPr>
      </w:pPr>
      <w:r>
        <w:rPr>
          <w:rFonts w:ascii="Courier New" w:cs="Courier New" w:eastAsia="Courier New" w:hAnsi="Courier New"/>
          <w:sz w:val="14"/>
          <w:szCs w:val="14"/>
          <w:color w:val="auto"/>
        </w:rPr>
        <w:t>Section 13.09.</w:t>
        <w:tab/>
        <w:t>Submission to Jurisdiction; Service of Process; Waiver of Jury Trial.</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Each party hereto hereby submits to the nonexclusive jurisdiction of the United States District Court for the Southern District of New York and of any New York State Court sitting in New York City for purposes of all legal proceedings arising out of or relating to this Indenture, the Notes, the Subsidiary Guarantees or the transactions contemplated hereby and thereby. Each party hereto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Process in any such suit, action or proceeding may be served on any party anywhere in the world, whether within or without the State of New York. Without limiting the foregoing, the parties agree that service of process upon such party at the address referred to in Section 13.02, together with written notice of such service to such party, shall be deemed effective service of process upon such party. Each of the parties hereto irrevocably waives any and all rights to trial by jury in any legal proceeding arising out of or relating to this Indenture, the Notes, the Subsidiary Guarantees or the transactions contemplated hereby and thereby.</w:t>
      </w:r>
    </w:p>
    <w:p>
      <w:pPr>
        <w:spacing w:after="0" w:line="34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13.10.</w:t>
        <w:tab/>
        <w:t>No Adverse Interpretation of Other Agreements.</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16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13.11.</w:t>
        <w:tab/>
        <w:t>Successors.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All agreements of the Company in this Indenture and the Notes shall bind its successors. All agreements of the Trustee in this Indenture shall bind its successors. All agreements of each Guarantor in this Indenture shall bind its successors, except as otherwise provided in Section 11.06.</w:t>
      </w:r>
    </w:p>
    <w:p>
      <w:pPr>
        <w:spacing w:after="0" w:line="16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13.12.</w:t>
        <w:tab/>
        <w:t>Severability.</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13.13.</w:t>
        <w:tab/>
        <w:t>Counterpart Originals.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parties may sign any number of copies of this Indenture. Each signed copy shall be an original, but all of them together represent the same agreement.</w:t>
      </w:r>
    </w:p>
    <w:p>
      <w:pPr>
        <w:spacing w:after="0" w:line="16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Section 13.14.</w:t>
        <w:tab/>
        <w:t>Table of Contents, Headings, etc.</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[Signatures on following page]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20" w:right="1440" w:bottom="1440" w:gutter="0" w:footer="0" w:header="0"/>
        </w:sectPr>
      </w:pPr>
    </w:p>
    <w:bookmarkStart w:id="198" w:name="page199"/>
    <w:bookmarkEnd w:id="198"/>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as of May 18, 2001</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Radio One, Inc.</w:t>
      </w:r>
    </w:p>
    <w:p>
      <w:pPr>
        <w:spacing w:after="0" w:line="175" w:lineRule="exact"/>
        <w:rPr>
          <w:sz w:val="20"/>
          <w:szCs w:val="20"/>
          <w:color w:val="auto"/>
        </w:rPr>
      </w:pPr>
    </w:p>
    <w:p>
      <w:pPr>
        <w:sectPr>
          <w:pgSz w:w="11900" w:h="16838" w:orient="portrait"/>
          <w:cols w:equalWidth="0" w:num="2">
            <w:col w:w="3620" w:space="720"/>
            <w:col w:w="589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Linda J. Eckard Vilardo</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tabs>
          <w:tab w:leader="none" w:pos="940" w:val="left"/>
        </w:tabs>
        <w:rPr>
          <w:sz w:val="20"/>
          <w:szCs w:val="20"/>
          <w:color w:val="auto"/>
        </w:rPr>
      </w:pPr>
      <w:r>
        <w:rPr>
          <w:rFonts w:ascii="Courier New" w:cs="Courier New" w:eastAsia="Courier New" w:hAnsi="Courier New"/>
          <w:sz w:val="14"/>
          <w:szCs w:val="14"/>
          <w:color w:val="auto"/>
        </w:rPr>
        <w:t>Name:</w:t>
        <w:tab/>
        <w:t>Linda J. Eckard Vilardo</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 Assistant Secretary</w:t>
      </w:r>
    </w:p>
    <w:p>
      <w:pPr>
        <w:spacing w:after="0" w:line="20" w:lineRule="exact"/>
        <w:rPr>
          <w:sz w:val="20"/>
          <w:szCs w:val="20"/>
          <w:color w:val="auto"/>
        </w:rPr>
      </w:pPr>
      <w:r>
        <w:rPr>
          <w:sz w:val="20"/>
          <w:szCs w:val="20"/>
          <w:color w:val="auto"/>
        </w:rPr>
        <w:br w:type="column"/>
      </w:r>
    </w:p>
    <w:p>
      <w:pPr>
        <w:spacing w:after="0"/>
        <w:tabs>
          <w:tab w:leader="none" w:pos="760" w:val="left"/>
        </w:tabs>
        <w:rPr>
          <w:sz w:val="20"/>
          <w:szCs w:val="20"/>
          <w:color w:val="auto"/>
        </w:rPr>
      </w:pPr>
      <w:r>
        <w:rPr>
          <w:rFonts w:ascii="Courier New" w:cs="Courier New" w:eastAsia="Courier New" w:hAnsi="Courier New"/>
          <w:sz w:val="14"/>
          <w:szCs w:val="14"/>
          <w:color w:val="auto"/>
        </w:rPr>
        <w:t>By: /s/</w:t>
        <w:tab/>
        <w:t>Scott R. Royster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tabs>
          <w:tab w:leader="none" w:pos="940" w:val="left"/>
        </w:tabs>
        <w:rPr>
          <w:sz w:val="20"/>
          <w:szCs w:val="20"/>
          <w:color w:val="auto"/>
        </w:rPr>
      </w:pPr>
      <w:r>
        <w:rPr>
          <w:rFonts w:ascii="Courier New" w:cs="Courier New" w:eastAsia="Courier New" w:hAnsi="Courier New"/>
          <w:sz w:val="14"/>
          <w:szCs w:val="14"/>
          <w:color w:val="auto"/>
        </w:rPr>
        <w:t>Name:</w:t>
        <w:tab/>
        <w:t>Scott R. Royster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 Executive Vice President and</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Chief Financial Officer</w:t>
      </w:r>
    </w:p>
    <w:p>
      <w:pPr>
        <w:spacing w:after="0" w:line="175" w:lineRule="exact"/>
        <w:rPr>
          <w:sz w:val="20"/>
          <w:szCs w:val="20"/>
          <w:color w:val="auto"/>
        </w:rPr>
      </w:pPr>
    </w:p>
    <w:p>
      <w:pPr>
        <w:sectPr>
          <w:pgSz w:w="11900" w:h="16838" w:orient="portrait"/>
          <w:cols w:equalWidth="0" w:num="2">
            <w:col w:w="3620" w:space="720"/>
            <w:col w:w="5899"/>
          </w:cols>
          <w:pgMar w:left="220" w:top="620" w:right="1440" w:bottom="1440" w:gutter="0" w:footer="0" w:header="0"/>
          <w:type w:val="continuous"/>
        </w:sectPr>
      </w:pPr>
    </w:p>
    <w:p>
      <w:pPr>
        <w:ind w:left="4340"/>
        <w:spacing w:after="0"/>
        <w:rPr>
          <w:sz w:val="20"/>
          <w:szCs w:val="20"/>
          <w:color w:val="auto"/>
        </w:rPr>
      </w:pPr>
      <w:r>
        <w:rPr>
          <w:rFonts w:ascii="Courier New" w:cs="Courier New" w:eastAsia="Courier New" w:hAnsi="Courier New"/>
          <w:sz w:val="14"/>
          <w:szCs w:val="14"/>
          <w:color w:val="auto"/>
        </w:rPr>
        <w:t>GUARANTORS:</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Radio One Licenses, Inc.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WYCB Acquisition Corporation</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Broadcast Holdings, Inc.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Bell Broadcasting Company</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Radio One of Detroit, Inc.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Allur-Detroit, Inc.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Allur Licenses, Inc.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Radio One of Atlanta, Inc.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ROA Licenses, Inc.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Dogwood Communications, Inc.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Dogwood Licenses, Inc.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Radio One of Charlotte, LLC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Radio One of Augusta, Inc.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Davis Broadcasting of Charlotte, Inc.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Radio One of North Carolina, Inc.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Radio One of Boston, Inc.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Radio One of Boston Licenses, Inc.</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Blue Chip Merger Subsidiary,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Linda J. Eckard Vilardo</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tabs>
          <w:tab w:leader="none" w:pos="940" w:val="left"/>
        </w:tabs>
        <w:rPr>
          <w:sz w:val="20"/>
          <w:szCs w:val="20"/>
          <w:color w:val="auto"/>
        </w:rPr>
      </w:pPr>
      <w:r>
        <w:rPr>
          <w:rFonts w:ascii="Courier New" w:cs="Courier New" w:eastAsia="Courier New" w:hAnsi="Courier New"/>
          <w:sz w:val="14"/>
          <w:szCs w:val="14"/>
          <w:color w:val="auto"/>
        </w:rPr>
        <w:t>Name:</w:t>
        <w:tab/>
        <w:t>Linda J. Eckard Vilardo</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 Assistant Secretary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Scott R. Royster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tabs>
          <w:tab w:leader="none" w:pos="940" w:val="left"/>
        </w:tabs>
        <w:rPr>
          <w:sz w:val="20"/>
          <w:szCs w:val="20"/>
          <w:color w:val="auto"/>
        </w:rPr>
      </w:pPr>
      <w:r>
        <w:rPr>
          <w:rFonts w:ascii="Courier New" w:cs="Courier New" w:eastAsia="Courier New" w:hAnsi="Courier New"/>
          <w:sz w:val="14"/>
          <w:szCs w:val="14"/>
          <w:color w:val="auto"/>
        </w:rPr>
        <w:t>Name:</w:t>
        <w:tab/>
        <w:t>Scott R. Royster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 Executive Vice President and</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Chief Financial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 Trust Company of New York</w:t>
      </w:r>
    </w:p>
    <w:p>
      <w:pPr>
        <w:spacing w:after="0" w:line="200" w:lineRule="exact"/>
        <w:rPr>
          <w:sz w:val="20"/>
          <w:szCs w:val="20"/>
          <w:color w:val="auto"/>
        </w:rPr>
      </w:pPr>
    </w:p>
    <w:p>
      <w:pPr>
        <w:sectPr>
          <w:pgSz w:w="11900" w:h="16838" w:orient="portrait"/>
          <w:cols w:equalWidth="0" w:num="2">
            <w:col w:w="3620" w:space="720"/>
            <w:col w:w="5899"/>
          </w:cols>
          <w:pgMar w:left="220" w:top="620"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Kevin Fox</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tabs>
          <w:tab w:leader="none" w:pos="940" w:val="left"/>
        </w:tabs>
        <w:rPr>
          <w:sz w:val="20"/>
          <w:szCs w:val="20"/>
          <w:color w:val="auto"/>
        </w:rPr>
      </w:pPr>
      <w:r>
        <w:rPr>
          <w:rFonts w:ascii="Courier New" w:cs="Courier New" w:eastAsia="Courier New" w:hAnsi="Courier New"/>
          <w:sz w:val="14"/>
          <w:szCs w:val="14"/>
          <w:color w:val="auto"/>
        </w:rPr>
        <w:t>Name:</w:t>
        <w:tab/>
        <w:t>Kevin Fox</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 Assistant Secretary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Patricia Gallagher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tabs>
          <w:tab w:leader="none" w:pos="940" w:val="left"/>
        </w:tabs>
        <w:rPr>
          <w:sz w:val="20"/>
          <w:szCs w:val="20"/>
          <w:color w:val="auto"/>
        </w:rPr>
      </w:pPr>
      <w:r>
        <w:rPr>
          <w:rFonts w:ascii="Courier New" w:cs="Courier New" w:eastAsia="Courier New" w:hAnsi="Courier New"/>
          <w:sz w:val="14"/>
          <w:szCs w:val="14"/>
          <w:color w:val="auto"/>
        </w:rPr>
        <w:t>Name:</w:t>
        <w:tab/>
        <w:t>Patricia Gallagher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Title: Assistant Vice President</w:t>
      </w:r>
    </w:p>
    <w:p>
      <w:pPr>
        <w:spacing w:after="0" w:line="200" w:lineRule="exact"/>
        <w:rPr>
          <w:sz w:val="20"/>
          <w:szCs w:val="20"/>
          <w:color w:val="auto"/>
        </w:rPr>
      </w:pPr>
    </w:p>
    <w:p>
      <w:pPr>
        <w:sectPr>
          <w:pgSz w:w="11900" w:h="16838" w:orient="portrait"/>
          <w:cols w:equalWidth="0" w:num="2">
            <w:col w:w="3620" w:space="720"/>
            <w:col w:w="5899"/>
          </w:cols>
          <w:pgMar w:left="220" w:top="620" w:right="1440" w:bottom="1440" w:gutter="0" w:footer="0" w:header="0"/>
          <w:type w:val="continuous"/>
        </w:sectPr>
      </w:pPr>
    </w:p>
    <w:p>
      <w:pPr>
        <w:spacing w:after="0" w:line="14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82</w:t>
      </w:r>
    </w:p>
    <w:p>
      <w:pPr>
        <w:sectPr>
          <w:pgSz w:w="11900" w:h="16838" w:orient="portrait"/>
          <w:cols w:equalWidth="0" w:num="1">
            <w:col w:w="10239"/>
          </w:cols>
          <w:pgMar w:left="220" w:top="620" w:right="1440" w:bottom="1440" w:gutter="0" w:footer="0" w:header="0"/>
          <w:type w:val="continuous"/>
        </w:sectPr>
      </w:pPr>
    </w:p>
    <w:bookmarkStart w:id="199" w:name="page200"/>
    <w:bookmarkEnd w:id="199"/>
    <w:p>
      <w:pPr>
        <w:ind w:left="5920"/>
        <w:spacing w:after="0"/>
        <w:rPr>
          <w:sz w:val="20"/>
          <w:szCs w:val="20"/>
          <w:color w:val="auto"/>
        </w:rPr>
      </w:pPr>
      <w:r>
        <w:rPr>
          <w:rFonts w:ascii="Courier New" w:cs="Courier New" w:eastAsia="Courier New" w:hAnsi="Courier New"/>
          <w:sz w:val="14"/>
          <w:szCs w:val="14"/>
          <w:color w:val="auto"/>
        </w:rPr>
        <w:t>Exhibit 4.15</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FORM OF NOTE</w:t>
      </w:r>
    </w:p>
    <w:p>
      <w:pPr>
        <w:spacing w:after="0" w:line="8" w:lineRule="exact"/>
        <w:rPr>
          <w:sz w:val="20"/>
          <w:szCs w:val="20"/>
          <w:color w:val="auto"/>
        </w:rPr>
      </w:pPr>
    </w:p>
    <w:p>
      <w:pPr>
        <w:ind w:left="180" w:hanging="171"/>
        <w:spacing w:after="0"/>
        <w:tabs>
          <w:tab w:leader="none" w:pos="18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CUSIP/CINS 75040P AF 5</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8 7/8% Senior Subordinated Notes due 2011</w:t>
      </w:r>
    </w:p>
    <w:p>
      <w:pPr>
        <w:spacing w:after="0" w:line="1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 B-___</w:t>
        <w:tab/>
        <w:t>$____________</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RADIO ONE,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promise to pay to CEDE &amp; CO. or its registered assigns,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principal sum of 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July 1, 2011.</w:t>
      </w:r>
    </w:p>
    <w:p>
      <w:pPr>
        <w:spacing w:after="0" w:line="175"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4"/>
          <w:szCs w:val="14"/>
          <w:color w:val="auto"/>
        </w:rPr>
        <w:t>Interest Payment Dates:</w:t>
        <w:tab/>
        <w:t>January 1 and July 1</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Record Dates:</w:t>
        <w:tab/>
        <w:t>June 15 and December 15</w:t>
      </w:r>
    </w:p>
    <w:p>
      <w:pPr>
        <w:spacing w:after="0" w:line="17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May 18, 2001</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RADIO ONE, INC.</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By: ________________________________________</w:t>
      </w:r>
    </w:p>
    <w:p>
      <w:pPr>
        <w:spacing w:after="0" w:line="8" w:lineRule="exact"/>
        <w:rPr>
          <w:sz w:val="20"/>
          <w:szCs w:val="20"/>
          <w:color w:val="auto"/>
        </w:rPr>
      </w:pPr>
    </w:p>
    <w:p>
      <w:pPr>
        <w:ind w:left="2960"/>
        <w:spacing w:after="0"/>
        <w:tabs>
          <w:tab w:leader="none" w:pos="3540" w:val="left"/>
        </w:tabs>
        <w:rPr>
          <w:sz w:val="20"/>
          <w:szCs w:val="20"/>
          <w:color w:val="auto"/>
        </w:rPr>
      </w:pPr>
      <w:r>
        <w:rPr>
          <w:rFonts w:ascii="Courier New" w:cs="Courier New" w:eastAsia="Courier New" w:hAnsi="Courier New"/>
          <w:sz w:val="14"/>
          <w:szCs w:val="14"/>
          <w:color w:val="auto"/>
        </w:rPr>
        <w:t>Name:</w:t>
        <w:tab/>
        <w:t>Alfred C. Liggins, III</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Title: President and Chief Executive Officer</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By: ________________________________________</w:t>
      </w:r>
    </w:p>
    <w:p>
      <w:pPr>
        <w:spacing w:after="0" w:line="8" w:lineRule="exact"/>
        <w:rPr>
          <w:sz w:val="20"/>
          <w:szCs w:val="20"/>
          <w:color w:val="auto"/>
        </w:rPr>
      </w:pPr>
    </w:p>
    <w:p>
      <w:pPr>
        <w:ind w:left="2960"/>
        <w:spacing w:after="0"/>
        <w:tabs>
          <w:tab w:leader="none" w:pos="3540" w:val="left"/>
        </w:tabs>
        <w:rPr>
          <w:sz w:val="20"/>
          <w:szCs w:val="20"/>
          <w:color w:val="auto"/>
        </w:rPr>
      </w:pPr>
      <w:r>
        <w:rPr>
          <w:rFonts w:ascii="Courier New" w:cs="Courier New" w:eastAsia="Courier New" w:hAnsi="Courier New"/>
          <w:sz w:val="14"/>
          <w:szCs w:val="14"/>
          <w:color w:val="auto"/>
        </w:rPr>
        <w:t>Name:</w:t>
        <w:tab/>
        <w:t>Scott R. Royster</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Title: Executive Vice President and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Chief Financial Officer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(SEAL)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is one of the Notes referred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within-mentioned Indenture: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 Trust Company of New York,</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as Trustee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Authorized Signatory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75" w:right="1440" w:bottom="1440" w:gutter="0" w:footer="0" w:header="0"/>
        </w:sectPr>
      </w:pPr>
    </w:p>
    <w:bookmarkStart w:id="200" w:name="page201"/>
    <w:bookmarkEnd w:id="200"/>
    <w:p>
      <w:pPr>
        <w:ind w:left="1660"/>
        <w:spacing w:after="0"/>
        <w:rPr>
          <w:sz w:val="20"/>
          <w:szCs w:val="20"/>
          <w:color w:val="auto"/>
        </w:rPr>
      </w:pPr>
      <w:r>
        <w:rPr>
          <w:rFonts w:ascii="Courier New" w:cs="Courier New" w:eastAsia="Courier New" w:hAnsi="Courier New"/>
          <w:sz w:val="14"/>
          <w:szCs w:val="14"/>
          <w:color w:val="auto"/>
        </w:rPr>
        <w:t>8 7/8% Senior Subordinated Notes due 2011</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Capitalized terms used herein shall have the meanings assigned to them in the Indenture referred to below unless otherwise indicated.</w:t>
      </w:r>
    </w:p>
    <w:p>
      <w:pPr>
        <w:spacing w:after="0" w:line="160" w:lineRule="exact"/>
        <w:rPr>
          <w:sz w:val="20"/>
          <w:szCs w:val="20"/>
          <w:color w:val="auto"/>
        </w:rPr>
      </w:pPr>
    </w:p>
    <w:p>
      <w:pPr>
        <w:ind w:right="3279" w:firstLine="443"/>
        <w:spacing w:after="0" w:line="252" w:lineRule="auto"/>
        <w:tabs>
          <w:tab w:leader="none" w:pos="694"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Radio One, Inc., a Delaware corporation (the "Company"), promises to pay interest on the principal amount of this Note at 8 7/8% per annum from May 18, 2001 until maturity and to pay the Liquidated Damages payable pursuant to Section 5 of the Registration Rights Agreement referred to below. The Company will pay interest and Liquidated Damages semi-annually in arrears on January 1 and July 1 of each year, or if any such day is not a Business Day, on the next succeeding Business Day (each an "Interest Payment Date"). Interest on the Notes will accrue from the most recent date to which interest has been paid or, if no interest has been paid, from the date of issuance; provided that if there is no existing Default in the payment of interest, and if this Note is authenticated between a record date referred to on the face hereof and the next succeeding Interest Payment Date, interest shall accrue from such next succeeding Interest Payment Date; provided, further, that the first Interest Payment Date shall be January 1, 2002. The Company shall pay interest (including post-petition interest in any proceeding under any Bankruptcy Law) on overdue principal and premium, if any, from time to time on demand at a rate that is 1% per annum in excess of the rate then in effect; it shall pay interest (including post-petition interest in any proceeding under any Bankruptcy Law) on overdue installments of interest and Liquidated Damages (without regard to any applicable grace periods) from time to time on demand at the same rate to the extent lawful. Interest will be computed on the basis of a 360-day year of twelve 30-day months.</w:t>
      </w:r>
    </w:p>
    <w:p>
      <w:pPr>
        <w:spacing w:after="0" w:line="341" w:lineRule="exact"/>
        <w:rPr>
          <w:rFonts w:ascii="Courier New" w:cs="Courier New" w:eastAsia="Courier New" w:hAnsi="Courier New"/>
          <w:sz w:val="14"/>
          <w:szCs w:val="14"/>
          <w:color w:val="auto"/>
        </w:rPr>
      </w:pPr>
    </w:p>
    <w:p>
      <w:pPr>
        <w:ind w:right="3279" w:firstLine="443"/>
        <w:spacing w:after="0" w:line="252" w:lineRule="auto"/>
        <w:tabs>
          <w:tab w:leader="none" w:pos="694"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Payment. The Company will pay interest on the Notes (except defaulted interest) and Liquidated Damages to the Persons who are registered Holders of Notes at the close of business on the January 1 or July 1 next preceding the Interest Payment Date, even if such Notes are canceled after such record date and on or before such Interest Payment Date, except as provided in Section 2.12 of the Indenture with respect to defaulted interest. The Notes will be payable as to principal, premium and Liquidated Damages, if any, and interest at the office or agency of the Company maintained for such purpose within or without the City and State of New York, or, at the option of the Company, payment of interest and Liquidated Damages may be made by check mailed to the Holders at their addresses set forth in the register of Holders, and provided that payment by wire transfer of immediately available funds will be required with respect to principal of and interest, premium and Liquidated Damages on, all Global Notes and all other Notes the Holders of which shall have provided wire transfer instructions to the Company or the Paying Agent. Such payment shall be in such coin or currency of the United States of America as at the time of payment is legal tender for payment of public and private debts.</w:t>
      </w:r>
    </w:p>
    <w:p>
      <w:pPr>
        <w:spacing w:after="0" w:line="173" w:lineRule="exact"/>
        <w:rPr>
          <w:rFonts w:ascii="Courier New" w:cs="Courier New" w:eastAsia="Courier New" w:hAnsi="Courier New"/>
          <w:sz w:val="14"/>
          <w:szCs w:val="14"/>
          <w:color w:val="auto"/>
        </w:rPr>
      </w:pPr>
    </w:p>
    <w:p>
      <w:pPr>
        <w:ind w:right="3459" w:firstLine="443"/>
        <w:spacing w:after="0" w:line="254" w:lineRule="auto"/>
        <w:tabs>
          <w:tab w:leader="none" w:pos="694"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Paying Agent and Registrar. Initially, United States Trust Company of New York, the Trustee under the Indenture, will act as Paying Agent and Registrar. The Company may change any Paying Agent or Registrar without notice to any Holder. The Company or any of its Subsidiaries may act in any such capacity.</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694"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The Company issued the Notes under an Indenture dated as of May 18, 2001 ("Indenture") among the Company, the guarantors party thereto (the "Guarantors") and the Trustee. The terms of the Notes include those stated in the Indenture and those made part of the Indenture by reference to the Trust Indenture Act of 1939, as amended (15 U.S. Code (S)(S)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obligations of the Company limited to $300.0 million in aggregate principal amount, plus amounts, if any, issued to pay Liquidated Damages on outstanding Notes as set forth in Paragraph 2 hereof.</w:t>
      </w:r>
    </w:p>
    <w:p>
      <w:pPr>
        <w:sectPr>
          <w:pgSz w:w="11900" w:h="16838" w:orient="portrait"/>
          <w:cols w:equalWidth="0" w:num="1">
            <w:col w:w="10239"/>
          </w:cols>
          <w:pgMar w:left="220" w:top="620" w:right="1440" w:bottom="1440" w:gutter="0" w:footer="0" w:header="0"/>
        </w:sectPr>
      </w:pPr>
    </w:p>
    <w:bookmarkStart w:id="201" w:name="page202"/>
    <w:bookmarkEnd w:id="201"/>
    <w:p>
      <w:pPr>
        <w:ind w:left="800" w:hanging="357"/>
        <w:spacing w:after="0"/>
        <w:tabs>
          <w:tab w:leader="none" w:pos="80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Redemption.</w:t>
      </w:r>
    </w:p>
    <w:p>
      <w:pPr>
        <w:spacing w:after="0" w:line="175" w:lineRule="exact"/>
        <w:rPr>
          <w:sz w:val="20"/>
          <w:szCs w:val="20"/>
          <w:color w:val="auto"/>
        </w:rPr>
      </w:pPr>
    </w:p>
    <w:p>
      <w:pPr>
        <w:ind w:right="3379" w:firstLine="443"/>
        <w:spacing w:after="0" w:line="253" w:lineRule="auto"/>
        <w:tabs>
          <w:tab w:leader="none" w:pos="781"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subparagraph (b) of this Paragraph 5, the Company shall not have the option to redeem the Notes prior to July 1, 2006. Thereafter, the Company shall have the option to redeem the Notes, in whole or in part, upon not less than 30 nor more than 60 days' notice, at the redemption prices (expressed as percentages of principal amount) set forth below plus accrued and unpaid interest and Liquidated Damages thereon to the applicable redemption date, if redeemed during the twelve-month period beginning on July 1 of the years indicated below: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Year</w:t>
            </w:r>
          </w:p>
        </w:tc>
        <w:tc>
          <w:tcPr>
            <w:tcW w:w="4520" w:type="dxa"/>
            <w:vAlign w:val="bottom"/>
          </w:tcPr>
          <w:p>
            <w:pPr>
              <w:spacing w:after="0"/>
              <w:rPr>
                <w:sz w:val="14"/>
                <w:szCs w:val="14"/>
                <w:color w:val="auto"/>
              </w:rPr>
            </w:pP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Percentage</w:t>
            </w:r>
          </w:p>
        </w:tc>
      </w:tr>
      <w:tr>
        <w:trPr>
          <w:trHeight w:val="167"/>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w:t>
            </w:r>
          </w:p>
        </w:tc>
        <w:tc>
          <w:tcPr>
            <w:tcW w:w="4520" w:type="dxa"/>
            <w:vAlign w:val="bottom"/>
          </w:tcPr>
          <w:p>
            <w:pPr>
              <w:spacing w:after="0"/>
              <w:rPr>
                <w:sz w:val="14"/>
                <w:szCs w:val="14"/>
                <w:color w:val="auto"/>
              </w:rPr>
            </w:pPr>
          </w:p>
        </w:tc>
        <w:tc>
          <w:tcPr>
            <w:tcW w:w="12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2006</w:t>
            </w:r>
          </w:p>
        </w:tc>
        <w:tc>
          <w:tcPr>
            <w:tcW w:w="4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104.438%</w:t>
            </w:r>
          </w:p>
        </w:tc>
      </w:tr>
      <w:tr>
        <w:trPr>
          <w:trHeight w:val="167"/>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2007</w:t>
            </w:r>
          </w:p>
        </w:tc>
        <w:tc>
          <w:tcPr>
            <w:tcW w:w="4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102.958%</w:t>
            </w:r>
          </w:p>
        </w:tc>
      </w:tr>
      <w:tr>
        <w:trPr>
          <w:trHeight w:val="167"/>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2008</w:t>
            </w:r>
          </w:p>
        </w:tc>
        <w:tc>
          <w:tcPr>
            <w:tcW w:w="4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101.479%</w:t>
            </w:r>
          </w:p>
        </w:tc>
      </w:tr>
      <w:tr>
        <w:trPr>
          <w:trHeight w:val="167"/>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2009</w:t>
            </w:r>
          </w:p>
        </w:tc>
        <w:tc>
          <w:tcPr>
            <w:tcW w:w="4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and thereafter.................................</w:t>
            </w:r>
          </w:p>
        </w:tc>
        <w:tc>
          <w:tcPr>
            <w:tcW w:w="12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100.000%</w:t>
            </w:r>
          </w:p>
        </w:tc>
      </w:tr>
    </w:tbl>
    <w:p>
      <w:pPr>
        <w:spacing w:after="0" w:line="338" w:lineRule="exact"/>
        <w:rPr>
          <w:sz w:val="20"/>
          <w:szCs w:val="20"/>
          <w:color w:val="auto"/>
        </w:rPr>
      </w:pPr>
    </w:p>
    <w:p>
      <w:pPr>
        <w:ind w:right="3279" w:firstLine="443"/>
        <w:spacing w:after="0" w:line="253" w:lineRule="auto"/>
        <w:tabs>
          <w:tab w:leader="none" w:pos="781"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subparagraph (a) of this Paragraph 5, at any time prior to July 1, 2004, the Company may redeem Notes with the net proceeds of one or more Equity Offerings at a redemption price equal to 108.875% of the aggregate principal amount thereof; provided that at least 65% in aggregate principal amount of the Notes originally issued remain outstanding immediately after the occurrence of such redemption and that such redemption occurs within 180 days of the date of the closing of such Equity Offering.</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 Mandatory Redemption.</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Except as set forth in paragraph 7 below, the Company shall not be required to make mandatory redemption payments with respect to the Notes.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 Repurchase at Option Holder.</w:t>
      </w:r>
    </w:p>
    <w:p>
      <w:pPr>
        <w:spacing w:after="0" w:line="175" w:lineRule="exact"/>
        <w:rPr>
          <w:sz w:val="20"/>
          <w:szCs w:val="20"/>
          <w:color w:val="auto"/>
        </w:rPr>
      </w:pPr>
    </w:p>
    <w:p>
      <w:pPr>
        <w:ind w:right="3379" w:firstLine="443"/>
        <w:spacing w:after="0" w:line="253" w:lineRule="auto"/>
        <w:tabs>
          <w:tab w:leader="none" w:pos="781"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is a Change of Control, the Company shall be required to make an offer (a "Change of Control Offer") to repurchase all or any part (equal to $1,000 or an integral multiple thereof) of each Holder's Notes at a purchase price equal to 101% of the aggregate principal amount thereof plus accrued and unpaid interest and Liquidated Damages thereon, if any, to the date of purchase (the "Change of Control Payment"). Within 60 days following any Change of Control, the Company shall mail a notice to each Holder setting forth the procedures governing the Change of Control Offer as required by the Indenture.</w:t>
      </w:r>
    </w:p>
    <w:p>
      <w:pPr>
        <w:spacing w:after="0" w:line="164" w:lineRule="exact"/>
        <w:rPr>
          <w:rFonts w:ascii="Courier New" w:cs="Courier New" w:eastAsia="Courier New" w:hAnsi="Courier New"/>
          <w:sz w:val="14"/>
          <w:szCs w:val="14"/>
          <w:color w:val="auto"/>
        </w:rPr>
      </w:pPr>
    </w:p>
    <w:p>
      <w:pPr>
        <w:ind w:right="3279" w:firstLine="443"/>
        <w:spacing w:after="0" w:line="252" w:lineRule="auto"/>
        <w:tabs>
          <w:tab w:leader="none" w:pos="781"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or a Subsidiary consummates any Asset Sales, within five days of each date on which the aggregate amount of Excess Proceeds exceeds $10.0 million, the Company shall commence an offer to all Holders of Notes (as "Asset Sale Offer") pursuant to Section 3.09 of the Indenture to purchase the maximum principal amount of Notes (including any Additional Notes) that may be purchased out of the Excess Proceeds at an offer price in cash in an amount equal to 100% of the principal amount thereof plus accrued and unpaid interest and Liquidated Damages thereon, if any, to the date fixed for the closing of such offer, in accordance with the procedures set forth in the Indenture. To the extent that the aggregate amount of Notes (including any Additional Notes) tendered pursuant to an Asset Sale Offer is less than the Excess Proceeds, the Company (or such Subsidiary) may use such deficiency for general corporate purposes. If the aggregate principal amount of Notes surrendered by Holders thereof exceeds the amount of Excess Proceeds, the Trustee shall select the Notes to be purchased on a pro rata basis. Holders of Notes that are the subject of an offer to purchase will receive an Asset Sale Offer from the Company prior to any related purchase date and may elect to have such</w:t>
      </w:r>
    </w:p>
    <w:p>
      <w:pPr>
        <w:sectPr>
          <w:pgSz w:w="11900" w:h="16838" w:orient="portrait"/>
          <w:cols w:equalWidth="0" w:num="1">
            <w:col w:w="10239"/>
          </w:cols>
          <w:pgMar w:left="220" w:top="620" w:right="1440" w:bottom="1440" w:gutter="0" w:footer="0" w:header="0"/>
        </w:sectPr>
      </w:pPr>
    </w:p>
    <w:bookmarkStart w:id="202" w:name="page203"/>
    <w:bookmarkEnd w:id="202"/>
    <w:p>
      <w:pPr>
        <w:ind w:right="3799"/>
        <w:spacing w:after="0" w:line="258" w:lineRule="auto"/>
        <w:rPr>
          <w:sz w:val="20"/>
          <w:szCs w:val="20"/>
          <w:color w:val="auto"/>
        </w:rPr>
      </w:pPr>
      <w:r>
        <w:rPr>
          <w:rFonts w:ascii="Courier New" w:cs="Courier New" w:eastAsia="Courier New" w:hAnsi="Courier New"/>
          <w:sz w:val="14"/>
          <w:szCs w:val="14"/>
          <w:color w:val="auto"/>
        </w:rPr>
        <w:t>Notes purchased by completing the form entitled "Option of Holder to Elect Purchase" on the reverse of the Notes.</w:t>
      </w:r>
    </w:p>
    <w:p>
      <w:pPr>
        <w:spacing w:after="0" w:line="160" w:lineRule="exact"/>
        <w:rPr>
          <w:sz w:val="20"/>
          <w:szCs w:val="20"/>
          <w:color w:val="auto"/>
        </w:rPr>
      </w:pPr>
    </w:p>
    <w:p>
      <w:pPr>
        <w:ind w:right="3279" w:firstLine="443"/>
        <w:spacing w:after="0" w:line="253" w:lineRule="auto"/>
        <w:tabs>
          <w:tab w:leader="none" w:pos="781"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Redemption. Notice of redemption will be mailed at least 30 days but not more than 60 days before the redemption date to each Holder whose Notes are to be redeemed at its registered address. Notes in denominations larger than $1,000 may be redeemed in part but only in whole multiples of $1,000, unless all of the Notes held by a Holder are to be redeemed. On and after the redemption date interest ceases to accrue on Notes or portions thereof called for redemption.</w:t>
      </w:r>
    </w:p>
    <w:p>
      <w:pPr>
        <w:spacing w:after="0" w:line="332"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Denominations, Transfer, Exchange. The Notes are in registered form without coupons in denominations of $1,000 and integral multiples of $1,000.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163" w:lineRule="exact"/>
        <w:rPr>
          <w:rFonts w:ascii="Courier New" w:cs="Courier New" w:eastAsia="Courier New" w:hAnsi="Courier New"/>
          <w:sz w:val="14"/>
          <w:szCs w:val="14"/>
          <w:color w:val="auto"/>
        </w:rPr>
      </w:pPr>
    </w:p>
    <w:p>
      <w:pPr>
        <w:ind w:right="3279" w:firstLine="443"/>
        <w:spacing w:after="0" w:line="255" w:lineRule="auto"/>
        <w:tabs>
          <w:tab w:leader="none" w:pos="781"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Deemed Owners. The registered Holder of a Note may be treated as its owner for all purposes, subject to the provisions of the Notes for record dates.</w:t>
      </w:r>
    </w:p>
    <w:p>
      <w:pPr>
        <w:spacing w:after="0" w:line="162" w:lineRule="exact"/>
        <w:rPr>
          <w:rFonts w:ascii="Courier New" w:cs="Courier New" w:eastAsia="Courier New" w:hAnsi="Courier New"/>
          <w:sz w:val="14"/>
          <w:szCs w:val="14"/>
          <w:color w:val="auto"/>
        </w:rPr>
      </w:pPr>
    </w:p>
    <w:p>
      <w:pPr>
        <w:ind w:right="3279" w:firstLine="443"/>
        <w:spacing w:after="0" w:line="252" w:lineRule="auto"/>
        <w:tabs>
          <w:tab w:leader="none" w:pos="781"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Supplement and Waiver. Subject to certain exceptions, the Indenture, the Subsidiary Guarantees or the Notes may be amended or supplemented with the consent of the Holders of at least a majority in principal amount of the then outstanding Notes and Additional Notes, if any, voting as a single class, and any existing default or compliance with any provision of the Indenture, the Subsidiary Guarantees or the Notes may be waived with the consent of the Holders of a majority in principal amount of the then outstanding Notes and Additional Notes, if any, voting as a single class. Without the consent of any Holder of a Note, the Indenture, the Subsidiary Guarantees or the Notes may be amended or supplemented to cure any ambiguity, defect or inconsistency, to provide for uncertificated Notes in addition to or in place of certificated Notes, to provide for the assumption of the Company's or Guarantor's obligations to Holders of the Notes in case of a merger or consolidation, to make any change that would provide any additional rights or benefits to the Holders of the Notes or that does not adversely affect the legal rights under the Indenture of any such Holder, to comply with the requirements of the SEC in order to effect or maintain the qualification of the Indenture under the Trust Indenture Act, to provide for the Issuance of Additional Notes in accordance with the limitations set forth in the Indenture, or to allow any Guarantor to execute a supplemental indenture to the Indenture and/or a Subsidiary Guarantee with respect to the Notes.</w:t>
      </w:r>
    </w:p>
    <w:p>
      <w:pPr>
        <w:spacing w:after="0" w:line="341" w:lineRule="exact"/>
        <w:rPr>
          <w:rFonts w:ascii="Courier New" w:cs="Courier New" w:eastAsia="Courier New" w:hAnsi="Courier New"/>
          <w:sz w:val="14"/>
          <w:szCs w:val="14"/>
          <w:color w:val="auto"/>
        </w:rPr>
      </w:pPr>
    </w:p>
    <w:p>
      <w:pPr>
        <w:ind w:right="3459" w:firstLine="443"/>
        <w:spacing w:after="0" w:line="252" w:lineRule="auto"/>
        <w:tabs>
          <w:tab w:leader="none" w:pos="781" w:val="left"/>
        </w:tabs>
        <w:numPr>
          <w:ilvl w:val="1"/>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Defaults and Remedies. Events of Default include: (i) default for 30 days in the payment when due of interest or Liquidated Damages on the Notes;</w:t>
      </w:r>
    </w:p>
    <w:p>
      <w:pPr>
        <w:ind w:right="3279" w:firstLine="9"/>
        <w:spacing w:after="0" w:line="253" w:lineRule="auto"/>
        <w:tabs>
          <w:tab w:leader="none" w:pos="434"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payment when due of principal of or premium, if any, on the Notes when the same becomes due and payable at maturity, upon redemption (including in connection with an offer to purchase) or otherwise, (iii) failure by the Company to comply with Section 4.15 of the Indenture; (iv) failure by the Company for 30 days after notice to the Company by the Trustee or the Holders of at least 25% in principal amount of the Notes (including Additional Notes, if any) then outstanding voting as a single class to comply with Section 4.07, 4.09 or 4.10 or 5.01 of the Indenture; (v) failure by the Company for 60 days after notice to the Company by the Trustee or the Holders of at least 25% in principal amount of the Notes (including Additional Notes, if any) then outstanding voting as a single class to comply with certain other agreements in the Indenture, the Notes; (vi) default under certain other agreements relating to Indebtedness of the Company which default is caused by a failure to pay principal of such Indebtedness at the final maturity thereof or results</w:t>
      </w:r>
    </w:p>
    <w:p>
      <w:pPr>
        <w:sectPr>
          <w:pgSz w:w="11900" w:h="16838" w:orient="portrait"/>
          <w:cols w:equalWidth="0" w:num="1">
            <w:col w:w="10239"/>
          </w:cols>
          <w:pgMar w:left="220" w:top="620" w:right="1440" w:bottom="1440" w:gutter="0" w:footer="0" w:header="0"/>
        </w:sectPr>
      </w:pPr>
    </w:p>
    <w:bookmarkStart w:id="203" w:name="page204"/>
    <w:bookmarkEnd w:id="203"/>
    <w:p>
      <w:pPr>
        <w:ind w:right="3279"/>
        <w:spacing w:after="0" w:line="252" w:lineRule="auto"/>
        <w:rPr>
          <w:sz w:val="20"/>
          <w:szCs w:val="20"/>
          <w:color w:val="auto"/>
        </w:rPr>
      </w:pPr>
      <w:r>
        <w:rPr>
          <w:rFonts w:ascii="Courier New" w:cs="Courier New" w:eastAsia="Courier New" w:hAnsi="Courier New"/>
          <w:sz w:val="14"/>
          <w:szCs w:val="14"/>
          <w:color w:val="auto"/>
        </w:rPr>
        <w:t>in the acceleration of such Indebtedness prior to its express maturity; (vii) certain final judgments for the payment of money that remain undischarged for a period of 60 days; (viii) certain events of bankruptcy or insolvency with respect to the Company or any of its Significant Subsidiaries; and (ix) except as permitted by the Indenture, any Subsidiary Guarantee of a Significant Subsidiary shall be held in any judicial proceeding to be unenforceable or invalid or shall cease for any reason to be in full force and effect or any Guarantor that is a Significant Subsidiary or any Person acting on its behalf shall deny or disaffirm its obligations under such Guarantor's Subsidiary Guarantee. If any Event of Default occurs and is continuing, the Trustee or the Holders of at least 25% in principal amount of the then outstanding Notes may declare all the Notes to be due and payable. Notwithstanding the foregoing, in the case of an Event of Default arising from certain events of bankruptcy or insolvency, all outstanding Notes will become due and payable without further action or notice. Holders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 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on, or the principal of, the Notes. The Company is required to deliver to the Trustee annually a statement regarding compliance with the Indenture, and the Company is required upon becoming aware of any Default or Event of Default, to deliver to the Trustee a statement specifying such Default or Event of Default.</w:t>
      </w:r>
    </w:p>
    <w:p>
      <w:pPr>
        <w:spacing w:after="0" w:line="178" w:lineRule="exact"/>
        <w:rPr>
          <w:sz w:val="20"/>
          <w:szCs w:val="20"/>
          <w:color w:val="auto"/>
        </w:rPr>
      </w:pPr>
    </w:p>
    <w:p>
      <w:pPr>
        <w:ind w:right="3459" w:firstLine="443"/>
        <w:spacing w:after="0" w:line="254" w:lineRule="auto"/>
        <w:tabs>
          <w:tab w:leader="none" w:pos="781"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Trustee Dealings with Company. The Trustee, in its individual or any other capacity, may make loans to, accept deposits from, and perform services for the Company or its Affiliates, and may otherwise deal with the Company or its Affiliates, as if it were not the Trustee.</w:t>
      </w:r>
    </w:p>
    <w:p>
      <w:pPr>
        <w:spacing w:after="0" w:line="163"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Recourse Against Others. A director, officer, employee, incorporator or stockholder, of the Company, as such, shall not have any 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65" w:lineRule="exact"/>
        <w:rPr>
          <w:rFonts w:ascii="Courier New" w:cs="Courier New" w:eastAsia="Courier New" w:hAnsi="Courier New"/>
          <w:sz w:val="14"/>
          <w:szCs w:val="14"/>
          <w:color w:val="auto"/>
        </w:rPr>
      </w:pPr>
    </w:p>
    <w:p>
      <w:pPr>
        <w:ind w:right="3279" w:firstLine="443"/>
        <w:spacing w:after="0" w:line="258" w:lineRule="auto"/>
        <w:tabs>
          <w:tab w:leader="none" w:pos="781"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Authentication. This Note shall not be valid until authenticated by the manual signature of the Trustee or an authenticating agent.</w:t>
      </w:r>
    </w:p>
    <w:p>
      <w:pPr>
        <w:spacing w:after="0" w:line="159" w:lineRule="exact"/>
        <w:rPr>
          <w:rFonts w:ascii="Courier New" w:cs="Courier New" w:eastAsia="Courier New" w:hAnsi="Courier New"/>
          <w:sz w:val="14"/>
          <w:szCs w:val="14"/>
          <w:color w:val="auto"/>
        </w:rPr>
      </w:pPr>
    </w:p>
    <w:p>
      <w:pPr>
        <w:ind w:right="3539" w:firstLine="443"/>
        <w:spacing w:after="0" w:line="252" w:lineRule="auto"/>
        <w:tabs>
          <w:tab w:leader="none" w:pos="781"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Abbreviations. Customary abbreviations may be used in the name of a Holder or an assignee, such as: TEN COM (= tenants in common), TEN ENT</w:t>
      </w:r>
    </w:p>
    <w:p>
      <w:pPr>
        <w:ind w:right="37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tenants by the entireties), JT TEN (= joint tenants with right of survivorship and not as tenants in common), CUST (= Custodian), and U/G/M/A (= Uniform Gifts to Minors Act).</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Rights of Holders of Restricted Global Notes and Restricted Definitive Notes. In addition to the rights provided to Holders of Notes under the Indenture, Holders of Restricted Global Notes and Restricted Definitive Notes shall have all the rights set forth in the Registration Rights Agreement dated as of May 18, 2001, among the Company, the Guarantors and the other parties named on the signature pages thereof or, in the case of Additional Notes, Holders of Restricted Global Notes and Restricted Definitive Notes shall have the rights set forth in one or more registration rights agreements, if any, between the Company and the other parties thereto, relating to rights given by the Company to the purchasers of any Additional Notes (collectively, the "Registration Rights Agreement").</w:t>
      </w:r>
    </w:p>
    <w:p>
      <w:pPr>
        <w:sectPr>
          <w:pgSz w:w="11900" w:h="16838" w:orient="portrait"/>
          <w:cols w:equalWidth="0" w:num="1">
            <w:col w:w="10239"/>
          </w:cols>
          <w:pgMar w:left="220" w:top="620" w:right="1440" w:bottom="1440" w:gutter="0" w:footer="0" w:header="0"/>
        </w:sectPr>
      </w:pPr>
    </w:p>
    <w:bookmarkStart w:id="204" w:name="page205"/>
    <w:bookmarkEnd w:id="204"/>
    <w:p>
      <w:pPr>
        <w:ind w:right="3379" w:firstLine="443"/>
        <w:spacing w:after="0" w:line="253" w:lineRule="auto"/>
        <w:tabs>
          <w:tab w:leader="none" w:pos="781"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CUSIP Numbers.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64" w:lineRule="exact"/>
        <w:rPr>
          <w:rFonts w:ascii="Courier New" w:cs="Courier New" w:eastAsia="Courier New" w:hAnsi="Courier New"/>
          <w:sz w:val="14"/>
          <w:szCs w:val="14"/>
          <w:color w:val="auto"/>
        </w:rPr>
      </w:pPr>
    </w:p>
    <w:p>
      <w:pPr>
        <w:ind w:right="3279" w:firstLine="443"/>
        <w:spacing w:after="0" w:line="254" w:lineRule="auto"/>
        <w:tabs>
          <w:tab w:leader="none" w:pos="781"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INTERNAL LAW OF THE STATE OF NEW YORK SHALL GOVERN AND BE USED TO CONSTRUE THE NOTES WITHOUT GIVING EFFECT TO APPLICABLE PRINCIPLES OF CONFLICTS OF LAW TO THE EXTENT THAT THE APPLICATION OF THE LAWS OF ANOTHER JURISDICTION WOULD BE REQUIRED THEREBY.</w:t>
      </w:r>
    </w:p>
    <w:p>
      <w:pPr>
        <w:spacing w:after="0" w:line="163" w:lineRule="exact"/>
        <w:rPr>
          <w:rFonts w:ascii="Courier New" w:cs="Courier New" w:eastAsia="Courier New" w:hAnsi="Courier New"/>
          <w:sz w:val="14"/>
          <w:szCs w:val="14"/>
          <w:color w:val="auto"/>
        </w:rPr>
      </w:pPr>
    </w:p>
    <w:p>
      <w:pPr>
        <w:ind w:right="3279" w:firstLine="443"/>
        <w:spacing w:after="0" w:line="252" w:lineRule="auto"/>
        <w:tabs>
          <w:tab w:leader="none" w:pos="781"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Submission to Jurisdiction; Service of Process; Waiver of Jury Trial. Each party hereto hereby submits to the nonexclusive jurisdiction of the United States District Court for the Southern District of New York and of any New York State Court sitting in New York City for purposes of all legal proceedings arising out of or relating to the Notes or the transactions contemplated hereby. Each party hereto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Process in any such suit, action or proceeding may be served on any party anywhere in the world, whether within or without the State of New York. Without limiting the foregoing, the parties agree that service of process upon such party at the address referred to in Section 13.02 of the Indenture, together with written notice of such service to such party, shall be deemed effective service of process upon such party. Each of the parties hereto irrevocably waives any and all rights to trial by jury in any legal proceeding arising out of or relating to the Notes or the transactions contemplated hereby.</w:t>
      </w:r>
    </w:p>
    <w:p>
      <w:pPr>
        <w:spacing w:after="0" w:line="173"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Company will furnish to any Holder upon written request and without charge a copy of the Indenture and/or the Registration Rights Agreement. Requests may be made to:</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Radio One,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5900 Princess Garden Parkway, 7th Floor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Lanham, MD 20706</w:t>
      </w:r>
    </w:p>
    <w:p>
      <w:pPr>
        <w:spacing w:after="0" w:line="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Attention:</w:t>
        <w:tab/>
        <w:t>Linda J. Eckard Vilardo</w:t>
      </w:r>
    </w:p>
    <w:p>
      <w:pPr>
        <w:sectPr>
          <w:pgSz w:w="11900" w:h="16838" w:orient="portrait"/>
          <w:cols w:equalWidth="0" w:num="1">
            <w:col w:w="10239"/>
          </w:cols>
          <w:pgMar w:left="220" w:top="620" w:right="1440" w:bottom="1440" w:gutter="0" w:footer="0" w:header="0"/>
        </w:sectPr>
      </w:pPr>
    </w:p>
    <w:bookmarkStart w:id="205" w:name="page206"/>
    <w:bookmarkEnd w:id="205"/>
    <w:p>
      <w:pPr>
        <w:ind w:left="2780"/>
        <w:spacing w:after="0"/>
        <w:rPr>
          <w:sz w:val="20"/>
          <w:szCs w:val="20"/>
          <w:color w:val="auto"/>
        </w:rPr>
      </w:pPr>
      <w:r>
        <w:rPr>
          <w:rFonts w:ascii="Courier New" w:cs="Courier New" w:eastAsia="Courier New" w:hAnsi="Courier New"/>
          <w:sz w:val="14"/>
          <w:szCs w:val="14"/>
          <w:color w:val="auto"/>
        </w:rPr>
        <w:t>Assignment Form</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assign this Note, fill in the form below:</w:t>
      </w:r>
    </w:p>
    <w:p>
      <w:pPr>
        <w:spacing w:after="0" w:line="175" w:lineRule="exact"/>
        <w:rPr>
          <w:sz w:val="20"/>
          <w:szCs w:val="20"/>
          <w:color w:val="auto"/>
        </w:rPr>
      </w:pPr>
    </w:p>
    <w:p>
      <w:pPr>
        <w:ind w:left="360" w:hanging="351"/>
        <w:spacing w:after="0"/>
        <w:tabs>
          <w:tab w:leader="none" w:pos="36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(we) assign and transfer this Note to: _________________________________</w:t>
      </w:r>
    </w:p>
    <w:p>
      <w:pPr>
        <w:spacing w:after="0" w:line="8" w:lineRule="exact"/>
        <w:rPr>
          <w:rFonts w:ascii="Courier New" w:cs="Courier New" w:eastAsia="Courier New" w:hAnsi="Courier New"/>
          <w:sz w:val="14"/>
          <w:szCs w:val="14"/>
          <w:color w:val="auto"/>
        </w:rPr>
      </w:pPr>
    </w:p>
    <w:p>
      <w:pPr>
        <w:ind w:left="4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(Insert assignee's legal name)</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(Insert assignee's soc. sec. or tax I.D. no.)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(Print or type assignee's name, address and zip code)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irrevocably appoint ________________________________________________________</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to transfer this Note on the books of the Company. The agent may substitute another to act for him.</w:t>
      </w:r>
    </w:p>
    <w:p>
      <w:pPr>
        <w:spacing w:after="0" w:line="16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_______________</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Your Signature: __________________________________</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(Sign exactly as your name appears on the face of</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this Note)</w:t>
      </w:r>
    </w:p>
    <w:p>
      <w:pPr>
        <w:spacing w:after="0" w:line="175"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4"/>
          <w:szCs w:val="14"/>
          <w:color w:val="auto"/>
        </w:rPr>
        <w:t>Signature Guarantee*:</w:t>
        <w:tab/>
        <w:t>_________________________</w:t>
      </w:r>
    </w:p>
    <w:p>
      <w:pPr>
        <w:spacing w:after="0" w:line="175" w:lineRule="exact"/>
        <w:rPr>
          <w:sz w:val="20"/>
          <w:szCs w:val="20"/>
          <w:color w:val="auto"/>
        </w:rPr>
      </w:pPr>
    </w:p>
    <w:p>
      <w:pPr>
        <w:ind w:right="3459" w:firstLine="9"/>
        <w:spacing w:after="0" w:line="258" w:lineRule="auto"/>
        <w:tabs>
          <w:tab w:leader="none" w:pos="26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in a recognized Signature Guarantee Medallion Program (or other signature guarantor acceptable to the Trustee).</w:t>
      </w:r>
    </w:p>
    <w:p>
      <w:pPr>
        <w:sectPr>
          <w:pgSz w:w="11900" w:h="16838" w:orient="portrait"/>
          <w:cols w:equalWidth="0" w:num="1">
            <w:col w:w="10239"/>
          </w:cols>
          <w:pgMar w:left="220" w:top="620" w:right="1440" w:bottom="1440" w:gutter="0" w:footer="0" w:header="0"/>
        </w:sectPr>
      </w:pPr>
    </w:p>
    <w:bookmarkStart w:id="206" w:name="page207"/>
    <w:bookmarkEnd w:id="206"/>
    <w:p>
      <w:pPr>
        <w:ind w:left="2000"/>
        <w:spacing w:after="0"/>
        <w:rPr>
          <w:sz w:val="20"/>
          <w:szCs w:val="20"/>
          <w:color w:val="auto"/>
        </w:rPr>
      </w:pPr>
      <w:r>
        <w:rPr>
          <w:rFonts w:ascii="Courier New" w:cs="Courier New" w:eastAsia="Courier New" w:hAnsi="Courier New"/>
          <w:sz w:val="14"/>
          <w:szCs w:val="14"/>
          <w:color w:val="auto"/>
        </w:rPr>
        <w:t>Option of Holder to Elect Purchase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you want to elect to have this Note purchased by the Company pursuant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4.10 or 4.15 of the Indenture, check the appropriate box below:</w:t>
      </w:r>
    </w:p>
    <w:p>
      <w:pPr>
        <w:spacing w:after="0" w:line="175" w:lineRule="exact"/>
        <w:rPr>
          <w:sz w:val="20"/>
          <w:szCs w:val="20"/>
          <w:color w:val="auto"/>
        </w:rPr>
      </w:pPr>
    </w:p>
    <w:p>
      <w:pPr>
        <w:jc w:val="center"/>
        <w:ind w:right="3019"/>
        <w:spacing w:after="0"/>
        <w:tabs>
          <w:tab w:leader="none" w:pos="240" w:val="left"/>
        </w:tabs>
        <w:rPr>
          <w:sz w:val="20"/>
          <w:szCs w:val="20"/>
          <w:color w:val="auto"/>
        </w:rPr>
      </w:pPr>
      <w:r>
        <w:rPr>
          <w:rFonts w:ascii="Courier New" w:cs="Courier New" w:eastAsia="Courier New" w:hAnsi="Courier New"/>
          <w:sz w:val="14"/>
          <w:szCs w:val="14"/>
          <w:color w:val="auto"/>
        </w:rPr>
        <w:t>[ ] Section 4.10</w:t>
        <w:tab/>
        <w:t>[ ] Section 4.15</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If you want to elect to have only part of the Note purchased by the Company pursuant to Section 4.10 or Section 4.15 of the Indenture, state the amount you elect to have purchased:</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$_______________</w:t>
      </w:r>
    </w:p>
    <w:p>
      <w:pPr>
        <w:spacing w:after="0" w:line="17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_______________</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Your Signature: __________________________________</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(Sign exactly as your name appears on the face of</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this Note)</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Tax Identification No.: __________________________</w:t>
      </w:r>
    </w:p>
    <w:p>
      <w:pPr>
        <w:spacing w:after="0" w:line="175"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4"/>
          <w:szCs w:val="14"/>
          <w:color w:val="auto"/>
        </w:rPr>
        <w:t>Signature Guarantee*:</w:t>
        <w:tab/>
        <w:t>_________________________</w:t>
      </w:r>
    </w:p>
    <w:p>
      <w:pPr>
        <w:spacing w:after="0" w:line="175" w:lineRule="exact"/>
        <w:rPr>
          <w:sz w:val="20"/>
          <w:szCs w:val="20"/>
          <w:color w:val="auto"/>
        </w:rPr>
      </w:pPr>
    </w:p>
    <w:p>
      <w:pPr>
        <w:ind w:right="3459" w:firstLine="9"/>
        <w:spacing w:after="0" w:line="258" w:lineRule="auto"/>
        <w:tabs>
          <w:tab w:leader="none" w:pos="26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in a recognized Signature Guarantee Medallion Program (or other signature guarantor acceptable to the Trustee).</w:t>
      </w:r>
    </w:p>
    <w:p>
      <w:pPr>
        <w:sectPr>
          <w:pgSz w:w="11900" w:h="16838" w:orient="portrait"/>
          <w:cols w:equalWidth="0" w:num="1">
            <w:col w:w="10239"/>
          </w:cols>
          <w:pgMar w:left="220" w:top="620" w:right="1440" w:bottom="1440" w:gutter="0" w:footer="0" w:header="0"/>
        </w:sectPr>
      </w:pPr>
    </w:p>
    <w:bookmarkStart w:id="207" w:name="page208"/>
    <w:bookmarkEnd w:id="207"/>
    <w:p>
      <w:pPr>
        <w:ind w:left="1140"/>
        <w:spacing w:after="0"/>
        <w:rPr>
          <w:sz w:val="20"/>
          <w:szCs w:val="20"/>
          <w:color w:val="auto"/>
        </w:rPr>
      </w:pPr>
      <w:r>
        <w:rPr>
          <w:rFonts w:ascii="Courier New" w:cs="Courier New" w:eastAsia="Courier New" w:hAnsi="Courier New"/>
          <w:sz w:val="14"/>
          <w:szCs w:val="14"/>
          <w:color w:val="auto"/>
        </w:rPr>
        <w:t>SCHEDULE OF EXCHANGES OF INTERESTS IN THE GLOBAL NOTE</w:t>
      </w:r>
    </w:p>
    <w:p>
      <w:pPr>
        <w:spacing w:after="0" w:line="175" w:lineRule="exact"/>
        <w:rPr>
          <w:sz w:val="20"/>
          <w:szCs w:val="20"/>
          <w:color w:val="auto"/>
        </w:rPr>
      </w:pPr>
    </w:p>
    <w:p>
      <w:pPr>
        <w:ind w:right="4680" w:firstLine="434"/>
        <w:spacing w:after="0" w:line="254" w:lineRule="auto"/>
        <w:rPr>
          <w:sz w:val="20"/>
          <w:szCs w:val="20"/>
          <w:color w:val="auto"/>
        </w:rPr>
      </w:pPr>
      <w:r>
        <w:rPr>
          <w:rFonts w:ascii="Courier New" w:cs="Courier New" w:eastAsia="Courier New" w:hAnsi="Courier New"/>
          <w:sz w:val="14"/>
          <w:szCs w:val="14"/>
          <w:color w:val="auto"/>
        </w:rPr>
        <w:t>The following exchanges of a part of this Global Note for an interest in another Global Note or for a Definitive Note, or exchanges of a part of another Global Note or Definitive Note for an interest in this Global Note, have been made:</w:t>
      </w:r>
    </w:p>
    <w:p>
      <w:pPr>
        <w:sectPr>
          <w:pgSz w:w="11900" w:h="16838" w:orient="portrait"/>
          <w:cols w:equalWidth="0" w:num="1">
            <w:col w:w="11540"/>
          </w:cols>
          <w:pgMar w:left="220" w:top="620"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Date of Exchange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decrease in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Amount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of this Global Note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increase in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Amount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of this Global Note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Principal Amount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 this Global Note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following such decrease</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(or increase)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of authorized</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officer of Trustee or</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Note Custodian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5">
            <w:col w:w="2260" w:space="180"/>
            <w:col w:w="2160" w:space="180"/>
            <w:col w:w="2180" w:space="160"/>
            <w:col w:w="2180" w:space="80"/>
            <w:col w:w="2160"/>
          </w:cols>
          <w:pgMar w:left="220" w:top="620" w:right="139" w:bottom="1440" w:gutter="0" w:footer="0" w:header="0"/>
          <w:type w:val="continuous"/>
        </w:sectPr>
      </w:pPr>
    </w:p>
    <w:bookmarkStart w:id="208" w:name="page209"/>
    <w:bookmarkEnd w:id="208"/>
    <w:p>
      <w:pPr>
        <w:ind w:right="3279" w:firstLine="434"/>
        <w:spacing w:after="0" w:line="252" w:lineRule="auto"/>
        <w:rPr>
          <w:sz w:val="20"/>
          <w:szCs w:val="20"/>
          <w:color w:val="auto"/>
        </w:rPr>
      </w:pPr>
      <w:r>
        <w:rPr>
          <w:rFonts w:ascii="Courier New" w:cs="Courier New" w:eastAsia="Courier New" w:hAnsi="Courier New"/>
          <w:sz w:val="14"/>
          <w:szCs w:val="14"/>
          <w:color w:val="auto"/>
        </w:rPr>
        <w:t>For value received, each Guarantor (which term includes any successor Person under the Indenture) has, jointly and severally, unconditionally guaranteed, to the extent set forth in the Indenture and subject to the provisions in the Indenture dated as of May 18, 2001 (the "Indenture") among Radio One, Inc., the Guarantors listed on Schedule I thereto and United States Trust Company of New York, as Trustee (the "Trustee"), (a) the due and punctual payment of the principal of, premium, if any, and interest on the Notes (as defined in the Indenture), whether at maturity, by acceleration, redemption or otherwise, the due and punctual payment of interest on overdue principal and premium, and, to the extent permitted by law, interest, and the due and punctual performance of all other obligations of the Company to the Holders or the Trustee all in accordance with the terms of the Indenture and (b)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 The obligations of the Guarantors to the Holders of Notes and to the Trustee pursuant to the Subsidiary Guarantee and the Indenture are expressly set forth in Article 11 of the Indenture and reference is hereby made to the Indenture for the precise terms of the Subsidiary Guarantee. Each Holder of a Note, by accepting the same, (a) agrees to and shall be bound by such provisions, (b) authorizes and directs the Trustee, on behalf of such Holder, to take such action as may be necessary or appropriate to effectuate the subordination as provided in the Indenture and (c) appoints the Trustee attorney-in-fact of such Holder for such purpose; provided, however, that the Indebtedness evidenced by this Subsidiary Guarantee shall cease to be so subordinated and subject in right of payment upon any defeasance of this Note in accordance with the provisions of the Indenture.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RADIO ONE LICENSES,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WYCB ACQUISITION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BROADCAST HOLDINGS,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BELL BROADCASTING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RADIO ONE OF DETROIT,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ALLUR-DETROIT,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ALLUR LICENSES,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RADIO ONE OF ATLANTA,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ROA LICENSES,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DOGWOOD COMMUNICATIONS,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DOGWOOD LICENSES,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RADIO ONE OF CHARLOTTE,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RADIO ONE OF AUGUSTA,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DAVIC BROADCASTING OF CHARLOTTE,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RADIO ONE OF NORTH CAROLINA,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RADIO ONE OF BOSTON,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RADIO ONE OF BOSTON LICENSES,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BLUE CHIP MERGER SUBSIDIARY, INC.</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_______________________________________</w:t>
      </w:r>
    </w:p>
    <w:p>
      <w:pPr>
        <w:spacing w:after="0" w:line="8" w:lineRule="exact"/>
        <w:rPr>
          <w:sz w:val="20"/>
          <w:szCs w:val="20"/>
          <w:color w:val="auto"/>
        </w:rPr>
      </w:pPr>
    </w:p>
    <w:p>
      <w:pPr>
        <w:ind w:left="360"/>
        <w:spacing w:after="0"/>
        <w:tabs>
          <w:tab w:leader="none" w:pos="1040" w:val="left"/>
        </w:tabs>
        <w:rPr>
          <w:sz w:val="20"/>
          <w:szCs w:val="20"/>
          <w:color w:val="auto"/>
        </w:rPr>
      </w:pPr>
      <w:r>
        <w:rPr>
          <w:rFonts w:ascii="Courier New" w:cs="Courier New" w:eastAsia="Courier New" w:hAnsi="Courier New"/>
          <w:sz w:val="14"/>
          <w:szCs w:val="14"/>
          <w:color w:val="auto"/>
        </w:rPr>
        <w:t>Name:</w:t>
        <w:tab/>
        <w:t>Scott R. Royster</w:t>
      </w:r>
    </w:p>
    <w:p>
      <w:pPr>
        <w:spacing w:after="0" w:line="8" w:lineRule="exact"/>
        <w:rPr>
          <w:sz w:val="20"/>
          <w:szCs w:val="20"/>
          <w:color w:val="auto"/>
        </w:rPr>
      </w:pPr>
    </w:p>
    <w:p>
      <w:pPr>
        <w:ind w:left="360"/>
        <w:spacing w:after="0"/>
        <w:tabs>
          <w:tab w:leader="none" w:pos="1040" w:val="left"/>
        </w:tabs>
        <w:rPr>
          <w:sz w:val="20"/>
          <w:szCs w:val="20"/>
          <w:color w:val="auto"/>
        </w:rPr>
      </w:pPr>
      <w:r>
        <w:rPr>
          <w:rFonts w:ascii="Courier New" w:cs="Courier New" w:eastAsia="Courier New" w:hAnsi="Courier New"/>
          <w:sz w:val="14"/>
          <w:szCs w:val="14"/>
          <w:color w:val="auto"/>
        </w:rPr>
        <w:t>Title:</w:t>
        <w:tab/>
        <w:t>Executive Vice President and</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1">
            <w:col w:w="10239"/>
          </w:cols>
          <w:pgMar w:left="220" w:top="620" w:right="1440" w:bottom="1440" w:gutter="0" w:footer="0" w:header="0"/>
        </w:sectPr>
      </w:pPr>
    </w:p>
    <w:bookmarkStart w:id="209" w:name="page210"/>
    <w:bookmarkEnd w:id="209"/>
    <w:p>
      <w:pPr>
        <w:jc w:val="right"/>
        <w:ind w:right="3279"/>
        <w:spacing w:after="0"/>
        <w:rPr>
          <w:sz w:val="20"/>
          <w:szCs w:val="20"/>
          <w:color w:val="auto"/>
        </w:rPr>
      </w:pPr>
      <w:r>
        <w:rPr>
          <w:rFonts w:ascii="Courier New" w:cs="Courier New" w:eastAsia="Courier New" w:hAnsi="Courier New"/>
          <w:sz w:val="14"/>
          <w:szCs w:val="14"/>
          <w:color w:val="auto"/>
        </w:rPr>
        <w:t>Exhibit 4.16</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REGISTRATION RIGHTS AGREEMENT</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by and among</w:t>
      </w:r>
    </w:p>
    <w:p>
      <w:pPr>
        <w:spacing w:after="0" w:line="34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Radio One, Inc.</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and</w:t>
      </w:r>
    </w:p>
    <w:p>
      <w:pPr>
        <w:spacing w:after="0" w:line="342"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The parties listed as guarantors hereto</w:t>
      </w:r>
    </w:p>
    <w:p>
      <w:pPr>
        <w:spacing w:after="0" w:line="34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Banc of America Securities LLC</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Credit Suisse First Boston Corporation</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Deutsche Banc Alex. Brown Inc.</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Blaylock &amp; Partners, L.P.</w:t>
      </w:r>
    </w:p>
    <w:p>
      <w:pPr>
        <w:spacing w:after="0" w:line="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First Union Securities, Inc.</w:t>
      </w:r>
    </w:p>
    <w:p>
      <w:pPr>
        <w:spacing w:after="0" w:line="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Morgan Stanley &amp; Co. Incorporated</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and</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TD Securities (USA)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representatives of the several initial purchasers</w:t>
      </w:r>
    </w:p>
    <w:p>
      <w:pPr>
        <w:spacing w:after="0" w:line="200" w:lineRule="exact"/>
        <w:rPr>
          <w:sz w:val="20"/>
          <w:szCs w:val="20"/>
          <w:color w:val="auto"/>
        </w:rPr>
      </w:pPr>
    </w:p>
    <w:p>
      <w:pPr>
        <w:spacing w:after="0" w:line="309" w:lineRule="exact"/>
        <w:rPr>
          <w:sz w:val="20"/>
          <w:szCs w:val="20"/>
          <w:color w:val="auto"/>
        </w:rPr>
      </w:pPr>
    </w:p>
    <w:p>
      <w:pPr>
        <w:ind w:left="1220"/>
        <w:spacing w:after="0"/>
        <w:tabs>
          <w:tab w:leader="none" w:pos="2320" w:val="left"/>
        </w:tabs>
        <w:rPr>
          <w:sz w:val="20"/>
          <w:szCs w:val="20"/>
          <w:color w:val="auto"/>
        </w:rPr>
      </w:pPr>
      <w:r>
        <w:rPr>
          <w:rFonts w:ascii="Courier New" w:cs="Courier New" w:eastAsia="Courier New" w:hAnsi="Courier New"/>
          <w:sz w:val="14"/>
          <w:szCs w:val="14"/>
          <w:color w:val="auto"/>
        </w:rPr>
        <w:t>Dated as of</w:t>
        <w:tab/>
        <w:t>May 18, 2001</w:t>
      </w:r>
    </w:p>
    <w:p>
      <w:pPr>
        <w:sectPr>
          <w:pgSz w:w="11900" w:h="16838" w:orient="portrait"/>
          <w:cols w:equalWidth="0" w:num="1">
            <w:col w:w="9099"/>
          </w:cols>
          <w:pgMar w:left="1360" w:top="476" w:right="1440" w:bottom="1440" w:gutter="0" w:footer="0" w:header="0"/>
        </w:sectPr>
      </w:pPr>
    </w:p>
    <w:bookmarkStart w:id="210" w:name="page211"/>
    <w:bookmarkEnd w:id="210"/>
    <w:p>
      <w:pPr>
        <w:ind w:left="2180"/>
        <w:spacing w:after="0"/>
        <w:rPr>
          <w:sz w:val="20"/>
          <w:szCs w:val="20"/>
          <w:color w:val="auto"/>
        </w:rPr>
      </w:pPr>
      <w:r>
        <w:rPr>
          <w:rFonts w:ascii="Courier New" w:cs="Courier New" w:eastAsia="Courier New" w:hAnsi="Courier New"/>
          <w:sz w:val="14"/>
          <w:szCs w:val="14"/>
          <w:color w:val="auto"/>
        </w:rPr>
        <w:t>Registration Rights Agreement</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This Registration Rights Agreement (this "Agreement") is made and</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entered into as of May 18, 2001 by and among Radio One, Inc., a Delaware corporation (the "Company"), the Guarantors listed on Schedule I attached hereto</w:t>
      </w:r>
    </w:p>
    <w:p>
      <w:pPr>
        <w:spacing w:after="0" w:line="1" w:lineRule="exact"/>
        <w:rPr>
          <w:sz w:val="20"/>
          <w:szCs w:val="20"/>
          <w:color w:val="auto"/>
        </w:rPr>
      </w:pPr>
    </w:p>
    <w:p>
      <w:pPr>
        <w:ind w:left="1580"/>
        <w:spacing w:after="0"/>
        <w:tabs>
          <w:tab w:leader="none" w:pos="4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"Guarantors"), and Banc of America Securities LLC, Credit Suisse First</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Corporation, Deutsche Banc Alex. Brown Inc., Blaylock &amp; Partners,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Union Securities, Inc., Morgan Stanley &amp; Co. Incorporated and 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(USA) Inc., as representatives of the several initial purchasers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an "Initial Purchaser" and, collectively, the "Initial Purchasers"), each</w:t>
      </w:r>
    </w:p>
    <w:p>
      <w:pPr>
        <w:spacing w:after="0" w:line="8" w:lineRule="exact"/>
        <w:rPr>
          <w:sz w:val="20"/>
          <w:szCs w:val="20"/>
          <w:color w:val="auto"/>
        </w:rPr>
      </w:pPr>
    </w:p>
    <w:p>
      <w:pPr>
        <w:ind w:left="880"/>
        <w:spacing w:after="0"/>
        <w:tabs>
          <w:tab w:leader="none" w:pos="4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of whom has agreed to purchase the Company's 8 7/8% Senior Subordinated Notes due 2011 (the "Initial Notes") pursuant to the Purchase Agreement (as defined</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below).</w:t>
      </w:r>
    </w:p>
    <w:p>
      <w:pPr>
        <w:spacing w:after="0" w:line="175" w:lineRule="exact"/>
        <w:rPr>
          <w:sz w:val="20"/>
          <w:szCs w:val="20"/>
          <w:color w:val="auto"/>
        </w:rPr>
      </w:pPr>
    </w:p>
    <w:p>
      <w:pPr>
        <w:ind w:right="3279" w:firstLine="868"/>
        <w:spacing w:after="0" w:line="252" w:lineRule="auto"/>
        <w:rPr>
          <w:sz w:val="20"/>
          <w:szCs w:val="20"/>
          <w:color w:val="auto"/>
        </w:rPr>
      </w:pPr>
      <w:r>
        <w:rPr>
          <w:rFonts w:ascii="Courier New" w:cs="Courier New" w:eastAsia="Courier New" w:hAnsi="Courier New"/>
          <w:sz w:val="14"/>
          <w:szCs w:val="14"/>
          <w:color w:val="auto"/>
        </w:rPr>
        <w:t>This Agreement is made pursuant to the Purchase Agreement, dated as of May 4, 2001 (the "Purchase Agreement"), by and among the Company, the Guarantors</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and the Initial Purchasers (i) for your benefit and for the benefit of each other Initial Purchaser and (ii) for the benefit of the holders from time to time of the Notes (including you and each other Initial Purchaser). In order to induce the Initial Purchasers to purchase the Initial Notes, the Company has agreed to provide the registration rights set forth in this Agreement. The execution and delivery of this Agreement is a condition to the obligations of the Initial Purchasers set forth in Section 5(i) of the Purchase Agreement.</w:t>
      </w:r>
    </w:p>
    <w:p>
      <w:pPr>
        <w:spacing w:after="0" w:line="16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The parties hereby agree as follows:</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w:t>
        <w:tab/>
        <w:t>Definitions</w:t>
      </w:r>
    </w:p>
    <w:p>
      <w:pPr>
        <w:spacing w:after="0" w:line="175" w:lineRule="exact"/>
        <w:rPr>
          <w:sz w:val="20"/>
          <w:szCs w:val="20"/>
          <w:color w:val="auto"/>
        </w:rPr>
      </w:pPr>
    </w:p>
    <w:p>
      <w:pPr>
        <w:ind w:right="3379" w:firstLine="868"/>
        <w:spacing w:after="0" w:line="258" w:lineRule="auto"/>
        <w:rPr>
          <w:sz w:val="20"/>
          <w:szCs w:val="20"/>
          <w:color w:val="auto"/>
        </w:rPr>
      </w:pPr>
      <w:r>
        <w:rPr>
          <w:rFonts w:ascii="Courier New" w:cs="Courier New" w:eastAsia="Courier New" w:hAnsi="Courier New"/>
          <w:sz w:val="14"/>
          <w:szCs w:val="14"/>
          <w:color w:val="auto"/>
        </w:rPr>
        <w:t>As used in this Agreement, the following capitalized terms shall have the following meanings:</w:t>
      </w:r>
    </w:p>
    <w:p>
      <w:pPr>
        <w:spacing w:after="0" w:line="160" w:lineRule="exact"/>
        <w:rPr>
          <w:sz w:val="20"/>
          <w:szCs w:val="20"/>
          <w:color w:val="auto"/>
        </w:rPr>
      </w:pPr>
    </w:p>
    <w:p>
      <w:pPr>
        <w:ind w:left="880"/>
        <w:spacing w:after="0"/>
        <w:tabs>
          <w:tab w:leader="none" w:pos="2240" w:val="left"/>
        </w:tabs>
        <w:rPr>
          <w:sz w:val="20"/>
          <w:szCs w:val="20"/>
          <w:color w:val="auto"/>
        </w:rPr>
      </w:pPr>
      <w:r>
        <w:rPr>
          <w:rFonts w:ascii="Courier New" w:cs="Courier New" w:eastAsia="Courier New" w:hAnsi="Courier New"/>
          <w:sz w:val="14"/>
          <w:szCs w:val="14"/>
          <w:color w:val="auto"/>
        </w:rPr>
        <w:t>Broker-Dealer:</w:t>
        <w:tab/>
        <w:t>Any broker or dealer registered under the Exchange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w:t>
      </w:r>
    </w:p>
    <w:p>
      <w:pPr>
        <w:spacing w:after="0" w:line="175" w:lineRule="exact"/>
        <w:rPr>
          <w:sz w:val="20"/>
          <w:szCs w:val="20"/>
          <w:color w:val="auto"/>
        </w:rPr>
      </w:pPr>
    </w:p>
    <w:p>
      <w:pPr>
        <w:ind w:left="880"/>
        <w:spacing w:after="0"/>
        <w:tabs>
          <w:tab w:leader="none" w:pos="2160" w:val="left"/>
        </w:tabs>
        <w:rPr>
          <w:sz w:val="20"/>
          <w:szCs w:val="20"/>
          <w:color w:val="auto"/>
        </w:rPr>
      </w:pPr>
      <w:r>
        <w:rPr>
          <w:rFonts w:ascii="Courier New" w:cs="Courier New" w:eastAsia="Courier New" w:hAnsi="Courier New"/>
          <w:sz w:val="14"/>
          <w:szCs w:val="14"/>
          <w:color w:val="auto"/>
        </w:rPr>
        <w:t>Closing Date:</w:t>
        <w:tab/>
        <w:t>The date of this Agreement.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spacing w:after="0"/>
        <w:tabs>
          <w:tab w:leader="none" w:pos="1980" w:val="left"/>
        </w:tabs>
        <w:rPr>
          <w:sz w:val="20"/>
          <w:szCs w:val="20"/>
          <w:color w:val="auto"/>
        </w:rPr>
      </w:pPr>
      <w:r>
        <w:rPr>
          <w:rFonts w:ascii="Courier New" w:cs="Courier New" w:eastAsia="Courier New" w:hAnsi="Courier New"/>
          <w:sz w:val="14"/>
          <w:szCs w:val="14"/>
          <w:color w:val="auto"/>
        </w:rPr>
        <w:t>Commission:</w:t>
        <w:tab/>
        <w:t>The Securities and Exchange Commission.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spacing w:after="0"/>
        <w:tabs>
          <w:tab w:leader="none" w:pos="1980" w:val="left"/>
        </w:tabs>
        <w:rPr>
          <w:sz w:val="20"/>
          <w:szCs w:val="20"/>
          <w:color w:val="auto"/>
        </w:rPr>
      </w:pPr>
      <w:r>
        <w:rPr>
          <w:rFonts w:ascii="Courier New" w:cs="Courier New" w:eastAsia="Courier New" w:hAnsi="Courier New"/>
          <w:sz w:val="14"/>
          <w:szCs w:val="14"/>
          <w:color w:val="auto"/>
        </w:rPr>
        <w:t>Consummate:</w:t>
        <w:tab/>
        <w:t>A Registered Exchange Offer shall be deemed "Consummated"</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for purposes of this Agreement upon the occurrence of (i) the filing and effectiveness under the Securities Act of the Exchange Offer Registration Statement relating to the Exchange Notes to be issued in the Exchange Offer, (ii) the maintenance of such Registration Statement continuously effective and the keeping of the Exchange Offer open for a period not less than the minimum period required pursuant to Section 3(b) hereof, and (iii) the delivery by the Company to the Registrar under the Indenture of Exchange Notes in the same aggregate principal amount as the aggregate principal amount of Initial Notes that were tendered by Holders thereof pursuant to the Exchange Offer.</w:t>
      </w:r>
    </w:p>
    <w:p>
      <w:pPr>
        <w:spacing w:after="0" w:line="164" w:lineRule="exact"/>
        <w:rPr>
          <w:sz w:val="20"/>
          <w:szCs w:val="20"/>
          <w:color w:val="auto"/>
        </w:rPr>
      </w:pPr>
    </w:p>
    <w:p>
      <w:pPr>
        <w:ind w:left="880"/>
        <w:spacing w:after="0"/>
        <w:tabs>
          <w:tab w:leader="none" w:pos="3280" w:val="left"/>
        </w:tabs>
        <w:rPr>
          <w:sz w:val="20"/>
          <w:szCs w:val="20"/>
          <w:color w:val="auto"/>
        </w:rPr>
      </w:pPr>
      <w:r>
        <w:rPr>
          <w:rFonts w:ascii="Courier New" w:cs="Courier New" w:eastAsia="Courier New" w:hAnsi="Courier New"/>
          <w:sz w:val="14"/>
          <w:szCs w:val="14"/>
          <w:color w:val="auto"/>
        </w:rPr>
        <w:t>Effectiveness Target Date:</w:t>
        <w:tab/>
        <w:t>As defined in Section 5.</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spacing w:after="0"/>
        <w:tabs>
          <w:tab w:leader="none" w:pos="2160" w:val="left"/>
        </w:tabs>
        <w:rPr>
          <w:sz w:val="20"/>
          <w:szCs w:val="20"/>
          <w:color w:val="auto"/>
        </w:rPr>
      </w:pPr>
      <w:r>
        <w:rPr>
          <w:rFonts w:ascii="Courier New" w:cs="Courier New" w:eastAsia="Courier New" w:hAnsi="Courier New"/>
          <w:sz w:val="14"/>
          <w:szCs w:val="14"/>
          <w:color w:val="auto"/>
        </w:rPr>
        <w:t>Exchange Act:</w:t>
        <w:tab/>
        <w:t>The Securities Exchange Act of 1934, as amended.</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Exchange Notes: The 8 7/8% Senior Subordinated Notes due 2011 of the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639"/>
        <w:spacing w:after="0" w:line="255" w:lineRule="auto"/>
        <w:rPr>
          <w:sz w:val="20"/>
          <w:szCs w:val="20"/>
          <w:color w:val="auto"/>
        </w:rPr>
      </w:pPr>
      <w:r>
        <w:rPr>
          <w:rFonts w:ascii="Courier New" w:cs="Courier New" w:eastAsia="Courier New" w:hAnsi="Courier New"/>
          <w:sz w:val="14"/>
          <w:szCs w:val="14"/>
          <w:color w:val="auto"/>
        </w:rPr>
        <w:t>same series under the Indenture as the Initial Notes, to be issued to Holders in exchange for Transfer Restricted Securities pursuant to this Agreement.</w:t>
      </w:r>
    </w:p>
    <w:p>
      <w:pPr>
        <w:sectPr>
          <w:pgSz w:w="11900" w:h="16838" w:orient="portrait"/>
          <w:cols w:equalWidth="0" w:num="1">
            <w:col w:w="10239"/>
          </w:cols>
          <w:pgMar w:left="220" w:top="620" w:right="1440" w:bottom="1440" w:gutter="0" w:footer="0" w:header="0"/>
        </w:sectPr>
      </w:pPr>
    </w:p>
    <w:bookmarkStart w:id="211" w:name="page212"/>
    <w:bookmarkEnd w:id="211"/>
    <w:p>
      <w:pPr>
        <w:ind w:left="440"/>
        <w:spacing w:after="0"/>
        <w:tabs>
          <w:tab w:leader="none" w:pos="1900" w:val="left"/>
        </w:tabs>
        <w:rPr>
          <w:sz w:val="20"/>
          <w:szCs w:val="20"/>
          <w:color w:val="auto"/>
        </w:rPr>
      </w:pPr>
      <w:r>
        <w:rPr>
          <w:rFonts w:ascii="Courier New" w:cs="Courier New" w:eastAsia="Courier New" w:hAnsi="Courier New"/>
          <w:sz w:val="14"/>
          <w:szCs w:val="14"/>
          <w:color w:val="auto"/>
        </w:rPr>
        <w:t>Exchange Offer:</w:t>
        <w:tab/>
        <w:t>The registration by the Company under the Securities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Act of the Exchange Notes pursuant to a Registration Statement pursuant to which the Company offers the Holders of all outstanding Transfer Restricted Securities the opportunity to exchange all such outstanding Transfer Restricted Securities held by such Holders for Exchange Notes in an aggregate principal amount equal to the aggregate principal amount of the Transfer Restricted Securities tendered in such exchange offer by such Holders.</w:t>
      </w:r>
    </w:p>
    <w:p>
      <w:pPr>
        <w:spacing w:after="0" w:line="332" w:lineRule="exact"/>
        <w:rPr>
          <w:sz w:val="20"/>
          <w:szCs w:val="20"/>
          <w:color w:val="auto"/>
        </w:rPr>
      </w:pPr>
    </w:p>
    <w:p>
      <w:pPr>
        <w:ind w:left="440"/>
        <w:spacing w:after="0"/>
        <w:tabs>
          <w:tab w:leader="none" w:pos="3880" w:val="left"/>
        </w:tabs>
        <w:rPr>
          <w:sz w:val="20"/>
          <w:szCs w:val="20"/>
          <w:color w:val="auto"/>
        </w:rPr>
      </w:pPr>
      <w:r>
        <w:rPr>
          <w:rFonts w:ascii="Courier New" w:cs="Courier New" w:eastAsia="Courier New" w:hAnsi="Courier New"/>
          <w:sz w:val="14"/>
          <w:szCs w:val="14"/>
          <w:color w:val="auto"/>
        </w:rPr>
        <w:t>Exchange Offer Registration Statement:</w:t>
        <w:tab/>
        <w:t>The Registration Statement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relating to the Exchange Offer, including the related Prospectus.</w:t>
      </w:r>
    </w:p>
    <w:p>
      <w:pPr>
        <w:spacing w:after="0" w:line="175" w:lineRule="exact"/>
        <w:rPr>
          <w:sz w:val="20"/>
          <w:szCs w:val="20"/>
          <w:color w:val="auto"/>
        </w:rPr>
      </w:pPr>
    </w:p>
    <w:p>
      <w:pPr>
        <w:ind w:left="440"/>
        <w:spacing w:after="0"/>
        <w:tabs>
          <w:tab w:leader="none" w:pos="1900" w:val="left"/>
        </w:tabs>
        <w:rPr>
          <w:sz w:val="20"/>
          <w:szCs w:val="20"/>
          <w:color w:val="auto"/>
        </w:rPr>
      </w:pPr>
      <w:r>
        <w:rPr>
          <w:rFonts w:ascii="Courier New" w:cs="Courier New" w:eastAsia="Courier New" w:hAnsi="Courier New"/>
          <w:sz w:val="14"/>
          <w:szCs w:val="14"/>
          <w:color w:val="auto"/>
        </w:rPr>
        <w:t>Exempt Resales:</w:t>
        <w:tab/>
        <w:t>The transactions in which the Initial Purchasers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propose to sell the Initial Notes to certain "qualified institutional buyers," as such term is defined in Rule 144A under the Securities Act, and to certain institutional "accredited investors," as such term is defined in Rule 501(a)(1), (2), (3) and (7) of Regulation D under the Securities Act ("Accredited Institutions").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Holders:</w:t>
        <w:tab/>
        <w:t>As defined in Section 2(b) hereof.</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spacing w:after="0"/>
        <w:tabs>
          <w:tab w:leader="none" w:pos="2240" w:val="left"/>
        </w:tabs>
        <w:rPr>
          <w:sz w:val="20"/>
          <w:szCs w:val="20"/>
          <w:color w:val="auto"/>
        </w:rPr>
      </w:pPr>
      <w:r>
        <w:rPr>
          <w:rFonts w:ascii="Courier New" w:cs="Courier New" w:eastAsia="Courier New" w:hAnsi="Courier New"/>
          <w:sz w:val="14"/>
          <w:szCs w:val="14"/>
          <w:color w:val="auto"/>
        </w:rPr>
        <w:t>Indemnified Holder:</w:t>
        <w:tab/>
        <w:t>As defined in Section 8(a) hereof.</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Indenture:</w:t>
        <w:tab/>
        <w:t>The Indenture, dated as of May 18, 2001, among the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Company, the Guarantors and United States Trust Company of New York, as trustee (the "Trustee"), pursuant to which the Notes are to be issued, as</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such Indenture is amended or supplemented from time to time in accordance with the terms thereof.</w:t>
      </w:r>
    </w:p>
    <w:p>
      <w:pPr>
        <w:spacing w:after="0" w:line="160" w:lineRule="exact"/>
        <w:rPr>
          <w:sz w:val="20"/>
          <w:szCs w:val="20"/>
          <w:color w:val="auto"/>
        </w:rPr>
      </w:pPr>
    </w:p>
    <w:p>
      <w:pPr>
        <w:ind w:left="440"/>
        <w:spacing w:after="0"/>
        <w:tabs>
          <w:tab w:leader="none" w:pos="2160" w:val="left"/>
        </w:tabs>
        <w:rPr>
          <w:sz w:val="20"/>
          <w:szCs w:val="20"/>
          <w:color w:val="auto"/>
        </w:rPr>
      </w:pPr>
      <w:r>
        <w:rPr>
          <w:rFonts w:ascii="Courier New" w:cs="Courier New" w:eastAsia="Courier New" w:hAnsi="Courier New"/>
          <w:sz w:val="14"/>
          <w:szCs w:val="14"/>
          <w:color w:val="auto"/>
        </w:rPr>
        <w:t>Initial Purchaser:</w:t>
        <w:tab/>
        <w:t>As defined in the preamble hereto.</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4"/>
          <w:szCs w:val="14"/>
          <w:color w:val="auto"/>
        </w:rPr>
        <w:t>Initial Notes:</w:t>
        <w:tab/>
        <w:t>The 8 7/8% Senior Subordinated Notes due 2011, of the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same series under the Indenture as the Exchange Notes, for so long as such securities constitute Transfer Restricted Securities.</w:t>
      </w:r>
    </w:p>
    <w:p>
      <w:pPr>
        <w:spacing w:after="0" w:line="160" w:lineRule="exact"/>
        <w:rPr>
          <w:sz w:val="20"/>
          <w:szCs w:val="20"/>
          <w:color w:val="auto"/>
        </w:rPr>
      </w:pPr>
    </w:p>
    <w:p>
      <w:pPr>
        <w:ind w:left="440"/>
        <w:spacing w:after="0"/>
        <w:tabs>
          <w:tab w:leader="none" w:pos="2160" w:val="left"/>
        </w:tabs>
        <w:rPr>
          <w:sz w:val="20"/>
          <w:szCs w:val="20"/>
          <w:color w:val="auto"/>
        </w:rPr>
      </w:pPr>
      <w:r>
        <w:rPr>
          <w:rFonts w:ascii="Courier New" w:cs="Courier New" w:eastAsia="Courier New" w:hAnsi="Courier New"/>
          <w:sz w:val="14"/>
          <w:szCs w:val="14"/>
          <w:color w:val="auto"/>
        </w:rPr>
        <w:t>Initial Placement:</w:t>
        <w:tab/>
        <w:t>The issuance and sale by the Company of the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 Notes to the Initial Purchasers pursuant to the Purchase Agreement.</w:t>
      </w:r>
    </w:p>
    <w:p>
      <w:pPr>
        <w:spacing w:after="0" w:line="175" w:lineRule="exact"/>
        <w:rPr>
          <w:sz w:val="20"/>
          <w:szCs w:val="20"/>
          <w:color w:val="auto"/>
        </w:rPr>
      </w:pPr>
    </w:p>
    <w:p>
      <w:pPr>
        <w:ind w:left="440"/>
        <w:spacing w:after="0"/>
        <w:tabs>
          <w:tab w:leader="none" w:pos="2500" w:val="left"/>
        </w:tabs>
        <w:rPr>
          <w:sz w:val="20"/>
          <w:szCs w:val="20"/>
          <w:color w:val="auto"/>
        </w:rPr>
      </w:pPr>
      <w:r>
        <w:rPr>
          <w:rFonts w:ascii="Courier New" w:cs="Courier New" w:eastAsia="Courier New" w:hAnsi="Courier New"/>
          <w:sz w:val="14"/>
          <w:szCs w:val="14"/>
          <w:color w:val="auto"/>
        </w:rPr>
        <w:t>Interest Payment Date:</w:t>
        <w:tab/>
        <w:t>As defined in the Indenture and the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spacing w:after="0"/>
        <w:tabs>
          <w:tab w:leader="none" w:pos="1020" w:val="left"/>
        </w:tabs>
        <w:rPr>
          <w:sz w:val="20"/>
          <w:szCs w:val="20"/>
          <w:color w:val="auto"/>
        </w:rPr>
      </w:pPr>
      <w:r>
        <w:rPr>
          <w:rFonts w:ascii="Courier New" w:cs="Courier New" w:eastAsia="Courier New" w:hAnsi="Courier New"/>
          <w:sz w:val="14"/>
          <w:szCs w:val="14"/>
          <w:color w:val="auto"/>
        </w:rPr>
        <w:t>NASD:</w:t>
        <w:tab/>
        <w:t>National Association of Securities Dealers, Inc.</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4"/>
          <w:szCs w:val="14"/>
          <w:color w:val="auto"/>
        </w:rPr>
        <w:t>Notes:</w:t>
        <w:tab/>
        <w:t>The Initial Notes and the Exchange Notes.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spacing w:after="0"/>
        <w:tabs>
          <w:tab w:leader="none" w:pos="1200" w:val="left"/>
        </w:tabs>
        <w:rPr>
          <w:sz w:val="20"/>
          <w:szCs w:val="20"/>
          <w:color w:val="auto"/>
        </w:rPr>
      </w:pPr>
      <w:r>
        <w:rPr>
          <w:rFonts w:ascii="Courier New" w:cs="Courier New" w:eastAsia="Courier New" w:hAnsi="Courier New"/>
          <w:sz w:val="14"/>
          <w:szCs w:val="14"/>
          <w:color w:val="auto"/>
        </w:rPr>
        <w:t>Person:</w:t>
        <w:tab/>
        <w:t>An individual, partnership, corporation, trust or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unincorporated organization, or a government or agency or political subdivision thereof.</w:t>
      </w:r>
    </w:p>
    <w:p>
      <w:pPr>
        <w:spacing w:after="0" w:line="160" w:lineRule="exact"/>
        <w:rPr>
          <w:sz w:val="20"/>
          <w:szCs w:val="20"/>
          <w:color w:val="auto"/>
        </w:rPr>
      </w:pPr>
    </w:p>
    <w:p>
      <w:pPr>
        <w:ind w:left="440"/>
        <w:spacing w:after="0"/>
        <w:tabs>
          <w:tab w:leader="none" w:pos="1540" w:val="left"/>
        </w:tabs>
        <w:rPr>
          <w:sz w:val="20"/>
          <w:szCs w:val="20"/>
          <w:color w:val="auto"/>
        </w:rPr>
      </w:pPr>
      <w:r>
        <w:rPr>
          <w:rFonts w:ascii="Courier New" w:cs="Courier New" w:eastAsia="Courier New" w:hAnsi="Courier New"/>
          <w:sz w:val="14"/>
          <w:szCs w:val="14"/>
          <w:color w:val="auto"/>
        </w:rPr>
        <w:t>Prospectus:</w:t>
        <w:tab/>
        <w:t>The prospectus included in a Registration Statement, as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amended or supplemented by any prospectus supplement and by all other amendments thereto, including post-effective amendments, and all material incorporated by reference into such Prospectus.</w:t>
      </w:r>
    </w:p>
    <w:p>
      <w:pPr>
        <w:spacing w:after="0" w:line="162"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4"/>
          <w:szCs w:val="14"/>
          <w:color w:val="auto"/>
        </w:rPr>
        <w:t>Record Holder:</w:t>
        <w:tab/>
        <w:t>With respect to any Damages Payment Date relating to</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right="3639"/>
        <w:spacing w:after="0" w:line="255" w:lineRule="auto"/>
        <w:rPr>
          <w:sz w:val="20"/>
          <w:szCs w:val="20"/>
          <w:color w:val="auto"/>
        </w:rPr>
      </w:pPr>
      <w:r>
        <w:rPr>
          <w:rFonts w:ascii="Courier New" w:cs="Courier New" w:eastAsia="Courier New" w:hAnsi="Courier New"/>
          <w:sz w:val="14"/>
          <w:szCs w:val="14"/>
          <w:color w:val="auto"/>
        </w:rPr>
        <w:t>the Notes, each Person who is a Holder of Notes on the record date with respect to the Interest Payment Date on which such Damages Payment Date shall occur.</w:t>
      </w:r>
    </w:p>
    <w:p>
      <w:pPr>
        <w:spacing w:after="0" w:line="32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799"/>
          </w:cols>
          <w:pgMar w:left="660" w:top="620" w:right="1440" w:bottom="1440" w:gutter="0" w:footer="0" w:header="0"/>
        </w:sectPr>
      </w:pPr>
    </w:p>
    <w:bookmarkStart w:id="212" w:name="page213"/>
    <w:bookmarkEnd w:id="212"/>
    <w:p>
      <w:pPr>
        <w:ind w:left="880"/>
        <w:spacing w:after="0"/>
        <w:tabs>
          <w:tab w:leader="none" w:pos="2860" w:val="left"/>
        </w:tabs>
        <w:rPr>
          <w:sz w:val="20"/>
          <w:szCs w:val="20"/>
          <w:color w:val="auto"/>
        </w:rPr>
      </w:pPr>
      <w:r>
        <w:rPr>
          <w:rFonts w:ascii="Courier New" w:cs="Courier New" w:eastAsia="Courier New" w:hAnsi="Courier New"/>
          <w:sz w:val="14"/>
          <w:szCs w:val="14"/>
          <w:color w:val="auto"/>
        </w:rPr>
        <w:t>Registration Default:</w:t>
        <w:tab/>
        <w:t>As defined in Section 5 hereof.</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spacing w:after="0"/>
        <w:tabs>
          <w:tab w:leader="none" w:pos="3020" w:val="left"/>
        </w:tabs>
        <w:rPr>
          <w:sz w:val="20"/>
          <w:szCs w:val="20"/>
          <w:color w:val="auto"/>
        </w:rPr>
      </w:pPr>
      <w:r>
        <w:rPr>
          <w:rFonts w:ascii="Courier New" w:cs="Courier New" w:eastAsia="Courier New" w:hAnsi="Courier New"/>
          <w:sz w:val="14"/>
          <w:szCs w:val="14"/>
          <w:color w:val="auto"/>
        </w:rPr>
        <w:t>Registration Statement:</w:t>
        <w:tab/>
        <w:t>Any registration statement of the Company</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relating to (a) an offering of Exchange Notes pursuant to an Exchange Offer or (b) the registration for resale of Transfer Restricted Securities pursuant to the Shelf Registration Statement, which is filed pursuant to the provisions of this Agreement, in each case, including the Prospectus included therein, all amendments and supplements thereto (including post-effective amendments) and all exhibits and material incorporated by reference therein.</w:t>
      </w:r>
    </w:p>
    <w:p>
      <w:pPr>
        <w:spacing w:after="0" w:line="332" w:lineRule="exact"/>
        <w:rPr>
          <w:sz w:val="20"/>
          <w:szCs w:val="20"/>
          <w:color w:val="auto"/>
        </w:rPr>
      </w:pPr>
    </w:p>
    <w:p>
      <w:pPr>
        <w:ind w:left="880"/>
        <w:spacing w:after="0"/>
        <w:tabs>
          <w:tab w:leader="none" w:pos="2340" w:val="left"/>
        </w:tabs>
        <w:rPr>
          <w:sz w:val="20"/>
          <w:szCs w:val="20"/>
          <w:color w:val="auto"/>
        </w:rPr>
      </w:pPr>
      <w:r>
        <w:rPr>
          <w:rFonts w:ascii="Courier New" w:cs="Courier New" w:eastAsia="Courier New" w:hAnsi="Courier New"/>
          <w:sz w:val="14"/>
          <w:szCs w:val="14"/>
          <w:color w:val="auto"/>
        </w:rPr>
        <w:t>Securities Act:</w:t>
        <w:tab/>
        <w:t>The Securities Act of 1933, as amended.</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spacing w:after="0"/>
        <w:tabs>
          <w:tab w:leader="none" w:pos="2940" w:val="left"/>
        </w:tabs>
        <w:rPr>
          <w:sz w:val="20"/>
          <w:szCs w:val="20"/>
          <w:color w:val="auto"/>
        </w:rPr>
      </w:pPr>
      <w:r>
        <w:rPr>
          <w:rFonts w:ascii="Courier New" w:cs="Courier New" w:eastAsia="Courier New" w:hAnsi="Courier New"/>
          <w:sz w:val="14"/>
          <w:szCs w:val="14"/>
          <w:color w:val="auto"/>
        </w:rPr>
        <w:t>Shelf Filing Deadline:</w:t>
        <w:tab/>
        <w:t>As defined in Section 4 hereof.</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spacing w:after="0"/>
        <w:tabs>
          <w:tab w:leader="none" w:pos="3540" w:val="left"/>
        </w:tabs>
        <w:rPr>
          <w:sz w:val="20"/>
          <w:szCs w:val="20"/>
          <w:color w:val="auto"/>
        </w:rPr>
      </w:pPr>
      <w:r>
        <w:rPr>
          <w:rFonts w:ascii="Courier New" w:cs="Courier New" w:eastAsia="Courier New" w:hAnsi="Courier New"/>
          <w:sz w:val="14"/>
          <w:szCs w:val="14"/>
          <w:color w:val="auto"/>
        </w:rPr>
        <w:t>Shelf Registration Statement:</w:t>
        <w:tab/>
        <w:t>As defined in Section 4 hereof.</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spacing w:after="0"/>
        <w:tabs>
          <w:tab w:leader="none" w:pos="2760" w:val="left"/>
        </w:tabs>
        <w:rPr>
          <w:sz w:val="20"/>
          <w:szCs w:val="20"/>
          <w:color w:val="auto"/>
        </w:rPr>
      </w:pPr>
      <w:r>
        <w:rPr>
          <w:rFonts w:ascii="Courier New" w:cs="Courier New" w:eastAsia="Courier New" w:hAnsi="Courier New"/>
          <w:sz w:val="14"/>
          <w:szCs w:val="14"/>
          <w:color w:val="auto"/>
        </w:rPr>
        <w:t>Trust Indenture Act:</w:t>
        <w:tab/>
        <w:t>The Trust Indenture Act of 1939 (15 U.S.C.</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77aaa-77bbbb) as in effect on the date of the Indenture.</w:t>
      </w:r>
    </w:p>
    <w:p>
      <w:pPr>
        <w:spacing w:after="0" w:line="175" w:lineRule="exact"/>
        <w:rPr>
          <w:sz w:val="20"/>
          <w:szCs w:val="20"/>
          <w:color w:val="auto"/>
        </w:rPr>
      </w:pPr>
    </w:p>
    <w:p>
      <w:pPr>
        <w:ind w:left="880"/>
        <w:spacing w:after="0"/>
        <w:tabs>
          <w:tab w:leader="none" w:pos="3720" w:val="left"/>
        </w:tabs>
        <w:rPr>
          <w:sz w:val="20"/>
          <w:szCs w:val="20"/>
          <w:color w:val="auto"/>
        </w:rPr>
      </w:pPr>
      <w:r>
        <w:rPr>
          <w:rFonts w:ascii="Courier New" w:cs="Courier New" w:eastAsia="Courier New" w:hAnsi="Courier New"/>
          <w:sz w:val="14"/>
          <w:szCs w:val="14"/>
          <w:color w:val="auto"/>
        </w:rPr>
        <w:t>Transfer Restricted Securities:</w:t>
        <w:tab/>
        <w:t>Each Note, until the earliest to</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279"/>
        <w:spacing w:after="0" w:line="252" w:lineRule="auto"/>
        <w:rPr>
          <w:sz w:val="20"/>
          <w:szCs w:val="20"/>
          <w:color w:val="auto"/>
        </w:rPr>
      </w:pPr>
      <w:r>
        <w:rPr>
          <w:rFonts w:ascii="Courier New" w:cs="Courier New" w:eastAsia="Courier New" w:hAnsi="Courier New"/>
          <w:sz w:val="14"/>
          <w:szCs w:val="14"/>
          <w:color w:val="auto"/>
        </w:rPr>
        <w:t>occur of (a) the date on which such Note is exchanged in the Exchange Offer and entitled to be resold to the public by the Holder thereof without complying with the prospectus delivery requirements of the Securities Act,</w:t>
      </w:r>
    </w:p>
    <w:p>
      <w:pPr>
        <w:spacing w:after="0" w:line="1" w:lineRule="exact"/>
        <w:rPr>
          <w:sz w:val="20"/>
          <w:szCs w:val="20"/>
          <w:color w:val="auto"/>
        </w:rPr>
      </w:pPr>
    </w:p>
    <w:p>
      <w:pPr>
        <w:ind w:left="440" w:right="3379" w:firstLine="3"/>
        <w:spacing w:after="0" w:line="253" w:lineRule="auto"/>
        <w:tabs>
          <w:tab w:leader="none" w:pos="787"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such Note has been effectively registered under the Securities Act and disposed of in accordance with a Shelf Registration Statement and (c) the date on which such Note is distributed to the public pursuant to Rule 144 under the Securities Act or by a Broker-Dealer pursuant to the "Plan of Distribution" contemplated by the Exchange Offer Registration Statement (including delivery of the Prospectus contained therein).</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2.</w:t>
        <w:tab/>
        <w:t>Securities Subject to This Agreement</w:t>
      </w:r>
    </w:p>
    <w:p>
      <w:pPr>
        <w:spacing w:after="0" w:line="175" w:lineRule="exact"/>
        <w:rPr>
          <w:sz w:val="20"/>
          <w:szCs w:val="20"/>
          <w:color w:val="auto"/>
        </w:rPr>
      </w:pPr>
    </w:p>
    <w:p>
      <w:pPr>
        <w:ind w:left="1060" w:hanging="617"/>
        <w:spacing w:after="0"/>
        <w:tabs>
          <w:tab w:leader="none" w:pos="106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Restricted Securities.  The securities entitled to the</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benefits of this Agreement are the Transfer Restricted Securities.</w:t>
      </w:r>
    </w:p>
    <w:p>
      <w:pPr>
        <w:spacing w:after="0" w:line="175" w:lineRule="exact"/>
        <w:rPr>
          <w:sz w:val="20"/>
          <w:szCs w:val="20"/>
          <w:color w:val="auto"/>
        </w:rPr>
      </w:pPr>
    </w:p>
    <w:p>
      <w:pPr>
        <w:ind w:left="1060" w:hanging="617"/>
        <w:spacing w:after="0"/>
        <w:tabs>
          <w:tab w:leader="none" w:pos="106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Transfer Restricted Securities.  A Person is deemed to</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a holder of Transfer Restricted Securities (each, a "Holder") whenever such</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 owns Transfer Restricted Securities.</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3.</w:t>
        <w:tab/>
        <w:t>Registered Exchange Offer</w:t>
      </w:r>
    </w:p>
    <w:p>
      <w:pPr>
        <w:spacing w:after="0" w:line="175" w:lineRule="exact"/>
        <w:rPr>
          <w:sz w:val="20"/>
          <w:szCs w:val="20"/>
          <w:color w:val="auto"/>
        </w:rPr>
      </w:pPr>
    </w:p>
    <w:p>
      <w:pPr>
        <w:ind w:right="3379" w:firstLine="443"/>
        <w:spacing w:after="0" w:line="252" w:lineRule="auto"/>
        <w:tabs>
          <w:tab w:leader="none" w:pos="1042" w:val="left"/>
        </w:tabs>
        <w:numPr>
          <w:ilvl w:val="1"/>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Exchange Offer shall not be permissible under applicable law or Commission policy (after the procedures set forth in Section 6(a) below have been complied with), the Company and the Guarantors shall (i) cause to be filed with the Commission as soon as practicable after the Closing Date, but in no event later than 60 days after the Closing Date, a Registration Statement under the Securities Act relating to the Exchange Notes and the Exchange Offer,</w:t>
      </w:r>
    </w:p>
    <w:p>
      <w:pPr>
        <w:spacing w:after="0" w:line="2" w:lineRule="exact"/>
        <w:rPr>
          <w:rFonts w:ascii="Courier New" w:cs="Courier New" w:eastAsia="Courier New" w:hAnsi="Courier New"/>
          <w:sz w:val="14"/>
          <w:szCs w:val="14"/>
          <w:color w:val="auto"/>
        </w:rPr>
      </w:pPr>
    </w:p>
    <w:p>
      <w:pPr>
        <w:ind w:right="3279" w:firstLine="9"/>
        <w:spacing w:after="0" w:line="253" w:lineRule="auto"/>
        <w:tabs>
          <w:tab w:leader="none" w:pos="434"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their best efforts to cause such Registration Statement to become effective at the earliest possible time, but in no event later than 150 days after the Closing Date, (iii) in connection with the foregoing, file (A) all pre-effective amendments to such Registration Statement as may be necessary in order to cause such Registration Statement to become effective, (B) if applicable, a post-effective amendment to such Registration Statement pursuant to Rule 430A under the Securities Act and (C) cause all necessary filings in connection with the registration and qualification of the Exchange Notes to be made under the Blue Sky laws of such jurisdictions as are necessary to permit Consummation of the Exchange Offer, and (iv) upon the effectiveness of such Registration Statement, commence the Exchange Offer. The Exchange Offer shall be on the appropriate form permitting registration of the Exchange Notes to be offered in exchange for the Transfer Restricted Securities and to permit resales of Notes held by Broker-Dealers as contemplated by Section 3(c) below.</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213" w:name="page214"/>
    <w:bookmarkEnd w:id="213"/>
    <w:p>
      <w:pPr>
        <w:ind w:right="3279" w:firstLine="443"/>
        <w:spacing w:after="0" w:line="253" w:lineRule="auto"/>
        <w:tabs>
          <w:tab w:leader="none" w:pos="1042"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Guarantors shall cause the Exchange Offer Registration Statement to be effective continuously and shall keep the Exchange Offer open for a period of not less than the minimum period required under applicable federal and state securities laws to Consummate the Exchange Offer; provided, however, that in no event shall such period be less than 30 days after the date notice of the Exchange Offer is mailed to the Holders. The Company shall cause the Exchange Offer to comply with all applicable federal and state securities laws. No securities other than the Notes shall be included in the Exchange Offer Registration Statement. The Company shall use its best efforts to cause the Exchange Offer to be Consummated on the earliest practicable date after the Exchange Offer Registration Statement has become effective, but in no event later than 30 days after the date on which the Exchange Offer Registration Statement has been declared effective, unless required by any applicable federal securities laws.</w:t>
      </w:r>
    </w:p>
    <w:p>
      <w:pPr>
        <w:spacing w:after="0" w:line="162" w:lineRule="exact"/>
        <w:rPr>
          <w:rFonts w:ascii="Courier New" w:cs="Courier New" w:eastAsia="Courier New" w:hAnsi="Courier New"/>
          <w:sz w:val="14"/>
          <w:szCs w:val="14"/>
          <w:color w:val="auto"/>
        </w:rPr>
      </w:pPr>
    </w:p>
    <w:p>
      <w:pPr>
        <w:ind w:right="3279" w:firstLine="443"/>
        <w:spacing w:after="0" w:line="252" w:lineRule="auto"/>
        <w:tabs>
          <w:tab w:leader="none" w:pos="1042"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Guarantors shall indicate in a "Plan of Distribution" section contained in the Prospectus forming a part of the Exchange Offer Registration Statement that any Broker-Dealer who holds Initial Notes that are Transfer Restricted Securities and that were acquired for its own account as a result of market-making activities or other trading activities (other than Transfer Restricted Securities acquired directly from the Company), may exchange such Initial Notes pursuant to the Exchange Offer; however, such Broker-Dealer may be deemed to be an "underwriter" within the meaning of the Securities Act and must, therefore, deliver a prospectus meeting the requirements of the Securities Act in connection with any resales of the Exchange Notes received by such Broker-Dealer in the Exchange Offer, which prospectus delivery requirement may be satisfied by the delivery by such Broker-Dealer of the Prospectus contained in the Exchange Offer Registration Statement. Such "Plan of Distribution" section shall also contain all other information with respect to such resales by Broker-Dealers that the Commission may require in order to permit such resales pursuant thereto, but such "Plan of Distribution" shall not name any such Broker-Dealer or disclose the amount of Notes held by any such Broker-Dealer except to the extent required by the Commission as a result of a change in policy after the date of this Agreement.</w:t>
      </w:r>
    </w:p>
    <w:p>
      <w:pPr>
        <w:spacing w:after="0" w:line="174"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Company and the Guarantors shall use their best efforts to keep the Exchange Offer Registration Statement continuously effective, supplemented and amended as required by the provisions of Section 6(c) below to the extent necessary to ensure that it is available for resales of Notes acquired by Broker-Dealers for their own accounts as a result of market-making activities or other trading activities, and to ensure that it conforms with the requirements of this Agreement, the Securities Act and the policies, rules and regulations of the Commission as announced from time to time, for a period ending on the earlier of (i) 180 days from the date on which the Exchange Offer Registration Statement is declared effective and (ii) the date on which a Broker-Dealer is no longer required to deliver a prospectus in connection with market-making or other trading activities.</w:t>
      </w:r>
    </w:p>
    <w:p>
      <w:pPr>
        <w:spacing w:after="0" w:line="164"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The Company and the Guarantors shall provide sufficient copies of the latest version of such Prospectus to Broker-Dealers promptly upon request at any time during such 180 day (or shorter as provided in the foregoing sentence) period in order to facilitate such resales.</w:t>
      </w:r>
    </w:p>
    <w:p>
      <w:pPr>
        <w:spacing w:after="0" w:line="16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4.</w:t>
        <w:tab/>
        <w:t>Shelf Registration</w:t>
      </w:r>
    </w:p>
    <w:p>
      <w:pPr>
        <w:spacing w:after="0" w:line="175" w:lineRule="exact"/>
        <w:rPr>
          <w:sz w:val="20"/>
          <w:szCs w:val="20"/>
          <w:color w:val="auto"/>
        </w:rPr>
      </w:pPr>
    </w:p>
    <w:p>
      <w:pPr>
        <w:ind w:left="1060" w:hanging="617"/>
        <w:spacing w:after="0"/>
        <w:tabs>
          <w:tab w:leader="none" w:pos="106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Shelf Registration.  If (i) the Company is not required to file an</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Exchange Offer Registration Statement or to consummate the Exchange Offer because the Exchange Offer is not permitted by applicable law or Commission policy (after the procedures set forth in Section 6(a) below have been complied with) or (ii) with respect to any Holder of Transfer Restricted Securities (other than a</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214" w:name="page215"/>
    <w:bookmarkEnd w:id="214"/>
    <w:p>
      <w:pPr>
        <w:ind w:right="3379"/>
        <w:spacing w:after="0" w:line="252" w:lineRule="auto"/>
        <w:rPr>
          <w:sz w:val="20"/>
          <w:szCs w:val="20"/>
          <w:color w:val="auto"/>
        </w:rPr>
      </w:pPr>
      <w:r>
        <w:rPr>
          <w:rFonts w:ascii="Courier New" w:cs="Courier New" w:eastAsia="Courier New" w:hAnsi="Courier New"/>
          <w:sz w:val="14"/>
          <w:szCs w:val="14"/>
          <w:color w:val="auto"/>
        </w:rPr>
        <w:t>director or an officer of the Company or any Holder that purchased Transfer Restriced Securities from a director or officer of the Company) and (A) such Holder is prohibited by applicable law or Commission policy from participating in the Exchange Offer, or (B) such Holder may not resell the Exchange Notes acquired by it in the Exchange Offer to the public without delivering a prospectus and that the Prospectus contained in the Exchange Offer Registration Statement is not appropriate or available for such resales by such Holder, or</w:t>
      </w:r>
    </w:p>
    <w:p>
      <w:pPr>
        <w:spacing w:after="0" w:line="3" w:lineRule="exact"/>
        <w:rPr>
          <w:sz w:val="20"/>
          <w:szCs w:val="20"/>
          <w:color w:val="auto"/>
        </w:rPr>
      </w:pPr>
    </w:p>
    <w:p>
      <w:pPr>
        <w:ind w:right="3539" w:firstLine="9"/>
        <w:spacing w:after="0" w:line="254" w:lineRule="auto"/>
        <w:tabs>
          <w:tab w:leader="none" w:pos="347"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is a Broker-Dealer and holds Initial Notes acquired directly from the Company or one of its affiliates, then, upon such Holder's request delivered to the Company not later than 20 days after the consummation of the Exchange Offer, the Company and the Guarantors shall:</w:t>
      </w:r>
    </w:p>
    <w:p>
      <w:pPr>
        <w:spacing w:after="0" w:line="163" w:lineRule="exact"/>
        <w:rPr>
          <w:rFonts w:ascii="Courier New" w:cs="Courier New" w:eastAsia="Courier New" w:hAnsi="Courier New"/>
          <w:sz w:val="14"/>
          <w:szCs w:val="14"/>
          <w:color w:val="auto"/>
        </w:rPr>
      </w:pPr>
    </w:p>
    <w:p>
      <w:pPr>
        <w:ind w:left="440" w:right="3279" w:firstLine="437"/>
        <w:spacing w:after="0" w:line="252" w:lineRule="auto"/>
        <w:tabs>
          <w:tab w:leader="none" w:pos="1308"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to be filed a shelf registration statement pursuant to Rule 415 under the Securities Act, which may be an amendment to the Exchange Offer Registration Statement (in either event, the "Shelf Registration</w:t>
      </w:r>
    </w:p>
    <w:p>
      <w:pPr>
        <w:spacing w:after="0" w:line="1"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Statement") on or prior to 60 days after the earlier to occur of (1) the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279"/>
        <w:spacing w:after="0" w:line="252" w:lineRule="auto"/>
        <w:rPr>
          <w:sz w:val="20"/>
          <w:szCs w:val="20"/>
          <w:color w:val="auto"/>
        </w:rPr>
      </w:pPr>
      <w:r>
        <w:rPr>
          <w:rFonts w:ascii="Courier New" w:cs="Courier New" w:eastAsia="Courier New" w:hAnsi="Courier New"/>
          <w:sz w:val="14"/>
          <w:szCs w:val="14"/>
          <w:color w:val="auto"/>
        </w:rPr>
        <w:t>date on which the Company determines that it is not required to file the Exchange Offer Registration Statement and (2) the date on which the Company receives notice from a Holder of Transfer Restricted Securities as contemplated by clause (ii) above 60 days after such earlier date being the "Shelf Filing Deadline"), which Shelf Registration Statement shall provide</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719"/>
        <w:spacing w:after="0" w:line="255" w:lineRule="auto"/>
        <w:rPr>
          <w:sz w:val="20"/>
          <w:szCs w:val="20"/>
          <w:color w:val="auto"/>
        </w:rPr>
      </w:pPr>
      <w:r>
        <w:rPr>
          <w:rFonts w:ascii="Courier New" w:cs="Courier New" w:eastAsia="Courier New" w:hAnsi="Courier New"/>
          <w:sz w:val="14"/>
          <w:szCs w:val="14"/>
          <w:color w:val="auto"/>
        </w:rPr>
        <w:t>for resales of all Transfer Restricted Securities the Holders of which shall have provided the information required pursuant to Section 4(b) hereof; and</w:t>
      </w:r>
    </w:p>
    <w:p>
      <w:pPr>
        <w:spacing w:after="0" w:line="162" w:lineRule="exact"/>
        <w:rPr>
          <w:sz w:val="20"/>
          <w:szCs w:val="20"/>
          <w:color w:val="auto"/>
        </w:rPr>
      </w:pPr>
    </w:p>
    <w:p>
      <w:pPr>
        <w:ind w:left="440" w:right="3279" w:firstLine="437"/>
        <w:spacing w:after="0" w:line="255" w:lineRule="auto"/>
        <w:tabs>
          <w:tab w:leader="none" w:pos="1308"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their best efforts to cause such Shelf Registration Statement to be declared effective by the Commission on or before 150 days after the Shelf Filing Deadline.</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and the Guarantors shall use their best efforts to keep such Shelf Registration Statement continuously effective, supplemented and amended as required by the provisions of Sections 6(b) and (c) hereof to the extent necessary to ensure that it is available for resales of Notes by the Holders of Transfer Restricted Securities entitled to the benefit of this Section 4(a), and to ensure that it conforms with the requirements of this Agreement, the Securities Act and the policies, rules and regulations of the Commission as announced from time to time, for a period of at least two years following the effective date of such Shelf Registration Statement (or shorter period that will terminate when all the Notes covered by such Shelf Registration Statement have been sold pursuant to such Shelf Registration Statement).</w:t>
      </w:r>
    </w:p>
    <w:p>
      <w:pPr>
        <w:spacing w:after="0" w:line="164" w:lineRule="exact"/>
        <w:rPr>
          <w:sz w:val="20"/>
          <w:szCs w:val="20"/>
          <w:color w:val="auto"/>
        </w:rPr>
      </w:pPr>
    </w:p>
    <w:p>
      <w:pPr>
        <w:ind w:left="1060" w:hanging="617"/>
        <w:spacing w:after="0"/>
        <w:tabs>
          <w:tab w:leader="none" w:pos="106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by Holders of Certain Information in Connection with the</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4"/>
          <w:szCs w:val="14"/>
          <w:color w:val="auto"/>
        </w:rPr>
        <w:t>Shelf Registration Statement.</w:t>
        <w:tab/>
        <w:t>No Holder of Transfer Restricted Securities may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include any of its Transfer Restricted Securities in any Shelf Registration Statement pursuant to this Agreement unless and until such Holder furnishes to the Company in writing, within 20 business days after receipt of a request therefor, such information as the Company may reasonably request for use in connection with any Shelf Registration Statement or Prospectus or preliminary Prospectus included therein. Each Holder as to which any Shelf Registration Statement is being effected agrees to furnish promptly to the Company all information required to be disclosed in order to make the information previously furnished to the Company by such Holder not materially misleading.</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5.</w:t>
        <w:tab/>
        <w:t>Liquidated Damages</w:t>
      </w:r>
    </w:p>
    <w:p>
      <w:pPr>
        <w:spacing w:after="0" w:line="175"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If (i) any of the Registration Statements required by this Agreement is not filed with the Commission on or prior to the date specified for such filing in this Agreement, (ii) any of such Registration Statements has not been declared effective by the Commission on or prior to the date specified for such effectiveness in this Agreement (the "Effectiveness Target Date"), (iii) the</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Exchange Offer has not been Consummated within 30 business days after the Effectiveness Target Date with respect to the Exchange Offer Registration Statement or (iv) any Registration Statement required by this Agreement is filed and declared effective but shall thereafter cease to be effective or fail to be usable for</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215" w:name="page216"/>
    <w:bookmarkEnd w:id="215"/>
    <w:p>
      <w:pPr>
        <w:ind w:right="3639"/>
        <w:spacing w:after="0" w:line="252" w:lineRule="auto"/>
        <w:rPr>
          <w:sz w:val="20"/>
          <w:szCs w:val="20"/>
          <w:color w:val="auto"/>
        </w:rPr>
      </w:pPr>
      <w:r>
        <w:rPr>
          <w:rFonts w:ascii="Courier New" w:cs="Courier New" w:eastAsia="Courier New" w:hAnsi="Courier New"/>
          <w:sz w:val="14"/>
          <w:szCs w:val="14"/>
          <w:color w:val="auto"/>
        </w:rPr>
        <w:t>its intended purpose without being succeeded immediately by a post-effective amendment to such Registration Statement that cures such failure and that is itself immediately declared effective (each such event referred to in clauses (i) through (iv), a "Registration Default"), the Company and the</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Guarantors hereby jointly and severally agree to pay to each Holder of Transfer Restricted Securities affected thereby liquidated damages in an amount equal to $.05 per week per $1,000 in principal amount of Transfer Restricted Securities held by such Holder for each week or portion thereof that the Registration Default continues for the first 90-day period immediately following the occurrence of such Registration Default. The amount of the liquidated damages shall increase by an additional $.05 per week per $1,000 in principal amount of Transfer Restricted Securities with respect to each subsequent 90-day period until all Registration Defaults have been cured, up to a maximum amount of liquidated damages of $.50 per week per $1,000 in principal amount of Transfer Restricted Securities. Following the cure of all Registration Defaults relating to any particular Transfer Restricted Securities, liquidated damages payable with respect to the Transfer Restricted Securities as a result of such clause (i), (ii), (iii) or (iv), as applicable, shall cease.</w:t>
      </w:r>
    </w:p>
    <w:p>
      <w:pPr>
        <w:spacing w:after="0" w:line="163"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All obligations of the Company and the Guarantors set forth in the preceding paragraph that are outstanding with respect to any Transfer Restricted Security at the time such security ceases to be a Transfer Restricted Security shall survive until such time as all such obligations with respect to such Note shall have been satisfied in full.</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6.</w:t>
        <w:tab/>
        <w:t>Registration Procedures</w:t>
      </w:r>
    </w:p>
    <w:p>
      <w:pPr>
        <w:spacing w:after="0" w:line="175" w:lineRule="exact"/>
        <w:rPr>
          <w:sz w:val="20"/>
          <w:szCs w:val="20"/>
          <w:color w:val="auto"/>
        </w:rPr>
      </w:pPr>
    </w:p>
    <w:p>
      <w:pPr>
        <w:ind w:left="1060" w:hanging="617"/>
        <w:spacing w:after="0"/>
        <w:tabs>
          <w:tab w:leader="none" w:pos="106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Offer Registration Statement.  In connection with the</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Exchange Offer, the Company and the Guarantors shall comply with all of the provisions of Section 6(c) below, shall use their best efforts to effect such exchange to permit the sale of Transfer Restricted Securities being sold in accordance with the intended method or methods of distribution thereof, and shall comply with all of the following provisions:</w:t>
      </w:r>
    </w:p>
    <w:p>
      <w:pPr>
        <w:spacing w:after="0" w:line="162" w:lineRule="exact"/>
        <w:rPr>
          <w:sz w:val="20"/>
          <w:szCs w:val="20"/>
          <w:color w:val="auto"/>
        </w:rPr>
      </w:pPr>
    </w:p>
    <w:p>
      <w:pPr>
        <w:ind w:right="3279" w:firstLine="1051"/>
        <w:spacing w:after="0" w:line="253" w:lineRule="auto"/>
        <w:tabs>
          <w:tab w:leader="none" w:pos="1475"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 the reasonable opinion of counsel to the Company there is a question as to whether the Exchange Offer is permitted by applicable law, the Company and the Guarantors hereby agree to seek a no-action letter or other favorable decision from the Commission allowing the Company and the Guarantors to Consummate an Exchange Offer for such Initial Notes. The Company and the Guarantors each hereby agree to pursue the issuance of such a decision to the Commission staff level but shall not be required to take commercially unreasonable action to effect a change of Commission policy. The Company and the Guarantors each hereby agrees, however, to (A) participate in telephonic conferences with the Commission, (B) deliver to the Commission staff an analysis prepared by counsel to the Company setting forth the legal bases, if any, upon which such counsel has concluded that such an Exchange Offer should be permitted and (C) diligently pursue a favorable resolution by the Commission staff of such submission.</w:t>
      </w:r>
    </w:p>
    <w:p>
      <w:pPr>
        <w:spacing w:after="0" w:line="330" w:lineRule="exact"/>
        <w:rPr>
          <w:rFonts w:ascii="Courier New" w:cs="Courier New" w:eastAsia="Courier New" w:hAnsi="Courier New"/>
          <w:sz w:val="14"/>
          <w:szCs w:val="14"/>
          <w:color w:val="auto"/>
        </w:rPr>
      </w:pPr>
    </w:p>
    <w:p>
      <w:pPr>
        <w:ind w:right="3279" w:firstLine="1051"/>
        <w:spacing w:after="0" w:line="252" w:lineRule="auto"/>
        <w:tabs>
          <w:tab w:leader="none" w:pos="1475"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condition to its participation in the Exchange Offer pursuant to the terms of this Agreement, each Holder of Transfer Restricted Securities shall furnish, upon the request of the Company, prior to the Consummation thereof, a written representation to the Company (which may be contained in the letter of transmittal contemplated by the Exchange Offer Registration Statement) to the effect that (A) it is not an affiliate of the Company, (B) it is not engaged in, and does not intend to engage in, and has no arrangement or understanding with any person to participate in, a distribution of the Exchange Notes to be issued in the Exchange Offer and (C) it is acquiring the Exchange Notes in its ordinary course of business. In addition, all such Holders of Transfer Restricted Securities shall otherwise cooperate in the Company's preparations for the Exchange Offer. Each Holder hereby acknowledges and agrees that any Broker-Dealer and any such Holder using the Exchange Offer to participate in a distribution of the securities to be acquired in the Exchange Offer (1) could not under</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216" w:name="page217"/>
    <w:bookmarkEnd w:id="216"/>
    <w:p>
      <w:pPr>
        <w:ind w:right="3279"/>
        <w:spacing w:after="0" w:line="252" w:lineRule="auto"/>
        <w:rPr>
          <w:sz w:val="20"/>
          <w:szCs w:val="20"/>
          <w:color w:val="auto"/>
        </w:rPr>
      </w:pPr>
      <w:r>
        <w:rPr>
          <w:rFonts w:ascii="Courier New" w:cs="Courier New" w:eastAsia="Courier New" w:hAnsi="Courier New"/>
          <w:sz w:val="14"/>
          <w:szCs w:val="14"/>
          <w:color w:val="auto"/>
        </w:rPr>
        <w:t>Commission policy as in effect on the date of this Agreement rely on the position of the Commission enunciated in Morgan Stanley and Co., Inc. (available</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5, 1991) and Exxon Capital Holdings Corporation (available May 13, 1988),</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as interpreted in the Commission's letter to Shearman &amp; Sterling dated July 2, 1993, and similar no-action letters (which may include any no-action letter obtained pursuant to clause (i) above), and (2) must comply with the registration and prospectus delivery requirements of the Securities Act in connection with a secondary resale transaction and that such a secondary resale transaction should be covered by an effective registration statement containing the selling security holder information required by Item 507 or 508, as applicable, of Regulation S-K if the resales are of Exchange Notes obtained by such Holder in exchange for Initial Notes acquired by such Holder directly from the Company.</w:t>
      </w:r>
    </w:p>
    <w:p>
      <w:pPr>
        <w:spacing w:after="0" w:line="331" w:lineRule="exact"/>
        <w:rPr>
          <w:sz w:val="20"/>
          <w:szCs w:val="20"/>
          <w:color w:val="auto"/>
        </w:rPr>
      </w:pPr>
    </w:p>
    <w:p>
      <w:pPr>
        <w:ind w:left="1060" w:hanging="617"/>
        <w:spacing w:after="0"/>
        <w:tabs>
          <w:tab w:leader="none" w:pos="106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Shelf Registration Statement.  In connection with the Shelf</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Registration Statement, the Company and the Guarantors shall comply with all the provisions of Section 6(c) below and shall use their best efforts to effect such registration to permit the sale of the Transfer Restricted Securities being sold in accordance with the intended method or methods of distribution thereof, and pursuant thereto the Company will as expeditiously as possible prepare and file with the Commission a Registration Statement relating to the registration on any appropriate form under the Securities Act, which form shall be available for the sale of the Transfer Restricted Securities in accordance with the intended method or methods of distribution thereof.</w:t>
      </w:r>
    </w:p>
    <w:p>
      <w:pPr>
        <w:spacing w:after="0" w:line="164" w:lineRule="exact"/>
        <w:rPr>
          <w:sz w:val="20"/>
          <w:szCs w:val="20"/>
          <w:color w:val="auto"/>
        </w:rPr>
      </w:pPr>
    </w:p>
    <w:p>
      <w:pPr>
        <w:ind w:left="1060" w:hanging="617"/>
        <w:spacing w:after="0"/>
        <w:tabs>
          <w:tab w:leader="none" w:pos="106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  In connection with any Registration Statement</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and any Prospectus required by this Agreement to permit the sale or resale of Transfer Restricted Securities (including, without limitation, any Registration Statement and the related Prospectus required to permit resales of Notes by Broker-Dealers), the Company shall:</w:t>
      </w:r>
    </w:p>
    <w:p>
      <w:pPr>
        <w:spacing w:after="0" w:line="163" w:lineRule="exact"/>
        <w:rPr>
          <w:sz w:val="20"/>
          <w:szCs w:val="20"/>
          <w:color w:val="auto"/>
        </w:rPr>
      </w:pPr>
    </w:p>
    <w:p>
      <w:pPr>
        <w:ind w:right="3279" w:firstLine="1051"/>
        <w:spacing w:after="0" w:line="253" w:lineRule="auto"/>
        <w:tabs>
          <w:tab w:leader="none" w:pos="1475"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best efforts to keep such Registration Statement continuously effective and provide all requisite financial statements (including, if required by the Securities Act or any regulation thereunder, financial statements of the Guarantors for the period specified in Section 3 or 4 of this Agreement, as applicable; upon the occurrence of any event that would cause any such Registration Statement or the Prospectus contained therein (A) to contain a material misstatement or omission or (B) not to be effective and usable for resale of Transfer Restricted Securities during the period required by this Agreement, the Company shall file promptly an appropriate amendment to such Registration Statement, in the case of clause (A), correcting any such misstatement or omission, and, in the case of either clause (A) or (B), use its best efforts to cause such amendment to be declared effective and such Registration Statement and the related Prospectus to become usable for their intended purpose(s) as soon as practicable thereafter;</w:t>
      </w:r>
    </w:p>
    <w:p>
      <w:pPr>
        <w:spacing w:after="0" w:line="162" w:lineRule="exact"/>
        <w:rPr>
          <w:rFonts w:ascii="Courier New" w:cs="Courier New" w:eastAsia="Courier New" w:hAnsi="Courier New"/>
          <w:sz w:val="14"/>
          <w:szCs w:val="14"/>
          <w:color w:val="auto"/>
        </w:rPr>
      </w:pPr>
    </w:p>
    <w:p>
      <w:pPr>
        <w:ind w:right="3279" w:firstLine="1051"/>
        <w:spacing w:after="0" w:line="253" w:lineRule="auto"/>
        <w:tabs>
          <w:tab w:leader="none" w:pos="1475"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file with the Commission such amendments and post-effective amendments to the Registration Statement as may be necessary to keep the Registration Statement effective for the applicable period set forth in Section 3 or 4 hereof, as applicable, or such shorter period as will terminate when all Transfer Restricted Securities covered by such Registration Statement have been sold; cause the Prospectus to be supplemented by any required Prospectus supplement, and as so supplemented to be filed pursuant to Rule 424 under the Securities Act, and to comply fully with the applicable provisions of Rules 424 and 430A under the Securities Act in a timely manner; and comply with the provisions of the Securities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217" w:name="page218"/>
    <w:bookmarkEnd w:id="217"/>
    <w:p>
      <w:pPr>
        <w:ind w:left="-1051" w:right="3279" w:firstLine="1051"/>
        <w:spacing w:after="0" w:line="252" w:lineRule="auto"/>
        <w:tabs>
          <w:tab w:leader="none" w:pos="598"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advise the selling Holders promptly and, if requested by such Persons, to confirm such advice in writing, (A) when the Prospectus or any Prospectus supplement or post-effective amendment has been filed, and, with respect to any Registration Statement or any post-effective amendment thereto, when the same has become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Securities Act or of the suspension by any state securities commission of the qualification of the Transfer Restricted Securities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Transfer Restricted Securities under state securities or Blue Sky laws, the Company and the Guarantors shall use their best efforts to obtain the withdrawal or lifting of such order at the earliest possible time;</w:t>
      </w:r>
    </w:p>
    <w:p>
      <w:pPr>
        <w:spacing w:after="0" w:line="342" w:lineRule="exact"/>
        <w:rPr>
          <w:rFonts w:ascii="Courier New" w:cs="Courier New" w:eastAsia="Courier New" w:hAnsi="Courier New"/>
          <w:sz w:val="14"/>
          <w:szCs w:val="14"/>
          <w:color w:val="auto"/>
        </w:rPr>
      </w:pPr>
    </w:p>
    <w:p>
      <w:pPr>
        <w:ind w:left="-1051" w:right="3279" w:firstLine="1051"/>
        <w:spacing w:after="0" w:line="252" w:lineRule="auto"/>
        <w:tabs>
          <w:tab w:leader="none" w:pos="425"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 without charge to each of the Initial Purchasers and each selling Holder named in any Registration Statement, before filing with the Commission, copies of any Registration Statement or any Prospectus included therein or any amendments or supplements to any such Registration Statement or Prospectus (including all documents incorporated by reference after the initial filing of such Registration Statement), which documents will be subject to the review of such Persons in connection with such sale, if any, for a period of at least five business days, and the Company will not file any such Registration Statement or Prospectus or any amendment or supplement to any such Registration Statement or Prospectus (including all such documents incorporated by reference) to which an Initial Purchaser or Holder of Transfer Restricted Securities covered by such Registration Statement shall reasonably object in writing within five business days after the receipt thereof (such objection to be deemed timely made upon confirmation of telecopy transmission within such period). The objection of any such Person shall be deemed to be reasonable if such Registration Statement, amendment, Prospectus or supplement, as applicable, as proposed to be filed, contains a material misstatement or omission;</w:t>
      </w:r>
    </w:p>
    <w:p>
      <w:pPr>
        <w:spacing w:after="0" w:line="173" w:lineRule="exact"/>
        <w:rPr>
          <w:rFonts w:ascii="Courier New" w:cs="Courier New" w:eastAsia="Courier New" w:hAnsi="Courier New"/>
          <w:sz w:val="14"/>
          <w:szCs w:val="14"/>
          <w:color w:val="auto"/>
        </w:rPr>
      </w:pPr>
    </w:p>
    <w:p>
      <w:pPr>
        <w:ind w:left="-1051" w:right="3279" w:firstLine="1051"/>
        <w:spacing w:after="0" w:line="253" w:lineRule="auto"/>
        <w:tabs>
          <w:tab w:leader="none" w:pos="425"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prior to the filing of any document that is to be incorporated by reference into a Registration Statement or Prospectus, provide copies of such document to the Initial Purchasers and to each selling Holder named in any Registration Statement, make available the Company's representatives and representatives of the Guarantors for discussion of such document and other customary due diligence matters, and include such information in such document prior to the filing thereof as such selling Holders reasonably may request;</w:t>
      </w:r>
    </w:p>
    <w:p>
      <w:pPr>
        <w:spacing w:after="0" w:line="331" w:lineRule="exact"/>
        <w:rPr>
          <w:rFonts w:ascii="Courier New" w:cs="Courier New" w:eastAsia="Courier New" w:hAnsi="Courier New"/>
          <w:sz w:val="14"/>
          <w:szCs w:val="14"/>
          <w:color w:val="auto"/>
        </w:rPr>
      </w:pPr>
    </w:p>
    <w:p>
      <w:pPr>
        <w:ind w:left="-1051" w:right="3279" w:firstLine="1051"/>
        <w:spacing w:after="0" w:line="253" w:lineRule="auto"/>
        <w:tabs>
          <w:tab w:leader="none" w:pos="425"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available at reasonable times for inspection by the Initial Purchasers and each Holder, and any attorney or accountant retained by such Persons, all financial and other records, pertinent corporate documents and properties of the Company and the Guarantors and cause the Company's and the Guarantors' officers, directors and employees to supply all information reasonably requested by any such Holder, Initial Purchaser, attorney or accountant in connection with such Registration Statement subsequent to the filing thereof and prior to its effectiveness;</w:t>
      </w:r>
    </w:p>
    <w:p>
      <w:pPr>
        <w:spacing w:after="0" w:line="164" w:lineRule="exact"/>
        <w:rPr>
          <w:rFonts w:ascii="Courier New" w:cs="Courier New" w:eastAsia="Courier New" w:hAnsi="Courier New"/>
          <w:sz w:val="14"/>
          <w:szCs w:val="14"/>
          <w:color w:val="auto"/>
        </w:rPr>
      </w:pPr>
    </w:p>
    <w:p>
      <w:pPr>
        <w:ind w:left="-1051" w:right="3279" w:firstLine="1051"/>
        <w:spacing w:after="0" w:line="253" w:lineRule="auto"/>
        <w:tabs>
          <w:tab w:leader="none" w:pos="598"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requested by any selling Holders promptly incorporate in any Registration Statement or Prospectus, pursuant to a supplement or post-effective amendment if necessary, such information as such selling Holders may reasonably request to have included therein, including, without limitation, information relating to the "Plan of Distribution" of the Transfer Restricted Securities, information with respect to the principal amount of Transfer Restricted Securities being sold, the purchase price being paid therefor and any other terms of the offering of the Transfer Restricted Securities to be</w:t>
      </w:r>
    </w:p>
    <w:p>
      <w:pPr>
        <w:spacing w:after="0" w:line="332" w:lineRule="exact"/>
        <w:rPr>
          <w:sz w:val="20"/>
          <w:szCs w:val="20"/>
          <w:color w:val="auto"/>
        </w:rPr>
      </w:pPr>
    </w:p>
    <w:p>
      <w:pPr>
        <w:ind w:left="2349"/>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189"/>
          </w:cols>
          <w:pgMar w:left="1271" w:top="620" w:right="1440" w:bottom="1440" w:gutter="0" w:footer="0" w:header="0"/>
        </w:sectPr>
      </w:pPr>
    </w:p>
    <w:bookmarkStart w:id="218" w:name="page219"/>
    <w:bookmarkEnd w:id="218"/>
    <w:p>
      <w:pPr>
        <w:ind w:right="3379"/>
        <w:spacing w:after="0" w:line="254" w:lineRule="auto"/>
        <w:rPr>
          <w:sz w:val="20"/>
          <w:szCs w:val="20"/>
          <w:color w:val="auto"/>
        </w:rPr>
      </w:pPr>
      <w:r>
        <w:rPr>
          <w:rFonts w:ascii="Courier New" w:cs="Courier New" w:eastAsia="Courier New" w:hAnsi="Courier New"/>
          <w:sz w:val="14"/>
          <w:szCs w:val="14"/>
          <w:color w:val="auto"/>
        </w:rPr>
        <w:t>sold in such offering; and make all required filings of such Prospectus supplement or post-effective amendment as soon as practicable after the Company is notified of the matters to be incorporated in such Prospectus supplement or post-effective amendment;</w:t>
      </w:r>
    </w:p>
    <w:p>
      <w:pPr>
        <w:spacing w:after="0" w:line="163" w:lineRule="exact"/>
        <w:rPr>
          <w:sz w:val="20"/>
          <w:szCs w:val="20"/>
          <w:color w:val="auto"/>
        </w:rPr>
      </w:pPr>
    </w:p>
    <w:p>
      <w:pPr>
        <w:ind w:right="3459" w:firstLine="1051"/>
        <w:spacing w:after="0" w:line="254" w:lineRule="auto"/>
        <w:tabs>
          <w:tab w:leader="none" w:pos="1736"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Transfer Restricted Securities covered by the Registration Statement to be rated with the appropriate rating agencies, if so requested by the Holders of a majority in aggregate principal amount of Notes covered thereby;</w:t>
      </w:r>
    </w:p>
    <w:p>
      <w:pPr>
        <w:spacing w:after="0" w:line="163" w:lineRule="exact"/>
        <w:rPr>
          <w:rFonts w:ascii="Courier New" w:cs="Courier New" w:eastAsia="Courier New" w:hAnsi="Courier New"/>
          <w:sz w:val="14"/>
          <w:szCs w:val="14"/>
          <w:color w:val="auto"/>
        </w:rPr>
      </w:pPr>
    </w:p>
    <w:p>
      <w:pPr>
        <w:ind w:right="3539" w:firstLine="1051"/>
        <w:spacing w:after="0" w:line="254" w:lineRule="auto"/>
        <w:tabs>
          <w:tab w:leader="none" w:pos="1475"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 to each selling Holder upon request, without charge, at least one copy of the Registration Statement, as first filed with the Commission, and of each amendment thereto, including financial statements and schedules, all documents incorporated by reference therein and all exhibits (including exhibits incorporated therein by reference);</w:t>
      </w:r>
    </w:p>
    <w:p>
      <w:pPr>
        <w:spacing w:after="0" w:line="162" w:lineRule="exact"/>
        <w:rPr>
          <w:rFonts w:ascii="Courier New" w:cs="Courier New" w:eastAsia="Courier New" w:hAnsi="Courier New"/>
          <w:sz w:val="14"/>
          <w:szCs w:val="14"/>
          <w:color w:val="auto"/>
        </w:rPr>
      </w:pPr>
    </w:p>
    <w:p>
      <w:pPr>
        <w:ind w:right="3379" w:firstLine="1051"/>
        <w:spacing w:after="0" w:line="253" w:lineRule="auto"/>
        <w:tabs>
          <w:tab w:leader="none" w:pos="1475"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to each selling Holder, without charge, as many copies of the Prospectus (including each preliminary prospectus) and any amendment or supplement thereto as such Persons reasonably may request; the Company and the Guarantors hereby consent to the use of the Prospectus and any amendment or supplement thereto by each of the selling Holders in connection with the offering and the sale of the Transfer Restricted Securities covered by the Prospectus or any amendment or supplement thereto;</w:t>
      </w:r>
    </w:p>
    <w:p>
      <w:pPr>
        <w:spacing w:after="0" w:line="164" w:lineRule="exact"/>
        <w:rPr>
          <w:rFonts w:ascii="Courier New" w:cs="Courier New" w:eastAsia="Courier New" w:hAnsi="Courier New"/>
          <w:sz w:val="14"/>
          <w:szCs w:val="14"/>
          <w:color w:val="auto"/>
        </w:rPr>
      </w:pPr>
    </w:p>
    <w:p>
      <w:pPr>
        <w:ind w:right="3279" w:firstLine="1051"/>
        <w:spacing w:after="0" w:line="253" w:lineRule="auto"/>
        <w:tabs>
          <w:tab w:leader="none" w:pos="1475"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and cause the Guarantors to enter into, such customary agreements, and make, and cause the Guarantors to make, such customary representations and warranties, and take all such other actions in connection therewith in order to expedite or facilitate the disposition of the Transfer Restricted Securities pursuant to any Registration Statement contemplated by this Agreement, all to such extent as may be reasonably requested by any Initial Purchaser or by any Holder of Transfer Restricted Securities or underwriter in connection with any sale or resale pursuant to any Registration Statement contemplated by this Agreement; and the Company and the Guarantors shall:</w:t>
      </w:r>
    </w:p>
    <w:p>
      <w:pPr>
        <w:spacing w:after="0" w:line="164" w:lineRule="exact"/>
        <w:rPr>
          <w:sz w:val="20"/>
          <w:szCs w:val="20"/>
          <w:color w:val="auto"/>
        </w:rPr>
      </w:pPr>
    </w:p>
    <w:p>
      <w:pPr>
        <w:ind w:left="440" w:right="3279" w:firstLine="611"/>
        <w:spacing w:after="0" w:line="253" w:lineRule="auto"/>
        <w:tabs>
          <w:tab w:leader="none" w:pos="1481"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 to each Initial Purchaser and each selling Holder, in such substance and scope as they may request upon the date of the Consummation of the Exchange Offer and, if applicable, the effectiveness of the Shelf Registration Statement a certificate, dated the date of Consummation of the Exchange Offer or the date of effectiveness of the Shelf Registration Statement, as the case may be, signed by (y) the President or any Vice President and (z) a principal financial or accounting officer of each of the Company and the Guarantors, confirming, as of the date thereof, the matters set forth in paragraphs (i), (ii) and (iii) of Section 5(e) of the Purchase Agreement and such other matters as such parties may reasonably request;</w:t>
      </w:r>
    </w:p>
    <w:p>
      <w:pPr>
        <w:spacing w:after="0" w:line="163" w:lineRule="exact"/>
        <w:rPr>
          <w:rFonts w:ascii="Courier New" w:cs="Courier New" w:eastAsia="Courier New" w:hAnsi="Courier New"/>
          <w:sz w:val="14"/>
          <w:szCs w:val="14"/>
          <w:color w:val="auto"/>
        </w:rPr>
      </w:pPr>
    </w:p>
    <w:p>
      <w:pPr>
        <w:ind w:left="440" w:right="3459" w:firstLine="611"/>
        <w:spacing w:after="0" w:line="255" w:lineRule="auto"/>
        <w:tabs>
          <w:tab w:leader="none" w:pos="1481"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 forth in full in such agreements the indemnification provisions and procedures of Section 8 hereof with respect to all parties to be indemnified pursuant to said Section; and</w:t>
      </w:r>
    </w:p>
    <w:p>
      <w:pPr>
        <w:spacing w:after="0" w:line="162" w:lineRule="exact"/>
        <w:rPr>
          <w:rFonts w:ascii="Courier New" w:cs="Courier New" w:eastAsia="Courier New" w:hAnsi="Courier New"/>
          <w:sz w:val="14"/>
          <w:szCs w:val="14"/>
          <w:color w:val="auto"/>
        </w:rPr>
      </w:pPr>
    </w:p>
    <w:p>
      <w:pPr>
        <w:ind w:left="440" w:right="3279" w:firstLine="611"/>
        <w:spacing w:after="0" w:line="254" w:lineRule="auto"/>
        <w:tabs>
          <w:tab w:leader="none" w:pos="1481"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such other documents and certificates as may be reasonably requested by such parties to evidence compliance with clause (A) above and with any customary conditions contained in any agreement entered into by the Company or the Guarantors pursuant to this clause (xi), if any.</w:t>
      </w:r>
    </w:p>
    <w:p>
      <w:pPr>
        <w:spacing w:after="0" w:line="163"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If at any time the representations and warranties of the Company and the Guarantors contemplated in clause (A)(1) above cease to be true and correct, the Company or the Guarantors shall so advise the Initial Purchasers and each selling Holder promptly and, if requested by such Persons, shall confirm such advice in writing;</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219" w:name="page220"/>
    <w:bookmarkEnd w:id="219"/>
    <w:p>
      <w:pPr>
        <w:ind w:left="-1051" w:right="3279" w:firstLine="1051"/>
        <w:spacing w:after="0" w:line="253" w:lineRule="auto"/>
        <w:tabs>
          <w:tab w:leader="none" w:pos="598"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any public offering of Transfer Restricted Securities, cooperate with, and cause the Guarantors to cooperate with, the selling Holders, the underwriter(s), if any, and their respective counsel in connection with the registration and qualification of the Transfer Restricted Securities under the securities or Blue Sky laws of such jurisdictions as the selling Holders or underwriter(s) may request and do any and all other acts or things necessary or advisable to enable the disposition in such jurisdictions of the Transfer Restricted Securities covered by the Shelf Registration Statement; provided, however, that neither the Company nor the Guarantors shall be required to register or qualify as a foreign corporation where it is not then so qualified or to take any action that would subject it to the service of process in suits or to taxation, other than as to matters and transactions relating to the Registration Statement, in any jurisdiction where it is not then so subject;</w:t>
      </w:r>
    </w:p>
    <w:p>
      <w:pPr>
        <w:spacing w:after="0" w:line="163" w:lineRule="exact"/>
        <w:rPr>
          <w:rFonts w:ascii="Courier New" w:cs="Courier New" w:eastAsia="Courier New" w:hAnsi="Courier New"/>
          <w:sz w:val="14"/>
          <w:szCs w:val="14"/>
          <w:color w:val="auto"/>
        </w:rPr>
      </w:pPr>
    </w:p>
    <w:p>
      <w:pPr>
        <w:ind w:left="-1051" w:right="3379" w:firstLine="1051"/>
        <w:spacing w:after="0" w:line="253" w:lineRule="auto"/>
        <w:tabs>
          <w:tab w:leader="none" w:pos="685"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issue, upon the request of any Holder of Initial Notes covered by the Shelf Registration Statement, Exchange Notes, having an aggregate principal amount equal to the aggregate principal amount of Initial Notes surrendered to the Company by such Holder in exchange therefor or being sold by such Holder; such Exchange Notes to be registered in the name of such Holder or in the name of the purchaser(s) of such Notes, as the case may be; in return, the Initial Notes held by such Holder shall be surrendered to the Company for cancellation;</w:t>
      </w:r>
    </w:p>
    <w:p>
      <w:pPr>
        <w:spacing w:after="0" w:line="164" w:lineRule="exact"/>
        <w:rPr>
          <w:rFonts w:ascii="Courier New" w:cs="Courier New" w:eastAsia="Courier New" w:hAnsi="Courier New"/>
          <w:sz w:val="14"/>
          <w:szCs w:val="14"/>
          <w:color w:val="auto"/>
        </w:rPr>
      </w:pPr>
    </w:p>
    <w:p>
      <w:pPr>
        <w:ind w:left="-1051" w:right="3379" w:firstLine="1051"/>
        <w:spacing w:after="0" w:line="253" w:lineRule="auto"/>
        <w:tabs>
          <w:tab w:leader="none" w:pos="598"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and cause the Guarantors to cooperate with, the selling Holders to facilitate the timely preparation and delivery of certificates representing Transfer Restricted Securities to be sold and not bearing any restrictive legends; and enable such Transfer Restricted Securities to be in such denominations and registered in such names as the Holders may request at least two business days prior to any sale of Transfer Restricted Securities;</w:t>
      </w:r>
    </w:p>
    <w:p>
      <w:pPr>
        <w:spacing w:after="0" w:line="164" w:lineRule="exact"/>
        <w:rPr>
          <w:rFonts w:ascii="Courier New" w:cs="Courier New" w:eastAsia="Courier New" w:hAnsi="Courier New"/>
          <w:sz w:val="14"/>
          <w:szCs w:val="14"/>
          <w:color w:val="auto"/>
        </w:rPr>
      </w:pPr>
    </w:p>
    <w:p>
      <w:pPr>
        <w:ind w:left="-1051" w:right="3279" w:firstLine="1051"/>
        <w:spacing w:after="0" w:line="253" w:lineRule="auto"/>
        <w:tabs>
          <w:tab w:leader="none" w:pos="425"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its reasonable best efforts to cause the Transfer Restricted Securities covered by the Registration Statement to be registered with or approved by such other governmental agencies or authorities as may be necessary to enable the seller or sellers thereof or the underwriter(s), if any, to consummate the disposition of such Transfer Restricted Securities, subject to the proviso contained in clause (xii) above;</w:t>
      </w:r>
    </w:p>
    <w:p>
      <w:pPr>
        <w:spacing w:after="0" w:line="165" w:lineRule="exact"/>
        <w:rPr>
          <w:rFonts w:ascii="Courier New" w:cs="Courier New" w:eastAsia="Courier New" w:hAnsi="Courier New"/>
          <w:sz w:val="14"/>
          <w:szCs w:val="14"/>
          <w:color w:val="auto"/>
        </w:rPr>
      </w:pPr>
    </w:p>
    <w:p>
      <w:pPr>
        <w:ind w:left="-1051" w:right="3279" w:firstLine="1051"/>
        <w:spacing w:after="0" w:line="253" w:lineRule="auto"/>
        <w:tabs>
          <w:tab w:leader="none" w:pos="598"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fact or event contemplated by clause (c)(iii)(D) above shall exist or have occurred, prepare a supplement or post-effective amendment to the Registration Statement or related Prospectus or any document incorporated therein by reference or file any other required document so that, as thereafter delivered to the purchasers of Transfer Restricted Securities, the Prospectus will not contain an untrue statement of a material fact or omit to state any material fact necessary to make the statements therein not misleading;</w:t>
      </w:r>
    </w:p>
    <w:p>
      <w:pPr>
        <w:spacing w:after="0" w:line="164" w:lineRule="exact"/>
        <w:rPr>
          <w:rFonts w:ascii="Courier New" w:cs="Courier New" w:eastAsia="Courier New" w:hAnsi="Courier New"/>
          <w:sz w:val="14"/>
          <w:szCs w:val="14"/>
          <w:color w:val="auto"/>
        </w:rPr>
      </w:pPr>
    </w:p>
    <w:p>
      <w:pPr>
        <w:ind w:left="-1051" w:right="3279" w:firstLine="1051"/>
        <w:spacing w:after="0" w:line="254" w:lineRule="auto"/>
        <w:tabs>
          <w:tab w:leader="none" w:pos="685"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 CUSIP number for all Transfer Restricted Securities not later than the effective date of the Registration Statement and provide the Trustee under the Indenture with printed certificates for the Transfer Restricted Securities which are in a form eligible for deposit with the Depositary Trust Company;</w:t>
      </w:r>
    </w:p>
    <w:p>
      <w:pPr>
        <w:spacing w:after="0" w:line="162" w:lineRule="exact"/>
        <w:rPr>
          <w:rFonts w:ascii="Courier New" w:cs="Courier New" w:eastAsia="Courier New" w:hAnsi="Courier New"/>
          <w:sz w:val="14"/>
          <w:szCs w:val="14"/>
          <w:color w:val="auto"/>
        </w:rPr>
      </w:pPr>
    </w:p>
    <w:p>
      <w:pPr>
        <w:ind w:left="-1051" w:right="3539" w:firstLine="1051"/>
        <w:spacing w:after="0" w:line="253" w:lineRule="auto"/>
        <w:tabs>
          <w:tab w:leader="none" w:pos="772"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use its reasonable best efforts to comply with all applicable rules and regulations of the Commission, and make generally available to its security holders, as soon as practicable, a consolidated earnings statement meeting the requirements of Rule 158 (which need not be audited) for the twelve-month period beginning with the first month of the Company's first fiscal quarter commencing after the effective date of the Registration Statement;</w:t>
      </w:r>
    </w:p>
    <w:p>
      <w:pPr>
        <w:spacing w:after="0" w:line="164" w:lineRule="exact"/>
        <w:rPr>
          <w:rFonts w:ascii="Courier New" w:cs="Courier New" w:eastAsia="Courier New" w:hAnsi="Courier New"/>
          <w:sz w:val="14"/>
          <w:szCs w:val="14"/>
          <w:color w:val="auto"/>
        </w:rPr>
      </w:pPr>
    </w:p>
    <w:p>
      <w:pPr>
        <w:ind w:left="-1051" w:right="3379" w:firstLine="1051"/>
        <w:spacing w:after="0" w:line="254" w:lineRule="auto"/>
        <w:tabs>
          <w:tab w:leader="none" w:pos="598"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Indenture to be qualified under the Trust Indenture Act not later than the effective date of the first Registration Statement required by this Agreement, and, in connection therewith, cooperate, and cause the Guarantors to cooperate with the Trustee and the Holders of Notes to</w:t>
      </w:r>
    </w:p>
    <w:p>
      <w:pPr>
        <w:spacing w:after="0" w:line="200" w:lineRule="exact"/>
        <w:rPr>
          <w:sz w:val="20"/>
          <w:szCs w:val="20"/>
          <w:color w:val="auto"/>
        </w:rPr>
      </w:pPr>
    </w:p>
    <w:p>
      <w:pPr>
        <w:spacing w:after="0" w:line="297" w:lineRule="exact"/>
        <w:rPr>
          <w:sz w:val="20"/>
          <w:szCs w:val="20"/>
          <w:color w:val="auto"/>
        </w:rPr>
      </w:pPr>
    </w:p>
    <w:p>
      <w:pPr>
        <w:ind w:left="2249"/>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189"/>
          </w:cols>
          <w:pgMar w:left="1271" w:top="620" w:right="1440" w:bottom="1440" w:gutter="0" w:footer="0" w:header="0"/>
        </w:sectPr>
      </w:pPr>
    </w:p>
    <w:bookmarkStart w:id="220" w:name="page221"/>
    <w:bookmarkEnd w:id="220"/>
    <w:p>
      <w:pPr>
        <w:ind w:right="3379"/>
        <w:spacing w:after="0" w:line="253" w:lineRule="auto"/>
        <w:rPr>
          <w:sz w:val="20"/>
          <w:szCs w:val="20"/>
          <w:color w:val="auto"/>
        </w:rPr>
      </w:pPr>
      <w:r>
        <w:rPr>
          <w:rFonts w:ascii="Courier New" w:cs="Courier New" w:eastAsia="Courier New" w:hAnsi="Courier New"/>
          <w:sz w:val="14"/>
          <w:szCs w:val="14"/>
          <w:color w:val="auto"/>
        </w:rPr>
        <w:t>effect such changes to the Indenture as may be required for such Indenture to be so qualified in accordance with the terms of the Trust Indenture Act; and to execute, and cause the Guarantors to execute, and use its best efforts to cause the Trustee to execute, all documents that may be required to effect such changes and all other forms and documents required to be filed with the Commission to enable such Indenture to be so qualified in a timely manner;</w:t>
      </w:r>
    </w:p>
    <w:p>
      <w:pPr>
        <w:spacing w:after="0" w:line="165" w:lineRule="exact"/>
        <w:rPr>
          <w:sz w:val="20"/>
          <w:szCs w:val="20"/>
          <w:color w:val="auto"/>
        </w:rPr>
      </w:pPr>
    </w:p>
    <w:p>
      <w:pPr>
        <w:ind w:right="3279" w:firstLine="1051"/>
        <w:spacing w:after="0" w:line="254" w:lineRule="auto"/>
        <w:tabs>
          <w:tab w:leader="none" w:pos="1475"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all Transfer Restricted Securities covered by the Registration Statement to be listed on each securities exchange on which similar securities issued by the Company are then listed if requested by the Holders of a majority in aggregate principal amount of Initial Notes or the managing underwriter(s), if any; and</w:t>
      </w:r>
    </w:p>
    <w:p>
      <w:pPr>
        <w:spacing w:after="0" w:line="162" w:lineRule="exact"/>
        <w:rPr>
          <w:rFonts w:ascii="Courier New" w:cs="Courier New" w:eastAsia="Courier New" w:hAnsi="Courier New"/>
          <w:sz w:val="14"/>
          <w:szCs w:val="14"/>
          <w:color w:val="auto"/>
        </w:rPr>
      </w:pPr>
    </w:p>
    <w:p>
      <w:pPr>
        <w:ind w:right="3279" w:firstLine="1051"/>
        <w:spacing w:after="0" w:line="255" w:lineRule="auto"/>
        <w:tabs>
          <w:tab w:leader="none" w:pos="1649"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promptly to each Holder upon request each document filed with the Commission pursuant to the requirements of Section 13 and Section 15 of the Exchange Act.</w:t>
      </w:r>
    </w:p>
    <w:p>
      <w:pPr>
        <w:spacing w:after="0" w:line="162"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Each Holder agrees by acquisition of a Transfer Restricted Security that, upon receipt of any notice from the Company of the existence of any fact of the kind described in Section 6(c)(iii)(D) hereof, such Holder will forthwith discontinue disposition of Transfer Restricted Securities pursuant to the applicable Registration Statement until such Holder's receipt of the copies of the supplemented or amended Prospectus contemplated by Section 6(c)(xvi) hereof, or until it is advised in writing (the "Advice") by the Company that the use of</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Prospectus may be resumed, and has received copies of any additional or supplemental filings that are incorporated by reference in the Prospectus. If so directed by the Company, each Holder will deliver to the Company (at the Company's expense) all copies, other than permanent file copies then in such Holder's possession, of the Prospectus covering such Transfer Restricted Securities that was current at the time of receipt of such notice. In the event the Company shall give any such notice, the time period regarding the effectiveness of such Registration Statement set forth in Section 3 or 4 hereof, as applicable, shall be extended by the number of days during the period from and including the date of the giving of such notice pursuant to Section</w:t>
      </w:r>
    </w:p>
    <w:p>
      <w:pPr>
        <w:spacing w:after="0" w:line="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6(c)(iii)(D) hereof to and including the date when each selling Holder covered by such Registration Statement shall have received the copies of the supplemented or amended Prospectus contemplated by Section 6(c)(xvi) hereof or shall have received the Advice; however, no such extension shall be taken into account in determining whether liquidated damages are due pursuant to Section 5 hereof or the amount of such liquidated damages, it being agreed that the Company's option to suspend use of a Registration Statement pursuant to this paragraph shall be treated as a Registration Default for purposes of Section 5.</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7.</w:t>
        <w:tab/>
        <w:t>Registration Expenses</w:t>
      </w:r>
    </w:p>
    <w:p>
      <w:pPr>
        <w:spacing w:after="0" w:line="175" w:lineRule="exact"/>
        <w:rPr>
          <w:sz w:val="20"/>
          <w:szCs w:val="20"/>
          <w:color w:val="auto"/>
        </w:rPr>
      </w:pPr>
    </w:p>
    <w:p>
      <w:pPr>
        <w:ind w:right="3279" w:firstLine="443"/>
        <w:spacing w:after="0" w:line="252" w:lineRule="auto"/>
        <w:tabs>
          <w:tab w:leader="none" w:pos="1042" w:val="left"/>
        </w:tabs>
        <w:numPr>
          <w:ilvl w:val="1"/>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expenses incident to the Company's or the Guarantors' performance of or compliance with this Agreement will be borne by the Company or the Guarantors, regardless of whether a Registration Statement becomes effective, including without limitation: (i) all registration and filing fees and expenses (including filings made by any Initial Purchaser or Holder with the NASD; (ii) all fees and expenses of compliance with federal securities and state Blue Sky or securities laws; (iii) all expenses of printing (including printing certificates for the Exchange Notes to be issued in the Exchange Offer and printing of Prospectuses), messenger and delivery services and telephone; (iv) all fees and disbursements of counsel for the Company, the Guarantors and, subject to Section 7(b) below, the Holders of Transfer Restricted Securities;</w:t>
      </w:r>
    </w:p>
    <w:p>
      <w:pPr>
        <w:spacing w:after="0" w:line="4" w:lineRule="exact"/>
        <w:rPr>
          <w:rFonts w:ascii="Courier New" w:cs="Courier New" w:eastAsia="Courier New" w:hAnsi="Courier New"/>
          <w:sz w:val="14"/>
          <w:szCs w:val="14"/>
          <w:color w:val="auto"/>
        </w:rPr>
      </w:pPr>
    </w:p>
    <w:p>
      <w:pPr>
        <w:ind w:right="3379" w:firstLine="9"/>
        <w:spacing w:after="0" w:line="253" w:lineRule="auto"/>
        <w:tabs>
          <w:tab w:leader="none" w:pos="347"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application and filing fees in connection with listing the Exchange Notes on a national securities exchange or automated quotation system pursuant to the requirements thereof; and (vi) all fees and disbursements of independent certified public accountants of the Company and the Guarantors (including the expenses of any special audit and comfort letters required by or incident to such performance).</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221" w:name="page222"/>
    <w:bookmarkEnd w:id="221"/>
    <w:p>
      <w:pPr>
        <w:ind w:right="3379" w:firstLine="1042"/>
        <w:spacing w:after="0" w:line="254" w:lineRule="auto"/>
        <w:rPr>
          <w:sz w:val="20"/>
          <w:szCs w:val="20"/>
          <w:color w:val="auto"/>
        </w:rPr>
      </w:pPr>
      <w:r>
        <w:rPr>
          <w:rFonts w:ascii="Courier New" w:cs="Courier New" w:eastAsia="Courier New" w:hAnsi="Courier New"/>
          <w:sz w:val="14"/>
          <w:szCs w:val="14"/>
          <w:color w:val="auto"/>
        </w:rPr>
        <w:t>The Company will, in any event, bear its and the Guarantors' internal expenses (including, without limitation, all salaries and expenses of its officers and employees performing legal or accounting duties), the expenses of any annual audit and the fees and expenses of any Person, including special experts, retained by the Company or the Guarantors.</w:t>
      </w:r>
    </w:p>
    <w:p>
      <w:pPr>
        <w:spacing w:after="0" w:line="162" w:lineRule="exact"/>
        <w:rPr>
          <w:sz w:val="20"/>
          <w:szCs w:val="20"/>
          <w:color w:val="auto"/>
        </w:rPr>
      </w:pPr>
    </w:p>
    <w:p>
      <w:pPr>
        <w:ind w:right="3379" w:firstLine="443"/>
        <w:spacing w:after="0" w:line="253" w:lineRule="auto"/>
        <w:tabs>
          <w:tab w:leader="none" w:pos="1042"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Shelf Registration Statement, the Company and the Guarantors will reimburse the Initial Purchasers and the Holders of Transfer Restricted Securities being registered pursuant to the Shelf Registration Statement for the reasonable fees and disbursements of not more than one counsel, who shall be Latham &amp; Watkins or such other counsel as may be chosen by the Holders of a majority in principal amount of the Transfer Restricted Securities for whose benefit the Shelf Registration Statement is being prepared.</w:t>
      </w:r>
    </w:p>
    <w:p>
      <w:pPr>
        <w:spacing w:after="0" w:line="33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8.</w:t>
        <w:tab/>
        <w:t>Indemnification</w:t>
      </w:r>
    </w:p>
    <w:p>
      <w:pPr>
        <w:spacing w:after="0" w:line="175" w:lineRule="exact"/>
        <w:rPr>
          <w:sz w:val="20"/>
          <w:szCs w:val="20"/>
          <w:color w:val="auto"/>
        </w:rPr>
      </w:pPr>
    </w:p>
    <w:p>
      <w:pPr>
        <w:ind w:right="3459" w:firstLine="443"/>
        <w:spacing w:after="0" w:line="252" w:lineRule="auto"/>
        <w:tabs>
          <w:tab w:leader="none" w:pos="1042" w:val="left"/>
        </w:tabs>
        <w:numPr>
          <w:ilvl w:val="1"/>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Guarantors, jointly and severally, agree to indemnify and hold harmless (i) each Holder and (ii) each person, if any, who controls (within the meaning of Section 15 of the Securities Act or Section 20 of the Exchange Act) any Holder (any of the persons referred to in this clause</w:t>
      </w:r>
    </w:p>
    <w:p>
      <w:pPr>
        <w:spacing w:after="0" w:line="1" w:lineRule="exact"/>
        <w:rPr>
          <w:rFonts w:ascii="Courier New" w:cs="Courier New" w:eastAsia="Courier New" w:hAnsi="Courier New"/>
          <w:sz w:val="14"/>
          <w:szCs w:val="14"/>
          <w:color w:val="auto"/>
        </w:rPr>
      </w:pPr>
    </w:p>
    <w:p>
      <w:pPr>
        <w:ind w:right="3379" w:firstLine="9"/>
        <w:spacing w:after="0" w:line="252" w:lineRule="auto"/>
        <w:tabs>
          <w:tab w:leader="none" w:pos="434"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being hereinafter referred to as a "controlling person") and (iii) the respective officers, directors, partners, employees, representatives and agents of any Holder or any controlling person (any person referred to in clause (i),</w:t>
      </w:r>
    </w:p>
    <w:p>
      <w:pPr>
        <w:spacing w:after="0" w:line="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(iii) may hereinafter be referred to as an "Indemnified Holder"), to the</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fullest extent lawful, from and against any and all losses, claims, damages, liabilities, judgments, actions and expenses (including without limitation and as incurred, reimbursement of all reasonable costs of investigating, preparing, pursuing, settling, compromising, paying or defending any claim or action, or any investigation or proceeding by any governmental agency or body, commenced or threatened, including the reasonable fees and expenses of counsel to any Indemnified Holder),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not misleading, except insofar as such losses, claims, damages, liabilities or expenses are caused by an untrue statement or omission or alleged untrue statement or omission that is made in reliance upon and in conformity with information relating to any of the Holders furnished in writing to the Company by any of the Holders expressly for use therein. This indemnity agreement shall be in addition to any liability which the Company may otherwise have.</w:t>
      </w:r>
    </w:p>
    <w:p>
      <w:pPr>
        <w:spacing w:after="0" w:line="174"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In case any action or proceeding (including any governmental or regulatory investigation or proceeding) shall be brought or asserted against any of the Indemnified Holders with respect to which indemnity may be sought against the Company or the Guarantors, such Indemnified Holder (or the Indemnified Holder controlled by such controlling person) shall promptly notify the Company and the Guarantors in writing (provided, that the failure to give such notice shall not relieve the Company or the Guarantors of their respective obligations pursuant to this Agreement). Such Indemnified Holder shall have the right to employ its own counsel in any such action and the fees and expenses of such counsel shall be paid, as incurred, by the Company and the Guarantors (regardless of whether it is ultimately determined that an Indemnified Holder is not entitled to indemnification hereunder). The Company and the Guarantors shall not, in connection with any one such action or proceeding or separate but substantially similar or related actions or proceedings in the same jurisdiction arising out of the same general allegations or circumstances, be liable for the reasonable fees and expenses of more than one separate firm of attorneys (in addition to any local counsel) at any time for such Indemnified Holders, which firm shall be designated by the Holders. The Company shall be liable for any settlement of any such action or proceeding effected with the Company's prior written consent, which consent shall not be withheld unreasonably, and the Company agrees to indemnify and hold harmless any Indemnified Holder</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222" w:name="page223"/>
    <w:bookmarkEnd w:id="222"/>
    <w:p>
      <w:pPr>
        <w:ind w:right="3279"/>
        <w:spacing w:after="0" w:line="253" w:lineRule="auto"/>
        <w:rPr>
          <w:sz w:val="20"/>
          <w:szCs w:val="20"/>
          <w:color w:val="auto"/>
        </w:rPr>
      </w:pPr>
      <w:r>
        <w:rPr>
          <w:rFonts w:ascii="Courier New" w:cs="Courier New" w:eastAsia="Courier New" w:hAnsi="Courier New"/>
          <w:sz w:val="14"/>
          <w:szCs w:val="14"/>
          <w:color w:val="auto"/>
        </w:rPr>
        <w:t>from and against any loss, claim, damage, liability or expense by reason of any settlement of any action effected with the written consent of the Company. The Company shall not, without the prior written consent of each Indemnified Holder, settle or compromise or consent to the entry of judgment in or otherwise seek to terminate any pending or threatened action, claim, litigation or proceeding in respect of which indemnification or contribution may be sought hereunder (whether or not any Indemnified Holder is a party thereto), unless such settlement, compromise, consent or termination includes an unconditional release of each Indemnified Holder from all liability arising out of such action, claim, litigation or proceeding.</w:t>
      </w:r>
    </w:p>
    <w:p>
      <w:pPr>
        <w:spacing w:after="0" w:line="164" w:lineRule="exact"/>
        <w:rPr>
          <w:sz w:val="20"/>
          <w:szCs w:val="20"/>
          <w:color w:val="auto"/>
        </w:rPr>
      </w:pPr>
    </w:p>
    <w:p>
      <w:pPr>
        <w:ind w:right="3279" w:firstLine="443"/>
        <w:spacing w:after="0" w:line="252" w:lineRule="auto"/>
        <w:tabs>
          <w:tab w:leader="none" w:pos="1042"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Holder of Transfer Restricted Securities agrees, severally and not jointly, to indemnify and hold harmless the Company and the Guarantors and their respective directors, officers of the Company who sign a Registration Statement, and any person controlling (within the meaning of Section 15 of the Securities Act or Section 20 of the Exchange Act) the Company, and the respective officers, directors, partners, employees, representatives and agents of each such person, to the same extent as the foregoing indemnity from the Company and the Guarantors to each of the Indemnified Holders, but only with respect to claims and actions based on information relating to such Holder furnished in writing by such Holder expressly for use in any Registration Statement. In case any action or proceeding shall be brought against the Company or its directors or officers or any such controlling person in respect of which indemnity may be sought against a Holder of Transfer Restricted Securities, such Holder shall have the rights and duties given the Company and the Company or its directors or officers or such controlling person shall have the rights and duties given to each Holder by the preceding paragraph. In no event shall the liability of any selling Holder hereunder be greater in amount than the dollar amount of the proceeds received by such Holder upon the sale of the Securities giving rise to such indemnification obligation.</w:t>
      </w:r>
    </w:p>
    <w:p>
      <w:pPr>
        <w:spacing w:after="0" w:line="174" w:lineRule="exact"/>
        <w:rPr>
          <w:rFonts w:ascii="Courier New" w:cs="Courier New" w:eastAsia="Courier New" w:hAnsi="Courier New"/>
          <w:sz w:val="14"/>
          <w:szCs w:val="14"/>
          <w:color w:val="auto"/>
        </w:rPr>
      </w:pPr>
    </w:p>
    <w:p>
      <w:pPr>
        <w:ind w:right="3279" w:firstLine="443"/>
        <w:spacing w:after="0" w:line="252" w:lineRule="auto"/>
        <w:tabs>
          <w:tab w:leader="none" w:pos="1042"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8 is unavailable to an indemnified party under Section 8(a) or Section 8(b) hereof (other than by reason of exceptions provided in those Sections) in respect of any losses, claims, damages, liabilities, judgments, actions or expenses referred to therein, then each applicable indemnifying party, in lieu of indemnifying such indemnified party, shall contribute to the amount paid or payable by such indemnified party as a result of such losses, claims, damages, liabilities or expenses in such proportion as is appropriate to reflect the relative benefits received by the Company and the Guarantors, on the one hand, and the Holders on the other hand, from the Initial Placement (which in the case of the Company shall be deemed to be equal to the total net proceeds from the Initial Placement as set forth in the "Use of Proceeds" section of the offering memorandum prepared in connection with the Initial Placement and the liquidated damages which did not become payable as a result of the filing of the Registration Statement resulting in such losses, claims, damages, liabilities, judgments actions or expenses) and such Registration Statement, or if such allocation is not permitted by applicable law, the relative fault of the Company and the Guarantors on the one hand, and of the Indemnified Holder, on the other hand, in connection with the statements or omissions which resulted in such losses, claims, damages, liabilities or expenses, as well as any other relevant equitable considerations. The relative fault of the Company on the one hand and of the Indemnified Holder on the other shall be determined by reference to, among other things, whether the untrue or alleged untrue statement of a material fact or the omission or alleged omission to state a material fact relates to information supplied by the Company or by the Indemnified Holder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the second paragraph of Section 8(a), any legal or other fees or expenses reasonably incurred by such party in connection with investigating or defending any action or claim.</w:t>
      </w:r>
    </w:p>
    <w:p>
      <w:pPr>
        <w:spacing w:after="0" w:line="346"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The Company, the Guarantors and each Holder of Transfer Restricted Securities agree that it would not be just and equitable if contribution pursuant to this Section 8(c) were determined by pro rata allocation (even if the Holders were treated as one entity for such purpose) or by any other method of</w:t>
      </w:r>
    </w:p>
    <w:p>
      <w:pPr>
        <w:spacing w:after="0" w:line="200" w:lineRule="exact"/>
        <w:rPr>
          <w:sz w:val="20"/>
          <w:szCs w:val="20"/>
          <w:color w:val="auto"/>
        </w:rPr>
      </w:pPr>
    </w:p>
    <w:p>
      <w:pPr>
        <w:spacing w:after="0" w:line="29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223" w:name="page224"/>
    <w:bookmarkEnd w:id="223"/>
    <w:p>
      <w:pPr>
        <w:ind w:right="3279"/>
        <w:spacing w:after="0" w:line="252" w:lineRule="auto"/>
        <w:rPr>
          <w:sz w:val="20"/>
          <w:szCs w:val="20"/>
          <w:color w:val="auto"/>
        </w:rPr>
      </w:pPr>
      <w:r>
        <w:rPr>
          <w:rFonts w:ascii="Courier New" w:cs="Courier New" w:eastAsia="Courier New" w:hAnsi="Courier New"/>
          <w:sz w:val="14"/>
          <w:szCs w:val="14"/>
          <w:color w:val="auto"/>
        </w:rPr>
        <w:t>allocation which does not take account of the equitable considerations referred to in the immediately preceding paragraph. The amount paid or payable by an indemnified party as a result of the losses, claims,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none of the Holders (and its related Indemnified Holders) shall be required to contribute, in the aggregate, any amount in excess of the amount by which the total received by such Holder with respect to the sale of Transfer Restricted Securities pursuant to a Registration Statement exceeds (i) the amount paid by such Holder for such Transfer Restricted Securities and (ii) the amount of any damages which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8(c) are several in proportion to the respective principal amount of Initial Notes held by each of the Holders hereunder and not joint.</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9.</w:t>
        <w:tab/>
        <w:t>Rule 144A</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The Company and the Guarantors each hereby agrees with each Holder, for so long as any Transfer Restricted Securities remain outstanding, to make available to any Holder or beneficial owner of Transfer Restricted Securities in connection with any sale thereof and any prospective purchaser of such Transfer Restricted Securities from such Holder or beneficial owner, the information required by Rule 144A(d)(4) under the Securities Act in order to permit resales of such Transfer Restricted Securities pursuant to Rule 144A.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 Participation in Underwritten Registrations</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No Holder may participate in any Underwritten Registration hereunder unless such Holder (a) agrees to sell such Holder's Transfer Restricted Securities on the basis provided in any underwriting arrangements approved by the Persons entitled hereunder to approve such arrangements and (b) completes and executes all reasonable questionnaires, powers of attorney, indemnities, underwriting agreements, lock-up letters and other documents required under the terms of such underwriting arrangements.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11. Miscellaneous</w:t>
      </w:r>
    </w:p>
    <w:p>
      <w:pPr>
        <w:spacing w:after="0" w:line="175" w:lineRule="exact"/>
        <w:rPr>
          <w:sz w:val="20"/>
          <w:szCs w:val="20"/>
          <w:color w:val="auto"/>
        </w:rPr>
      </w:pPr>
    </w:p>
    <w:p>
      <w:pPr>
        <w:ind w:left="1060" w:hanging="617"/>
        <w:spacing w:after="0"/>
        <w:tabs>
          <w:tab w:leader="none" w:pos="106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The Company and the Guarantors each hereby agrees that</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monetary damages would not be adequate compensation for any loss incurred by reason of a breach by it of the provisions of this Agreement and hereby agree to waive the defense in any action for specific performance that a remedy at law would be adequate.</w:t>
      </w:r>
    </w:p>
    <w:p>
      <w:pPr>
        <w:spacing w:after="0" w:line="163" w:lineRule="exact"/>
        <w:rPr>
          <w:sz w:val="20"/>
          <w:szCs w:val="20"/>
          <w:color w:val="auto"/>
        </w:rPr>
      </w:pPr>
    </w:p>
    <w:p>
      <w:pPr>
        <w:ind w:left="1060" w:hanging="617"/>
        <w:spacing w:after="0"/>
        <w:tabs>
          <w:tab w:leader="none" w:pos="106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Inconsistent Agreements.  The Company will not, and will cause</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Guarantors not to, on or after the date of this Agreement enter into any agreement with respect to its securities that is inconsistent with the rights granted to the Holders in this Agreement or otherwise conflicts with the provisions hereof. The rights granted to the Holders hereunder do not in any way conflict with and are not inconsistent with the rights granted to the holders of the Company's securities under any agreement in effect on the date hereof.</w:t>
      </w:r>
    </w:p>
    <w:p>
      <w:pPr>
        <w:spacing w:after="0" w:line="165" w:lineRule="exact"/>
        <w:rPr>
          <w:sz w:val="20"/>
          <w:szCs w:val="20"/>
          <w:color w:val="auto"/>
        </w:rPr>
      </w:pPr>
    </w:p>
    <w:p>
      <w:pPr>
        <w:ind w:left="1060" w:hanging="617"/>
        <w:spacing w:after="0"/>
        <w:tabs>
          <w:tab w:leader="none" w:pos="106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Affecting the Notes.  The Company will not take any</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action, or permit any change to occur, with respect to the Notes that would materially and adversely affect the ability of the Holders to Consummate any Exchange Offer.</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224" w:name="page225"/>
    <w:bookmarkEnd w:id="224"/>
    <w:p>
      <w:pPr>
        <w:ind w:left="1060" w:hanging="617"/>
        <w:spacing w:after="0"/>
        <w:tabs>
          <w:tab w:leader="none" w:pos="106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The provisions of this Agreement may not be</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amended, modified or supplemented, and waivers or consents to or departures from the provisions hereof may not be given unless the Company has obtained the written consent of Holders of a majority of the outstanding principal amount of Transfer Restricted Securities. Notwithstanding the foregoing, a waiver or consent to departure from the provisions hereof that relates exclusively to the rights of Holders whose securities are being tendered pursuant to the Exchange Offer and that does not affect directly or indirectly the rights of other Holders whose securities are not being tendered pursuant to such Exchange Offer may be given by the Holders of a majority of the outstanding principal amount of Transfer Restricted Securities being tendered or registered; provided that, with respect to any matter that directly or indirectly affects the rights of any Initial Purchaser hereunder, the Company shall obtain the written consent of each such Initial Purchaser with respect to which such amendment, qualification, supplement, waiver, consent or departure is to be effective.</w:t>
      </w:r>
    </w:p>
    <w:p>
      <w:pPr>
        <w:spacing w:after="0" w:line="163" w:lineRule="exact"/>
        <w:rPr>
          <w:sz w:val="20"/>
          <w:szCs w:val="20"/>
          <w:color w:val="auto"/>
        </w:rPr>
      </w:pPr>
    </w:p>
    <w:p>
      <w:pPr>
        <w:ind w:left="1060" w:hanging="617"/>
        <w:spacing w:after="0"/>
        <w:tabs>
          <w:tab w:leader="none" w:pos="106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and other communications provided for or</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permitted hereunder shall be made in writing by hand-delivery, first-class mail (registered or certified, return receipt requested), telex, telecopier, or air courier guaranteeing overnight delivery:</w:t>
      </w:r>
    </w:p>
    <w:p>
      <w:pPr>
        <w:spacing w:after="0" w:line="162" w:lineRule="exact"/>
        <w:rPr>
          <w:sz w:val="20"/>
          <w:szCs w:val="20"/>
          <w:color w:val="auto"/>
        </w:rPr>
      </w:pPr>
    </w:p>
    <w:p>
      <w:pPr>
        <w:ind w:right="3279" w:firstLine="1051"/>
        <w:spacing w:after="0" w:line="255" w:lineRule="auto"/>
        <w:tabs>
          <w:tab w:leader="none" w:pos="1475"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a Holder, at the address set forth on the records of the Registrar under the Indenture, with a copy to the Registrar under the Indenture; and</w:t>
      </w:r>
    </w:p>
    <w:p>
      <w:pPr>
        <w:spacing w:after="0" w:line="162" w:lineRule="exact"/>
        <w:rPr>
          <w:rFonts w:ascii="Courier New" w:cs="Courier New" w:eastAsia="Courier New" w:hAnsi="Courier New"/>
          <w:sz w:val="14"/>
          <w:szCs w:val="14"/>
          <w:color w:val="auto"/>
        </w:rPr>
      </w:pPr>
    </w:p>
    <w:p>
      <w:pPr>
        <w:ind w:left="1580" w:hanging="529"/>
        <w:spacing w:after="0"/>
        <w:tabs>
          <w:tab w:leader="none" w:pos="158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Company:</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Radio One, Inc.</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5900 Princess Garden Parkway, 7th Floor</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Lanham, Maryland 20706</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Telecopier No.: (301) 306-9694</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Attention: Linda J. Eckard Vilardo, Esq.</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Kirkland &amp; Ellis</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655 Fifteenth Street, N.W.</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Washington, D.C. 20005</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Telecopier No.: (202) 879-5200</w:t>
      </w:r>
    </w:p>
    <w:p>
      <w:pPr>
        <w:spacing w:after="0" w:line="8" w:lineRule="exact"/>
        <w:rPr>
          <w:sz w:val="20"/>
          <w:szCs w:val="20"/>
          <w:color w:val="auto"/>
        </w:rPr>
      </w:pPr>
    </w:p>
    <w:p>
      <w:pPr>
        <w:ind w:left="2000"/>
        <w:spacing w:after="0"/>
        <w:tabs>
          <w:tab w:leader="none" w:pos="3020" w:val="left"/>
        </w:tabs>
        <w:rPr>
          <w:sz w:val="20"/>
          <w:szCs w:val="20"/>
          <w:color w:val="auto"/>
        </w:rPr>
      </w:pPr>
      <w:r>
        <w:rPr>
          <w:rFonts w:ascii="Courier New" w:cs="Courier New" w:eastAsia="Courier New" w:hAnsi="Courier New"/>
          <w:sz w:val="14"/>
          <w:szCs w:val="14"/>
          <w:color w:val="auto"/>
        </w:rPr>
        <w:t>Attention:</w:t>
        <w:tab/>
        <w:t>Terrance L. Bessey, Esq.</w:t>
      </w:r>
    </w:p>
    <w:p>
      <w:pPr>
        <w:spacing w:after="0" w:line="175" w:lineRule="exact"/>
        <w:rPr>
          <w:sz w:val="20"/>
          <w:szCs w:val="20"/>
          <w:color w:val="auto"/>
        </w:rPr>
      </w:pPr>
    </w:p>
    <w:p>
      <w:pPr>
        <w:ind w:right="3279" w:firstLine="1042"/>
        <w:spacing w:after="0" w:line="254" w:lineRule="auto"/>
        <w:rPr>
          <w:sz w:val="20"/>
          <w:szCs w:val="20"/>
          <w:color w:val="auto"/>
        </w:rPr>
      </w:pPr>
      <w:r>
        <w:rPr>
          <w:rFonts w:ascii="Courier New" w:cs="Courier New" w:eastAsia="Courier New" w:hAnsi="Courier New"/>
          <w:sz w:val="14"/>
          <w:szCs w:val="14"/>
          <w:color w:val="auto"/>
        </w:rPr>
        <w:t>All such notices and communications shall be deemed to have been duly given: at the time delivered by hand, if personally delivered; five business days after being deposited in the mail, postage prepaid, if mailed; when answered back, if telexed; when receipt acknowledged, if telecopied; and on the next business day, if timely delivered to an air courier guaranteeing overnight delivery.</w:t>
      </w:r>
    </w:p>
    <w:p>
      <w:pPr>
        <w:spacing w:after="0" w:line="329"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Copies of all such notices, demands or other communications shall be concurrently delivered by the Person giving the same to the Trustee at the address specified in the Indenture.</w:t>
      </w:r>
    </w:p>
    <w:p>
      <w:pPr>
        <w:spacing w:after="0" w:line="162" w:lineRule="exact"/>
        <w:rPr>
          <w:sz w:val="20"/>
          <w:szCs w:val="20"/>
          <w:color w:val="auto"/>
        </w:rPr>
      </w:pPr>
    </w:p>
    <w:p>
      <w:pPr>
        <w:ind w:left="1060" w:hanging="617"/>
        <w:spacing w:after="0"/>
        <w:tabs>
          <w:tab w:leader="none" w:pos="106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Agreement shall inure to the benefit</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of and be binding upon the successors and assigns of each of the parties, including without limitation and without the need for an express assignment, subsequent Holders of Transfer Restricted Securities; provided, however, that this Agreement shall not inure to the benefit of or be binding upon a successor or assign of a Holder unless and to the extent such successor or assign acquired Transfer Restricted Securities from such Holder.</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225" w:name="page226"/>
    <w:bookmarkEnd w:id="225"/>
    <w:p>
      <w:pPr>
        <w:ind w:left="1060" w:hanging="617"/>
        <w:spacing w:after="0"/>
        <w:tabs>
          <w:tab w:leader="none" w:pos="106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any number of</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counterparts and by the parties hereto in separate counterparts, each of which when so executed shall be deemed to be an original and all of which taken together shall constitute one and the same agreement.</w:t>
      </w:r>
    </w:p>
    <w:p>
      <w:pPr>
        <w:spacing w:after="0" w:line="162" w:lineRule="exact"/>
        <w:rPr>
          <w:sz w:val="20"/>
          <w:szCs w:val="20"/>
          <w:color w:val="auto"/>
        </w:rPr>
      </w:pPr>
    </w:p>
    <w:p>
      <w:pPr>
        <w:ind w:left="1060" w:hanging="617"/>
        <w:spacing w:after="0"/>
        <w:tabs>
          <w:tab w:leader="none" w:pos="106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in this Agreement are for convenience of</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only and shall not limit or otherwise affect the meaning hereof.</w:t>
      </w:r>
    </w:p>
    <w:p>
      <w:pPr>
        <w:spacing w:after="0" w:line="175" w:lineRule="exact"/>
        <w:rPr>
          <w:sz w:val="20"/>
          <w:szCs w:val="20"/>
          <w:color w:val="auto"/>
        </w:rPr>
      </w:pPr>
    </w:p>
    <w:p>
      <w:pPr>
        <w:ind w:left="1060" w:hanging="617"/>
        <w:spacing w:after="0"/>
        <w:tabs>
          <w:tab w:leader="none" w:pos="106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GOVERNED BY AND CONSTRUED IN</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ACCORDANCE WITH THE LAWS OF THE STATE OF NEW YORK, WITHOUT REGARD TO THE CONFLICT OF LAW RULES THEREOF.</w:t>
      </w:r>
    </w:p>
    <w:p>
      <w:pPr>
        <w:spacing w:after="0" w:line="160" w:lineRule="exact"/>
        <w:rPr>
          <w:sz w:val="20"/>
          <w:szCs w:val="20"/>
          <w:color w:val="auto"/>
        </w:rPr>
      </w:pPr>
    </w:p>
    <w:p>
      <w:pPr>
        <w:ind w:left="1060" w:hanging="617"/>
        <w:spacing w:after="0"/>
        <w:tabs>
          <w:tab w:leader="none" w:pos="106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the event that any one or more of the provisions</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63" w:lineRule="exact"/>
        <w:rPr>
          <w:sz w:val="20"/>
          <w:szCs w:val="20"/>
          <w:color w:val="auto"/>
        </w:rPr>
      </w:pPr>
    </w:p>
    <w:p>
      <w:pPr>
        <w:ind w:left="1060" w:hanging="617"/>
        <w:spacing w:after="0"/>
        <w:tabs>
          <w:tab w:leader="none" w:pos="1060"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together with the Indenture,</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Notes and the Purchase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Transfer Restricted Securities. This Agreement supersedes all prior agreements and understandings between the parties with respect to such subject matter.</w:t>
      </w:r>
    </w:p>
    <w:p>
      <w:pPr>
        <w:spacing w:after="0" w:line="200" w:lineRule="exact"/>
        <w:rPr>
          <w:sz w:val="20"/>
          <w:szCs w:val="20"/>
          <w:color w:val="auto"/>
        </w:rPr>
      </w:pPr>
    </w:p>
    <w:p>
      <w:pPr>
        <w:spacing w:after="0" w:line="29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226" w:name="page227"/>
    <w:bookmarkEnd w:id="226"/>
    <w:p>
      <w:pPr>
        <w:ind w:right="3459" w:firstLine="1042"/>
        <w:spacing w:after="0" w:line="258" w:lineRule="auto"/>
        <w:rPr>
          <w:sz w:val="20"/>
          <w:szCs w:val="20"/>
          <w:color w:val="auto"/>
        </w:rPr>
      </w:pPr>
      <w:r>
        <w:rPr>
          <w:rFonts w:ascii="Courier New" w:cs="Courier New" w:eastAsia="Courier New" w:hAnsi="Courier New"/>
          <w:sz w:val="14"/>
          <w:szCs w:val="14"/>
          <w:color w:val="auto"/>
        </w:rPr>
        <w:t>IN WITNESS WHEREOF, the parties have executed this Agreement as of the date first written above.</w:t>
      </w:r>
    </w:p>
    <w:p>
      <w:pPr>
        <w:spacing w:after="0" w:line="160"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Radio One,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62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120" w:type="dxa"/>
            <w:vAlign w:val="bottom"/>
          </w:tcPr>
          <w:p>
            <w:pPr>
              <w:spacing w:after="0"/>
              <w:rPr>
                <w:sz w:val="14"/>
                <w:szCs w:val="1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4"/>
                <w:szCs w:val="14"/>
                <w:color w:val="auto"/>
              </w:rPr>
              <w:t>/s/ Scott R. Royster</w:t>
            </w:r>
          </w:p>
        </w:tc>
      </w:tr>
      <w:tr>
        <w:trPr>
          <w:trHeight w:val="167"/>
        </w:trPr>
        <w:tc>
          <w:tcPr>
            <w:tcW w:w="346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Name:</w:t>
            </w:r>
          </w:p>
        </w:tc>
        <w:tc>
          <w:tcPr>
            <w:tcW w:w="120" w:type="dxa"/>
            <w:vAlign w:val="bottom"/>
          </w:tcPr>
          <w:p>
            <w:pPr>
              <w:spacing w:after="0"/>
              <w:rPr>
                <w:sz w:val="14"/>
                <w:szCs w:val="1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4"/>
                <w:szCs w:val="14"/>
                <w:color w:val="auto"/>
              </w:rPr>
              <w:t>Scott R. Royster</w:t>
            </w:r>
          </w:p>
        </w:tc>
      </w:tr>
      <w:tr>
        <w:trPr>
          <w:trHeight w:val="167"/>
        </w:trPr>
        <w:tc>
          <w:tcPr>
            <w:tcW w:w="9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Title:</w:t>
            </w:r>
          </w:p>
        </w:tc>
        <w:tc>
          <w:tcPr>
            <w:tcW w:w="2520" w:type="dxa"/>
            <w:vAlign w:val="bottom"/>
          </w:tcPr>
          <w:p>
            <w:pPr>
              <w:ind w:left="100"/>
              <w:spacing w:after="0"/>
              <w:rPr>
                <w:sz w:val="20"/>
                <w:szCs w:val="20"/>
                <w:color w:val="auto"/>
              </w:rPr>
            </w:pPr>
            <w:r>
              <w:rPr>
                <w:rFonts w:ascii="Courier New" w:cs="Courier New" w:eastAsia="Courier New" w:hAnsi="Courier New"/>
                <w:sz w:val="14"/>
                <w:szCs w:val="14"/>
                <w:color w:val="auto"/>
              </w:rPr>
              <w:t>Executive Vice President and</w:t>
            </w:r>
          </w:p>
        </w:tc>
      </w:tr>
      <w:tr>
        <w:trPr>
          <w:trHeight w:val="167"/>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Chief Financial Officer</w:t>
            </w:r>
          </w:p>
        </w:tc>
      </w:tr>
      <w:tr>
        <w:trPr>
          <w:trHeight w:val="501"/>
        </w:trPr>
        <w:tc>
          <w:tcPr>
            <w:tcW w:w="82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LICENSES, INC.</w:t>
            </w:r>
          </w:p>
        </w:tc>
      </w:tr>
      <w:tr>
        <w:trPr>
          <w:trHeight w:val="167"/>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WYCB ACQUISITION CORPORATION</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BROADCAST</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HOLDINGS, INC.</w:t>
            </w:r>
          </w:p>
        </w:tc>
      </w:tr>
      <w:tr>
        <w:trPr>
          <w:trHeight w:val="167"/>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BELL BROADCASTING COMPANY</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DETROIT, INC.</w:t>
            </w:r>
          </w:p>
        </w:tc>
      </w:tr>
      <w:tr>
        <w:trPr>
          <w:trHeight w:val="167"/>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ALLUR-DETROIT, INC.</w:t>
            </w:r>
          </w:p>
        </w:tc>
      </w:tr>
      <w:tr>
        <w:trPr>
          <w:trHeight w:val="167"/>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ALLUR LICENSES, INC.</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ATLANTA, INC.</w:t>
            </w:r>
          </w:p>
        </w:tc>
      </w:tr>
      <w:tr>
        <w:trPr>
          <w:trHeight w:val="167"/>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ROA LICENSES, INC.</w:t>
            </w:r>
          </w:p>
        </w:tc>
      </w:tr>
      <w:tr>
        <w:trPr>
          <w:trHeight w:val="167"/>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DOGWOOD COMMUNICATIONS, INC.</w:t>
            </w:r>
          </w:p>
        </w:tc>
      </w:tr>
      <w:tr>
        <w:trPr>
          <w:trHeight w:val="167"/>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DOGWOOD LICENSES, INC.</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CHARLOTTE, LLC,</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AUGUSTA, INC.</w:t>
            </w:r>
          </w:p>
        </w:tc>
      </w:tr>
      <w:tr>
        <w:trPr>
          <w:trHeight w:val="167"/>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DAVIS BROADCASTING OF CHARLOTTE, INC.</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NORTH CAROLINA, INC.</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BOSTON, INC.</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RADIO ONE</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BOSTON LICENSES, INC.</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BLUE CHIP</w:t>
            </w:r>
          </w:p>
        </w:tc>
        <w:tc>
          <w:tcPr>
            <w:tcW w:w="2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MERGER SUBSIDIARY, INC.</w:t>
            </w:r>
          </w:p>
        </w:tc>
      </w:tr>
      <w:tr>
        <w:trPr>
          <w:trHeight w:val="668"/>
        </w:trPr>
        <w:tc>
          <w:tcPr>
            <w:tcW w:w="8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12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4"/>
                <w:szCs w:val="14"/>
                <w:color w:val="auto"/>
              </w:rPr>
              <w:t>/s/ Scott R. Royster</w:t>
            </w:r>
          </w:p>
        </w:tc>
      </w:tr>
      <w:tr>
        <w:trPr>
          <w:trHeight w:val="167"/>
        </w:trPr>
        <w:tc>
          <w:tcPr>
            <w:tcW w:w="346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Name:</w:t>
            </w:r>
          </w:p>
        </w:tc>
        <w:tc>
          <w:tcPr>
            <w:tcW w:w="120" w:type="dxa"/>
            <w:vAlign w:val="bottom"/>
          </w:tcPr>
          <w:p>
            <w:pPr>
              <w:spacing w:after="0"/>
              <w:rPr>
                <w:sz w:val="14"/>
                <w:szCs w:val="1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4"/>
                <w:szCs w:val="14"/>
                <w:color w:val="auto"/>
              </w:rPr>
              <w:t>Scott R. Royster</w:t>
            </w:r>
          </w:p>
        </w:tc>
      </w:tr>
      <w:tr>
        <w:trPr>
          <w:trHeight w:val="167"/>
        </w:trPr>
        <w:tc>
          <w:tcPr>
            <w:tcW w:w="9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Title:</w:t>
            </w:r>
          </w:p>
        </w:tc>
        <w:tc>
          <w:tcPr>
            <w:tcW w:w="2520" w:type="dxa"/>
            <w:vAlign w:val="bottom"/>
          </w:tcPr>
          <w:p>
            <w:pPr>
              <w:ind w:left="100"/>
              <w:spacing w:after="0"/>
              <w:rPr>
                <w:sz w:val="20"/>
                <w:szCs w:val="20"/>
                <w:color w:val="auto"/>
              </w:rPr>
            </w:pPr>
            <w:r>
              <w:rPr>
                <w:rFonts w:ascii="Courier New" w:cs="Courier New" w:eastAsia="Courier New" w:hAnsi="Courier New"/>
                <w:sz w:val="14"/>
                <w:szCs w:val="14"/>
                <w:color w:val="auto"/>
              </w:rPr>
              <w:t>Executive Vice President and</w:t>
            </w:r>
          </w:p>
        </w:tc>
      </w:tr>
      <w:tr>
        <w:trPr>
          <w:trHeight w:val="167"/>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ind w:left="260"/>
              <w:spacing w:after="0"/>
              <w:rPr>
                <w:sz w:val="20"/>
                <w:szCs w:val="20"/>
                <w:color w:val="auto"/>
              </w:rPr>
            </w:pPr>
            <w:r>
              <w:rPr>
                <w:rFonts w:ascii="Courier New" w:cs="Courier New" w:eastAsia="Courier New" w:hAnsi="Courier New"/>
                <w:sz w:val="14"/>
                <w:szCs w:val="14"/>
                <w:color w:val="auto"/>
              </w:rPr>
              <w:t>Chief Financial Officer</w:t>
            </w:r>
          </w:p>
        </w:tc>
      </w:tr>
    </w:tbl>
    <w:p>
      <w:pPr>
        <w:sectPr>
          <w:pgSz w:w="11900" w:h="16838" w:orient="portrait"/>
          <w:cols w:equalWidth="0" w:num="1">
            <w:col w:w="10239"/>
          </w:cols>
          <w:pgMar w:left="220" w:top="620" w:right="1440" w:bottom="1440" w:gutter="0" w:footer="0" w:header="0"/>
        </w:sectPr>
      </w:pPr>
    </w:p>
    <w:bookmarkStart w:id="227" w:name="page228"/>
    <w:bookmarkEnd w:id="227"/>
    <w:p>
      <w:pPr>
        <w:jc w:val="right"/>
        <w:ind w:right="3279"/>
        <w:spacing w:after="0"/>
        <w:rPr>
          <w:sz w:val="20"/>
          <w:szCs w:val="20"/>
          <w:color w:val="auto"/>
        </w:rPr>
      </w:pPr>
      <w:r>
        <w:rPr>
          <w:rFonts w:ascii="Courier New" w:cs="Courier New" w:eastAsia="Courier New" w:hAnsi="Courier New"/>
          <w:sz w:val="14"/>
          <w:szCs w:val="14"/>
          <w:color w:val="auto"/>
        </w:rPr>
        <w:t>Exhibit 5.1</w:t>
      </w:r>
    </w:p>
    <w:p>
      <w:pPr>
        <w:spacing w:after="0" w:line="8" w:lineRule="exact"/>
        <w:rPr>
          <w:sz w:val="20"/>
          <w:szCs w:val="20"/>
          <w:color w:val="auto"/>
        </w:rPr>
      </w:pPr>
    </w:p>
    <w:p>
      <w:pPr>
        <w:ind w:left="60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[K&amp;E Letterhead]</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July 17, 2001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Radio One,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5900 Princess Garden Parkway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8th Floor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Lanham, Maryland 20706</w:t>
      </w:r>
    </w:p>
    <w:p>
      <w:pPr>
        <w:spacing w:after="0" w:line="175" w:lineRule="exact"/>
        <w:rPr>
          <w:sz w:val="20"/>
          <w:szCs w:val="20"/>
          <w:color w:val="auto"/>
        </w:rPr>
      </w:pPr>
    </w:p>
    <w:p>
      <w:pPr>
        <w:ind w:left="1320" w:right="3379" w:hanging="439"/>
        <w:spacing w:after="0" w:line="255" w:lineRule="auto"/>
        <w:tabs>
          <w:tab w:leader="none" w:pos="1300" w:val="left"/>
        </w:tabs>
        <w:rPr>
          <w:sz w:val="20"/>
          <w:szCs w:val="20"/>
          <w:color w:val="auto"/>
        </w:rPr>
      </w:pPr>
      <w:r>
        <w:rPr>
          <w:rFonts w:ascii="Courier New" w:cs="Courier New" w:eastAsia="Courier New" w:hAnsi="Courier New"/>
          <w:sz w:val="14"/>
          <w:szCs w:val="14"/>
          <w:color w:val="auto"/>
        </w:rPr>
        <w:t>Re:</w:t>
        <w:tab/>
        <w:t>Radio One, Inc.; Exchange Offer for $300,000,000 8 7/8% Senior Subordinated Notes due 2011 for up to $300,000,000 8 7/8% Series B Senior Subordinated Notes due 2011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Ladies and Gentlemen:</w:t>
      </w:r>
    </w:p>
    <w:p>
      <w:pPr>
        <w:spacing w:after="0" w:line="175" w:lineRule="exact"/>
        <w:rPr>
          <w:sz w:val="20"/>
          <w:szCs w:val="20"/>
          <w:color w:val="auto"/>
        </w:rPr>
      </w:pPr>
    </w:p>
    <w:p>
      <w:pPr>
        <w:ind w:right="3279" w:firstLine="868"/>
        <w:spacing w:after="0" w:line="252" w:lineRule="auto"/>
        <w:rPr>
          <w:sz w:val="20"/>
          <w:szCs w:val="20"/>
          <w:color w:val="auto"/>
        </w:rPr>
      </w:pPr>
      <w:r>
        <w:rPr>
          <w:rFonts w:ascii="Courier New" w:cs="Courier New" w:eastAsia="Courier New" w:hAnsi="Courier New"/>
          <w:sz w:val="14"/>
          <w:szCs w:val="14"/>
          <w:color w:val="auto"/>
        </w:rPr>
        <w:t>We have acted as counsel to Radio One, Inc. (the "Company") and each of the following entities who have guaranteed the Old Notes (as defined below) and the Exchange Notes (as defined below): Radio One Licenses, Inc., WYCB Acquisition Corporation, Broadcast Holdings, Inc., Bell Broadcasting Company, Radio One of Detroit, Inc., Allur-Detroit, Inc., Allur Licenses, Inc., Radio One of Atlanta, Inc., ROA Licenses, Inc., Dogwood Communications, Inc., Dogwood Licenses, Inc., Radio One of Charlotte, LLC, Radio One of Augusta, Inc., Davis Broadcasting of Charlotte, Inc., Radio One of North Carolina, Inc., Radio One of Boston, Inc., Radio One of Boston Licenses, Inc. and Blue Chip Merger Subsidiary, Inc. (the "Guarantors," and together with the Company, the "Registrants") in connection with the proposed offer (the "Exchange Offer") to exchange an aggregate principle amount of up to $300,000,000 8 7/8% Senior Subordinated Notes due 2011 (the "Old Notes") for up to $300,000,000 8 7/8% Series B Senior Subordinated Notes due 2011 (the "Exchange Notes"), pursuant to a Registration Statement on Form S-4 filed with the Securities and Exchange Commission (the "Commission") under the Securities Act of 1933, as amended (the "Securities Act"). Such Registration Statement, as amended or supplemented, is hereinafter referred to as the "Registration Statement." The Exchange Notes are to be issued pursuant to the Indenture (the "Indenture"), dated as of May 18, 2001 by and among the Registrants and The United States Trust Company of New York, as the Trustee, in exchange for and in replacement of the Company's outstanding Old Notes, of which $300,000,000 in aggregate principal amount are outstanding.</w:t>
      </w:r>
    </w:p>
    <w:p>
      <w:pPr>
        <w:sectPr>
          <w:pgSz w:w="11900" w:h="16838" w:orient="portrait"/>
          <w:cols w:equalWidth="0" w:num="1">
            <w:col w:w="10239"/>
          </w:cols>
          <w:pgMar w:left="220" w:top="475" w:right="1440" w:bottom="1440" w:gutter="0" w:footer="0" w:header="0"/>
        </w:sectPr>
      </w:pPr>
    </w:p>
    <w:bookmarkStart w:id="228" w:name="page229"/>
    <w:bookmarkEnd w:id="228"/>
    <w:p>
      <w:pPr>
        <w:spacing w:after="0"/>
        <w:rPr>
          <w:sz w:val="20"/>
          <w:szCs w:val="20"/>
          <w:color w:val="auto"/>
        </w:rPr>
      </w:pPr>
      <w:r>
        <w:rPr>
          <w:rFonts w:ascii="Courier New" w:cs="Courier New" w:eastAsia="Courier New" w:hAnsi="Courier New"/>
          <w:sz w:val="14"/>
          <w:szCs w:val="14"/>
          <w:color w:val="auto"/>
        </w:rPr>
        <w:t>Radio One,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17, 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175"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In connection with issuing this opinion, we have examined originals, or copies certified or otherwise identified to our satisfaction, of such documents, corporate records and other instruments as we have deemed necessary for the purposes of this opinion, including (i) the corporate and organizational documents of each of the Registrants, (ii) minutes and records of the corporate proceedings of each of the Registrants with respect to the issuance of the Exchange Notes, (iii) the Registration Statement and exhibits thereto and (iv) the Registration Rights Agreement, dated as of May 18, 2001, by and among the Registrants and Banc of America Securities LLC, Credit Suisse First Boston Corporation, Deutsche Bank Alex. Brown Inc., Blaylock &amp; Partners, L.P., First Union Securities, Inc., Morgan Stanley &amp; Co. Incorporated and TD Securities (USA) Inc.</w:t>
      </w:r>
    </w:p>
    <w:p>
      <w:pPr>
        <w:spacing w:after="0" w:line="331"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genuineness of the signatures of persons signing all documents in connection with which this opinion is rendered, the authority of such persons signing on behalf of the parties thereto other than the Registrants, and the due authorization, execution and delivery of all documents by the parties thereto other than the Registrants. As to any facts material to the opinions expressed herein which we have not independently established or verified, we have relied upon statements and representations of officers and other representatives of the Registrants and others. Based upon and subject to the foregoing qualifications, assumptions and limitations and the further limitations set forth below, we are of the opinion that:</w:t>
      </w:r>
    </w:p>
    <w:p>
      <w:pPr>
        <w:spacing w:after="0" w:line="163" w:lineRule="exact"/>
        <w:rPr>
          <w:sz w:val="20"/>
          <w:szCs w:val="20"/>
          <w:color w:val="auto"/>
        </w:rPr>
      </w:pPr>
    </w:p>
    <w:p>
      <w:pPr>
        <w:ind w:left="880" w:right="3279" w:hanging="437"/>
        <w:spacing w:after="0" w:line="253" w:lineRule="auto"/>
        <w:tabs>
          <w:tab w:leader="none" w:pos="88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of the Guarantors other than Radio One of Charlotte, LLC ("Charlotte LLC"), Broadcast Holdings, Inc. ("BHI") and Bell Broadcasting Company ("BBC") are in good standing under the General Corporation Law of the State of Delaware. Charlotte LLC is in good standing under the Delaware Limited Liability Company Act, BHI is in good standing under the District of Columbia Business Corporation Act, and BBC is in good standing under the Michigan Business Corporation Act.</w:t>
      </w:r>
    </w:p>
    <w:p>
      <w:pPr>
        <w:spacing w:after="0" w:line="331" w:lineRule="exact"/>
        <w:rPr>
          <w:rFonts w:ascii="Courier New" w:cs="Courier New" w:eastAsia="Courier New" w:hAnsi="Courier New"/>
          <w:sz w:val="14"/>
          <w:szCs w:val="14"/>
          <w:color w:val="auto"/>
        </w:rPr>
      </w:pPr>
    </w:p>
    <w:p>
      <w:pPr>
        <w:ind w:left="880" w:right="3639" w:hanging="437"/>
        <w:spacing w:after="0" w:line="254" w:lineRule="auto"/>
        <w:tabs>
          <w:tab w:leader="none" w:pos="88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and issuance of the Exchange Notes has been validly authorized by the Company, and the issuance of a guarantee of such Exchange Notes by each Guarantor (each, a "Guarantee") has been validly authorized by such Guarantor.</w:t>
      </w:r>
    </w:p>
    <w:p>
      <w:pPr>
        <w:sectPr>
          <w:pgSz w:w="11900" w:h="16838" w:orient="portrait"/>
          <w:cols w:equalWidth="0" w:num="1">
            <w:col w:w="10239"/>
          </w:cols>
          <w:pgMar w:left="220" w:top="620" w:right="1440" w:bottom="1440" w:gutter="0" w:footer="0" w:header="0"/>
        </w:sectPr>
      </w:pPr>
    </w:p>
    <w:bookmarkStart w:id="229" w:name="page230"/>
    <w:bookmarkEnd w:id="229"/>
    <w:p>
      <w:pPr>
        <w:spacing w:after="0"/>
        <w:rPr>
          <w:sz w:val="20"/>
          <w:szCs w:val="20"/>
          <w:color w:val="auto"/>
        </w:rPr>
      </w:pPr>
      <w:r>
        <w:rPr>
          <w:rFonts w:ascii="Courier New" w:cs="Courier New" w:eastAsia="Courier New" w:hAnsi="Courier New"/>
          <w:sz w:val="14"/>
          <w:szCs w:val="14"/>
          <w:color w:val="auto"/>
        </w:rPr>
        <w:t>Radio One,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17, 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175" w:lineRule="exact"/>
        <w:rPr>
          <w:sz w:val="20"/>
          <w:szCs w:val="20"/>
          <w:color w:val="auto"/>
        </w:rPr>
      </w:pPr>
    </w:p>
    <w:p>
      <w:pPr>
        <w:ind w:left="880" w:right="3279" w:hanging="524"/>
        <w:spacing w:after="0" w:line="253" w:lineRule="auto"/>
        <w:tabs>
          <w:tab w:leader="none" w:pos="88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as and if (A) the Registration Statement shall have become effective pursuant to the provisions of the Securities Act, (B) the Indenture shall have been qualified pursuant to the provisions of the Trust Indenture Act of 1939, as amended, (C) the Old Notes shall have been validly tendered to the Company, (D) the Exchange Notes shall have been duly executed and authenticated in accordance with the provisions of the Indenture and duly delivered to the purchasers thereof in exchange for the Old Notes, and (E) any legally required consents, approvals, authorizations or other order of the Commission or any other regulatory authorities have been obtained, the Exchange Notes, when issued pursuant to the Exchange Offer, will constitute valid and binding obligations of the Company, and the Guarantee issued by each Guarantor will constitute a valid and binding obligation of such Guarantor.</w:t>
      </w:r>
    </w:p>
    <w:p>
      <w:pPr>
        <w:spacing w:after="0" w:line="330" w:lineRule="exact"/>
        <w:rPr>
          <w:sz w:val="20"/>
          <w:szCs w:val="20"/>
          <w:color w:val="auto"/>
        </w:rPr>
      </w:pPr>
    </w:p>
    <w:p>
      <w:pPr>
        <w:ind w:right="3279" w:firstLine="868"/>
        <w:spacing w:after="0" w:line="252" w:lineRule="auto"/>
        <w:rPr>
          <w:sz w:val="20"/>
          <w:szCs w:val="20"/>
          <w:color w:val="auto"/>
        </w:rPr>
      </w:pPr>
      <w:r>
        <w:rPr>
          <w:rFonts w:ascii="Courier New" w:cs="Courier New" w:eastAsia="Courier New" w:hAnsi="Courier New"/>
          <w:sz w:val="14"/>
          <w:szCs w:val="14"/>
          <w:color w:val="auto"/>
        </w:rPr>
        <w:t>Our opinions expressed above are subject to the qualifications that we express no opinion as to the applicability of, compliance with, or effect of (i) any bankruptcy, insolvency, reorganization, fraudulent transfer, fraudulent conveyance, moratorium or other similar law affecting the enforcement of creditors' rights generally, (ii) general principals of equity (regardless of whether enforcement is considered in a proceeding in equity or at law), and</w:t>
      </w:r>
    </w:p>
    <w:p>
      <w:pPr>
        <w:spacing w:after="0" w:line="2" w:lineRule="exact"/>
        <w:rPr>
          <w:sz w:val="20"/>
          <w:szCs w:val="20"/>
          <w:color w:val="auto"/>
        </w:rPr>
      </w:pPr>
    </w:p>
    <w:p>
      <w:pPr>
        <w:ind w:right="3459" w:firstLine="9"/>
        <w:spacing w:after="0" w:line="258" w:lineRule="auto"/>
        <w:tabs>
          <w:tab w:leader="none" w:pos="521"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purposes of the opinion in paragraph (i), any laws except the laws of the State of New York.</w:t>
      </w:r>
    </w:p>
    <w:p>
      <w:pPr>
        <w:spacing w:after="0" w:line="160" w:lineRule="exact"/>
        <w:rPr>
          <w:sz w:val="20"/>
          <w:szCs w:val="20"/>
          <w:color w:val="auto"/>
        </w:rPr>
      </w:pPr>
    </w:p>
    <w:p>
      <w:pPr>
        <w:ind w:right="3379" w:firstLine="868"/>
        <w:spacing w:after="0" w:line="253" w:lineRule="auto"/>
        <w:rPr>
          <w:sz w:val="20"/>
          <w:szCs w:val="20"/>
          <w:color w:val="auto"/>
        </w:rPr>
      </w:pPr>
      <w:r>
        <w:rPr>
          <w:rFonts w:ascii="Courier New" w:cs="Courier New" w:eastAsia="Courier New" w:hAnsi="Courier New"/>
          <w:sz w:val="14"/>
          <w:szCs w:val="14"/>
          <w:color w:val="auto"/>
        </w:rPr>
        <w:t>We hereby consent to the filing of this opinion in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Securities Act of the rules and regulations of the Commission.</w:t>
      </w:r>
    </w:p>
    <w:p>
      <w:pPr>
        <w:spacing w:after="0" w:line="165" w:lineRule="exact"/>
        <w:rPr>
          <w:sz w:val="20"/>
          <w:szCs w:val="20"/>
          <w:color w:val="auto"/>
        </w:rPr>
      </w:pPr>
    </w:p>
    <w:p>
      <w:pPr>
        <w:ind w:right="3279" w:firstLine="868"/>
        <w:spacing w:after="0" w:line="255" w:lineRule="auto"/>
        <w:rPr>
          <w:sz w:val="20"/>
          <w:szCs w:val="20"/>
          <w:color w:val="auto"/>
        </w:rPr>
      </w:pPr>
      <w:r>
        <w:rPr>
          <w:rFonts w:ascii="Courier New" w:cs="Courier New" w:eastAsia="Courier New" w:hAnsi="Courier New"/>
          <w:sz w:val="14"/>
          <w:szCs w:val="14"/>
          <w:color w:val="auto"/>
        </w:rPr>
        <w:t>We do not find it necessary for the purposes of this opinion, and accordingly we do not purport to cover herein, the application of the securities or "Blue Sky" laws of the various states to the issuance of the Exchange Notes</w:t>
      </w:r>
    </w:p>
    <w:p>
      <w:pPr>
        <w:spacing w:after="0" w:line="162" w:lineRule="exact"/>
        <w:rPr>
          <w:sz w:val="20"/>
          <w:szCs w:val="20"/>
          <w:color w:val="auto"/>
        </w:rPr>
      </w:pPr>
    </w:p>
    <w:p>
      <w:pPr>
        <w:ind w:right="3379" w:firstLine="868"/>
        <w:spacing w:after="0" w:line="253" w:lineRule="auto"/>
        <w:rPr>
          <w:sz w:val="20"/>
          <w:szCs w:val="20"/>
          <w:color w:val="auto"/>
        </w:rPr>
      </w:pPr>
      <w:r>
        <w:rPr>
          <w:rFonts w:ascii="Courier New" w:cs="Courier New" w:eastAsia="Courier New" w:hAnsi="Courier New"/>
          <w:sz w:val="14"/>
          <w:szCs w:val="14"/>
          <w:color w:val="auto"/>
        </w:rPr>
        <w:t>This opinion is limited to the specific issues addressed herein, and no opinion may be inferred or implied beyond that expressly stated herein. We assume no obligation to revise or supplement this opinion should the present laws of the State of New York be changed by legislative action, judicial decision or otherwise. This opinion is furnished to you in connection with the filing of the Registration Statement, and is not to be used, circulated, quoted or otherwise relied upon for any other purposes.</w:t>
      </w:r>
    </w:p>
    <w:p>
      <w:pPr>
        <w:sectPr>
          <w:pgSz w:w="11900" w:h="16838" w:orient="portrait"/>
          <w:cols w:equalWidth="0" w:num="1">
            <w:col w:w="10239"/>
          </w:cols>
          <w:pgMar w:left="220" w:top="620" w:right="1440" w:bottom="1440" w:gutter="0" w:footer="0" w:header="0"/>
        </w:sectPr>
      </w:pPr>
    </w:p>
    <w:bookmarkStart w:id="230" w:name="page231"/>
    <w:bookmarkEnd w:id="230"/>
    <w:p>
      <w:pPr>
        <w:spacing w:after="0"/>
        <w:rPr>
          <w:sz w:val="20"/>
          <w:szCs w:val="20"/>
          <w:color w:val="auto"/>
        </w:rPr>
      </w:pPr>
      <w:r>
        <w:rPr>
          <w:rFonts w:ascii="Courier New" w:cs="Courier New" w:eastAsia="Courier New" w:hAnsi="Courier New"/>
          <w:sz w:val="14"/>
          <w:szCs w:val="14"/>
          <w:color w:val="auto"/>
        </w:rPr>
        <w:t>Radio One,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17, 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4</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 KIRKLAND &amp; ELLIS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KIRKLAND &amp; ELLIS</w:t>
      </w:r>
    </w:p>
    <w:p>
      <w:pPr>
        <w:sectPr>
          <w:pgSz w:w="11900" w:h="16838" w:orient="portrait"/>
          <w:cols w:equalWidth="0" w:num="1">
            <w:col w:w="10239"/>
          </w:cols>
          <w:pgMar w:left="220" w:top="620" w:right="1440" w:bottom="1440" w:gutter="0" w:footer="0" w:header="0"/>
        </w:sectPr>
      </w:pPr>
    </w:p>
    <w:bookmarkStart w:id="231" w:name="page232"/>
    <w:bookmarkEnd w:id="231"/>
    <w:p>
      <w:pPr>
        <w:jc w:val="right"/>
        <w:ind w:right="3279"/>
        <w:spacing w:after="0"/>
        <w:rPr>
          <w:sz w:val="20"/>
          <w:szCs w:val="20"/>
          <w:color w:val="auto"/>
        </w:rPr>
      </w:pPr>
      <w:r>
        <w:rPr>
          <w:rFonts w:ascii="Courier New" w:cs="Courier New" w:eastAsia="Courier New" w:hAnsi="Courier New"/>
          <w:sz w:val="14"/>
          <w:szCs w:val="14"/>
          <w:color w:val="auto"/>
        </w:rPr>
        <w:t>Exhibit 8.1</w:t>
      </w:r>
    </w:p>
    <w:p>
      <w:pPr>
        <w:spacing w:after="0" w:line="8" w:lineRule="exact"/>
        <w:rPr>
          <w:sz w:val="20"/>
          <w:szCs w:val="20"/>
          <w:color w:val="auto"/>
        </w:rPr>
      </w:pPr>
    </w:p>
    <w:p>
      <w:pPr>
        <w:ind w:left="60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[K&amp;E Letterhead]</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July 17,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Radio One,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5900 Princess Garden Parkway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8th Floor</w:t>
      </w:r>
    </w:p>
    <w:p>
      <w:pPr>
        <w:spacing w:after="0" w:line="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Lanham, Maryland</w:t>
        <w:tab/>
        <w:t>20706</w:t>
      </w:r>
    </w:p>
    <w:p>
      <w:pPr>
        <w:spacing w:after="0" w:line="175" w:lineRule="exact"/>
        <w:rPr>
          <w:sz w:val="20"/>
          <w:szCs w:val="20"/>
          <w:color w:val="auto"/>
        </w:rPr>
      </w:pPr>
    </w:p>
    <w:p>
      <w:pPr>
        <w:ind w:left="1140" w:right="3379" w:hanging="439"/>
        <w:spacing w:after="0" w:line="255" w:lineRule="auto"/>
        <w:tabs>
          <w:tab w:leader="none" w:pos="1120" w:val="left"/>
        </w:tabs>
        <w:rPr>
          <w:sz w:val="20"/>
          <w:szCs w:val="20"/>
          <w:color w:val="auto"/>
        </w:rPr>
      </w:pPr>
      <w:r>
        <w:rPr>
          <w:rFonts w:ascii="Courier New" w:cs="Courier New" w:eastAsia="Courier New" w:hAnsi="Courier New"/>
          <w:sz w:val="14"/>
          <w:szCs w:val="14"/>
          <w:color w:val="auto"/>
        </w:rPr>
        <w:t>Re:</w:t>
        <w:tab/>
        <w:t>Radio One, Inc.; Exchange Offer for $300,000,000 8 7/8% Senior Subordinated Notes due 2011 for up to $300,000,000 8 7/8% Series B Senior Subordinated Notes due 2011</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Ladies and Gentlemen:</w:t>
      </w:r>
    </w:p>
    <w:p>
      <w:pPr>
        <w:spacing w:after="0" w:line="175" w:lineRule="exact"/>
        <w:rPr>
          <w:sz w:val="20"/>
          <w:szCs w:val="20"/>
          <w:color w:val="auto"/>
        </w:rPr>
      </w:pPr>
    </w:p>
    <w:p>
      <w:pPr>
        <w:ind w:right="3279" w:firstLine="868"/>
        <w:spacing w:after="0" w:line="252" w:lineRule="auto"/>
        <w:rPr>
          <w:sz w:val="20"/>
          <w:szCs w:val="20"/>
          <w:color w:val="auto"/>
        </w:rPr>
      </w:pPr>
      <w:r>
        <w:rPr>
          <w:rFonts w:ascii="Courier New" w:cs="Courier New" w:eastAsia="Courier New" w:hAnsi="Courier New"/>
          <w:sz w:val="14"/>
          <w:szCs w:val="14"/>
          <w:color w:val="auto"/>
        </w:rPr>
        <w:t>We have acted as counsel to Radio One, Inc. (the "Company") and each of the following entities who have guaranteed the Old Notes (as defined below) and the Exchange Notes (as defined below): Radio One Licenses, Inc., WYCB Acquisition Corporation, Broadcast Holdings, Inc., Bell Broadcasting Company, Radio One of Detroit, Inc., Allur-Detroit, Inc., Allur Licenses, Inc., Radio One of Atlanta, Inc., ROA Licenses, Inc., Dogwood Communications, Inc., Dogwood Licenses, Inc., Radio One of Charlotte, LLC, Radio One of Augusta, Inc., Davis Broadcasting of Charlotte, Inc., Radio One of North Carolina, Inc., Radio One of Boston, Inc., Radio One of Boston Licenses, Inc. and Blue Chip Merger Subsidiary, Inc. (together with the Company, the "Registrants") in connection with the proposed offer (the "Exchange Offer") to exchange an aggregate principle amount of up to $300,000,000 8 7/8% Senior Subordinated Notes due 2011 (the "Old Notes") for up to $300,000,000 8 7/8% Series B Senior Subordinated Notes due 2011 (the "Exchange Notes"), pursuant to a Registration Statement on Form S-4 filed with the Securities and Exchange Commission (the "Commission") under the Securities Act of 1933, as amended (the "Securities Act"). Such Registration Statement, as amended or supplemented, is hereinafter referred to as the "Registration Statement."</w:t>
      </w:r>
    </w:p>
    <w:p>
      <w:pPr>
        <w:spacing w:after="0" w:line="340"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You have requested our opinion as to certain United States federal income tax consequences of the Exchange Offer. In preparing our opinion, we have reviewed and relied upon the Registration Statement and such other documents as we deemed necessary.</w:t>
      </w:r>
    </w:p>
    <w:p>
      <w:pPr>
        <w:sectPr>
          <w:pgSz w:w="11900" w:h="16838" w:orient="portrait"/>
          <w:cols w:equalWidth="0" w:num="1">
            <w:col w:w="10239"/>
          </w:cols>
          <w:pgMar w:left="220" w:top="476" w:right="1440" w:bottom="1440" w:gutter="0" w:footer="0" w:header="0"/>
        </w:sectPr>
      </w:pPr>
    </w:p>
    <w:bookmarkStart w:id="232" w:name="page233"/>
    <w:bookmarkEnd w:id="232"/>
    <w:p>
      <w:pPr>
        <w:spacing w:after="0"/>
        <w:rPr>
          <w:sz w:val="20"/>
          <w:szCs w:val="20"/>
          <w:color w:val="auto"/>
        </w:rPr>
      </w:pPr>
      <w:r>
        <w:rPr>
          <w:rFonts w:ascii="Courier New" w:cs="Courier New" w:eastAsia="Courier New" w:hAnsi="Courier New"/>
          <w:sz w:val="14"/>
          <w:szCs w:val="14"/>
          <w:color w:val="auto"/>
        </w:rPr>
        <w:t>Radio One,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17, 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342"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On the basis of the foregoing, it is our opinion that the exchange of the Old Notes for the Exchange Notes pursuant to the Exchange Offer will not be treated as an "exchange" for United States federal income tax purposes, because the Exchange Notes will not be considered to differ materially in kind or extent from the Old Notes. Rather, the Exchange Notes received by a holder will be treated as a continuation of the Old Notes in the hands of that holder. Accordingly, there will be no federal income tax consequences to holders solely as a result of the exchange of the Old Notes for Exchange Notes under the Exchange Offer.</w:t>
      </w:r>
    </w:p>
    <w:p>
      <w:pPr>
        <w:spacing w:after="0" w:line="164"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The opinion set forth above is based upon the applicable provisions of the Internal Revenue Code of 1986, as amended, the Treasury Regulations promulgated or proposed thereunder, current positions of the Internal Revenue Service (the "IRS") contained in published revenue rulings, revenue procedures, and announcements, existing judicial decisions and other applicable authorities. No tax ruling has been sought from the IRS with respect to any of the matters discussed herein. Unlike a ruling from the IRS, an opinion of counsel is not binding on the IRS. Hence, no assurance can be given that the opinion stated in this letter will not be successfully challenged by the IRS or that a court would reach the same conclusion. We express no opinion concerning any tax consequences of the Exchange Offer except as expressly set forth above.</w:t>
      </w:r>
    </w:p>
    <w:p>
      <w:pPr>
        <w:spacing w:after="0" w:line="164"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We consent to the filing of this opinion as an exhibit to the registration statement, to the reference to this firm and the inclusion of our opinion in the section entitled "United Stated Federal Income Tax Considerations" in the Registration Statement. In giving this consent, we do not thereby admit that we are in the category of persons whose consent is required under Section 7 of the Securities Act of 1933, as amended, or the rules and regulations of the Securities and Exchange Commissions promulgated thereunder.</w:t>
      </w:r>
    </w:p>
    <w:p>
      <w:pPr>
        <w:spacing w:after="0" w:line="16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 Kirkland &amp; Ellis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KIRKLAND &amp; ELLIS</w:t>
      </w:r>
    </w:p>
    <w:p>
      <w:pPr>
        <w:sectPr>
          <w:pgSz w:w="11900" w:h="16838" w:orient="portrait"/>
          <w:cols w:equalWidth="0" w:num="1">
            <w:col w:w="10239"/>
          </w:cols>
          <w:pgMar w:left="220" w:top="620" w:right="1440" w:bottom="1440" w:gutter="0" w:footer="0" w:header="0"/>
        </w:sectPr>
      </w:pPr>
    </w:p>
    <w:bookmarkStart w:id="233" w:name="page234"/>
    <w:bookmarkEnd w:id="233"/>
    <w:p>
      <w:pPr>
        <w:jc w:val="right"/>
        <w:ind w:right="3279"/>
        <w:spacing w:after="0"/>
        <w:rPr>
          <w:sz w:val="20"/>
          <w:szCs w:val="20"/>
          <w:color w:val="auto"/>
        </w:rPr>
      </w:pPr>
      <w:r>
        <w:rPr>
          <w:rFonts w:ascii="Courier New" w:cs="Courier New" w:eastAsia="Courier New" w:hAnsi="Courier New"/>
          <w:sz w:val="14"/>
          <w:szCs w:val="14"/>
          <w:color w:val="auto"/>
        </w:rPr>
        <w:t>Exhibit 10.64</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Radio One, Inc.</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The guarantors party hereto</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$ 300,000,000</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8 7/8% Senior Subordinated Notes due 2011</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Purchase Agreement</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dated May 4, 2001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Banc of America Securities LLC</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Credit Suisse First Boston Corporation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Deutsche Bank Alex. Brown Inc.</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Blaylock &amp; Partners, L.P.</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First Union Securities, Inc.</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Morgan Stanley &amp; Co. Incorporated</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TD Securities (USA) Inc.</w:t>
      </w:r>
    </w:p>
    <w:p>
      <w:pPr>
        <w:sectPr>
          <w:pgSz w:w="11900" w:h="16838" w:orient="portrait"/>
          <w:cols w:equalWidth="0" w:num="1">
            <w:col w:w="9019"/>
          </w:cols>
          <w:pgMar w:left="1440" w:top="476" w:right="1440" w:bottom="1440" w:gutter="0" w:footer="0" w:header="0"/>
        </w:sectPr>
      </w:pPr>
    </w:p>
    <w:bookmarkStart w:id="234" w:name="page235"/>
    <w:bookmarkEnd w:id="234"/>
    <w:p>
      <w:pPr>
        <w:ind w:left="270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SECTION 1.</w:t>
      </w:r>
      <w:r>
        <w:rPr>
          <w:sz w:val="20"/>
          <w:szCs w:val="20"/>
          <w:color w:val="auto"/>
        </w:rPr>
        <w:tab/>
      </w:r>
      <w:r>
        <w:rPr>
          <w:rFonts w:ascii="Courier New" w:cs="Courier New" w:eastAsia="Courier New" w:hAnsi="Courier New"/>
          <w:sz w:val="14"/>
          <w:szCs w:val="14"/>
          <w:color w:val="auto"/>
        </w:rPr>
        <w:t>Representations and Warranties</w:t>
      </w:r>
      <w:r>
        <w:rPr>
          <w:sz w:val="20"/>
          <w:szCs w:val="20"/>
          <w:color w:val="auto"/>
        </w:rPr>
        <w:tab/>
      </w:r>
      <w:r>
        <w:rPr>
          <w:rFonts w:ascii="Courier New" w:cs="Courier New" w:eastAsia="Courier New" w:hAnsi="Courier New"/>
          <w:sz w:val="14"/>
          <w:szCs w:val="14"/>
          <w:color w:val="auto"/>
        </w:rPr>
        <w:t>2</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No Registration Required</w:t>
      </w:r>
      <w:r>
        <w:rPr>
          <w:sz w:val="20"/>
          <w:szCs w:val="20"/>
          <w:color w:val="auto"/>
        </w:rPr>
        <w:tab/>
      </w:r>
      <w:r>
        <w:rPr>
          <w:rFonts w:ascii="Courier New" w:cs="Courier New" w:eastAsia="Courier New" w:hAnsi="Courier New"/>
          <w:sz w:val="14"/>
          <w:szCs w:val="14"/>
          <w:color w:val="auto"/>
        </w:rPr>
        <w:t>2</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No Integration of Offerings or General Solicitation</w:t>
      </w:r>
      <w:r>
        <w:rPr>
          <w:sz w:val="20"/>
          <w:szCs w:val="20"/>
          <w:color w:val="auto"/>
        </w:rPr>
        <w:tab/>
      </w:r>
      <w:r>
        <w:rPr>
          <w:rFonts w:ascii="Courier New" w:cs="Courier New" w:eastAsia="Courier New" w:hAnsi="Courier New"/>
          <w:sz w:val="14"/>
          <w:szCs w:val="14"/>
          <w:color w:val="auto"/>
        </w:rPr>
        <w:t>2</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Eligibility for Resale under Rule 144A</w:t>
      </w:r>
      <w:r>
        <w:rPr>
          <w:sz w:val="20"/>
          <w:szCs w:val="20"/>
          <w:color w:val="auto"/>
        </w:rPr>
        <w:tab/>
      </w:r>
      <w:r>
        <w:rPr>
          <w:rFonts w:ascii="Courier New" w:cs="Courier New" w:eastAsia="Courier New" w:hAnsi="Courier New"/>
          <w:sz w:val="14"/>
          <w:szCs w:val="14"/>
          <w:color w:val="auto"/>
        </w:rPr>
        <w:t>3</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The Offering Memorandum</w:t>
      </w:r>
      <w:r>
        <w:rPr>
          <w:sz w:val="20"/>
          <w:szCs w:val="20"/>
          <w:color w:val="auto"/>
        </w:rPr>
        <w:tab/>
      </w:r>
      <w:r>
        <w:rPr>
          <w:rFonts w:ascii="Courier New" w:cs="Courier New" w:eastAsia="Courier New" w:hAnsi="Courier New"/>
          <w:sz w:val="14"/>
          <w:szCs w:val="14"/>
          <w:color w:val="auto"/>
        </w:rPr>
        <w:t>3</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(e)</w:t>
      </w:r>
      <w:r>
        <w:rPr>
          <w:sz w:val="20"/>
          <w:szCs w:val="20"/>
          <w:color w:val="auto"/>
        </w:rPr>
        <w:tab/>
      </w:r>
      <w:r>
        <w:rPr>
          <w:rFonts w:ascii="Courier New" w:cs="Courier New" w:eastAsia="Courier New" w:hAnsi="Courier New"/>
          <w:sz w:val="14"/>
          <w:szCs w:val="14"/>
          <w:color w:val="auto"/>
        </w:rPr>
        <w:t>The Purchase Agreement</w:t>
      </w:r>
      <w:r>
        <w:rPr>
          <w:sz w:val="20"/>
          <w:szCs w:val="20"/>
          <w:color w:val="auto"/>
        </w:rPr>
        <w:tab/>
      </w:r>
      <w:r>
        <w:rPr>
          <w:rFonts w:ascii="Courier New" w:cs="Courier New" w:eastAsia="Courier New" w:hAnsi="Courier New"/>
          <w:sz w:val="14"/>
          <w:szCs w:val="14"/>
          <w:color w:val="auto"/>
        </w:rPr>
        <w:t>3</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(f)</w:t>
      </w:r>
      <w:r>
        <w:rPr>
          <w:sz w:val="20"/>
          <w:szCs w:val="20"/>
          <w:color w:val="auto"/>
        </w:rPr>
        <w:tab/>
      </w:r>
      <w:r>
        <w:rPr>
          <w:rFonts w:ascii="Courier New" w:cs="Courier New" w:eastAsia="Courier New" w:hAnsi="Courier New"/>
          <w:sz w:val="14"/>
          <w:szCs w:val="14"/>
          <w:color w:val="auto"/>
        </w:rPr>
        <w:t>The Registration Rights Agreement</w:t>
      </w:r>
      <w:r>
        <w:rPr>
          <w:sz w:val="20"/>
          <w:szCs w:val="20"/>
          <w:color w:val="auto"/>
        </w:rPr>
        <w:tab/>
      </w:r>
      <w:r>
        <w:rPr>
          <w:rFonts w:ascii="Courier New" w:cs="Courier New" w:eastAsia="Courier New" w:hAnsi="Courier New"/>
          <w:sz w:val="14"/>
          <w:szCs w:val="14"/>
          <w:color w:val="auto"/>
        </w:rPr>
        <w:t>3</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(g)</w:t>
      </w:r>
      <w:r>
        <w:rPr>
          <w:sz w:val="20"/>
          <w:szCs w:val="20"/>
          <w:color w:val="auto"/>
        </w:rPr>
        <w:tab/>
      </w:r>
      <w:r>
        <w:rPr>
          <w:rFonts w:ascii="Courier New" w:cs="Courier New" w:eastAsia="Courier New" w:hAnsi="Courier New"/>
          <w:sz w:val="14"/>
          <w:szCs w:val="14"/>
          <w:color w:val="auto"/>
        </w:rPr>
        <w:t>Authorization of the Securities and the Exchange Securities</w:t>
      </w:r>
      <w:r>
        <w:rPr>
          <w:sz w:val="20"/>
          <w:szCs w:val="20"/>
          <w:color w:val="auto"/>
        </w:rPr>
        <w:tab/>
      </w:r>
      <w:r>
        <w:rPr>
          <w:rFonts w:ascii="Courier New" w:cs="Courier New" w:eastAsia="Courier New" w:hAnsi="Courier New"/>
          <w:sz w:val="14"/>
          <w:szCs w:val="14"/>
          <w:color w:val="auto"/>
        </w:rPr>
        <w:t>4</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(h)</w:t>
      </w:r>
      <w:r>
        <w:rPr>
          <w:sz w:val="20"/>
          <w:szCs w:val="20"/>
          <w:color w:val="auto"/>
        </w:rPr>
        <w:tab/>
      </w:r>
      <w:r>
        <w:rPr>
          <w:rFonts w:ascii="Courier New" w:cs="Courier New" w:eastAsia="Courier New" w:hAnsi="Courier New"/>
          <w:sz w:val="14"/>
          <w:szCs w:val="14"/>
          <w:color w:val="auto"/>
        </w:rPr>
        <w:t>Authorization of the Indenture</w:t>
      </w:r>
      <w:r>
        <w:rPr>
          <w:sz w:val="20"/>
          <w:szCs w:val="20"/>
          <w:color w:val="auto"/>
        </w:rPr>
        <w:tab/>
      </w:r>
      <w:r>
        <w:rPr>
          <w:rFonts w:ascii="Courier New" w:cs="Courier New" w:eastAsia="Courier New" w:hAnsi="Courier New"/>
          <w:sz w:val="14"/>
          <w:szCs w:val="14"/>
          <w:color w:val="auto"/>
        </w:rPr>
        <w:t>4</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(i)</w:t>
      </w:r>
      <w:r>
        <w:rPr>
          <w:sz w:val="20"/>
          <w:szCs w:val="20"/>
          <w:color w:val="auto"/>
        </w:rPr>
        <w:tab/>
      </w:r>
      <w:r>
        <w:rPr>
          <w:rFonts w:ascii="Courier New" w:cs="Courier New" w:eastAsia="Courier New" w:hAnsi="Courier New"/>
          <w:sz w:val="14"/>
          <w:szCs w:val="14"/>
          <w:color w:val="auto"/>
        </w:rPr>
        <w:t>Description of the Securities and the Indenture</w:t>
      </w:r>
      <w:r>
        <w:rPr>
          <w:sz w:val="20"/>
          <w:szCs w:val="20"/>
          <w:color w:val="auto"/>
        </w:rPr>
        <w:tab/>
      </w:r>
      <w:r>
        <w:rPr>
          <w:rFonts w:ascii="Courier New" w:cs="Courier New" w:eastAsia="Courier New" w:hAnsi="Courier New"/>
          <w:sz w:val="14"/>
          <w:szCs w:val="14"/>
          <w:color w:val="auto"/>
        </w:rPr>
        <w:t>4</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(j)</w:t>
      </w:r>
      <w:r>
        <w:rPr>
          <w:sz w:val="20"/>
          <w:szCs w:val="20"/>
          <w:color w:val="auto"/>
        </w:rPr>
        <w:tab/>
      </w:r>
      <w:r>
        <w:rPr>
          <w:rFonts w:ascii="Courier New" w:cs="Courier New" w:eastAsia="Courier New" w:hAnsi="Courier New"/>
          <w:sz w:val="14"/>
          <w:szCs w:val="14"/>
          <w:color w:val="auto"/>
        </w:rPr>
        <w:t>No Material Adverse Change</w:t>
      </w:r>
      <w:r>
        <w:rPr>
          <w:sz w:val="20"/>
          <w:szCs w:val="20"/>
          <w:color w:val="auto"/>
        </w:rPr>
        <w:tab/>
      </w:r>
      <w:r>
        <w:rPr>
          <w:rFonts w:ascii="Courier New" w:cs="Courier New" w:eastAsia="Courier New" w:hAnsi="Courier New"/>
          <w:sz w:val="14"/>
          <w:szCs w:val="14"/>
          <w:color w:val="auto"/>
        </w:rPr>
        <w:t>4</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(k)</w:t>
      </w:r>
      <w:r>
        <w:rPr>
          <w:sz w:val="20"/>
          <w:szCs w:val="20"/>
          <w:color w:val="auto"/>
        </w:rPr>
        <w:tab/>
      </w:r>
      <w:r>
        <w:rPr>
          <w:rFonts w:ascii="Courier New" w:cs="Courier New" w:eastAsia="Courier New" w:hAnsi="Courier New"/>
          <w:sz w:val="14"/>
          <w:szCs w:val="14"/>
          <w:color w:val="auto"/>
        </w:rPr>
        <w:t>Independent Accountants</w:t>
      </w:r>
      <w:r>
        <w:rPr>
          <w:sz w:val="20"/>
          <w:szCs w:val="20"/>
          <w:color w:val="auto"/>
        </w:rPr>
        <w:tab/>
      </w:r>
      <w:r>
        <w:rPr>
          <w:rFonts w:ascii="Courier New" w:cs="Courier New" w:eastAsia="Courier New" w:hAnsi="Courier New"/>
          <w:sz w:val="14"/>
          <w:szCs w:val="14"/>
          <w:color w:val="auto"/>
        </w:rPr>
        <w:t>5</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(l)</w:t>
      </w:r>
      <w:r>
        <w:rPr>
          <w:sz w:val="20"/>
          <w:szCs w:val="20"/>
          <w:color w:val="auto"/>
        </w:rPr>
        <w:tab/>
      </w:r>
      <w:r>
        <w:rPr>
          <w:rFonts w:ascii="Courier New" w:cs="Courier New" w:eastAsia="Courier New" w:hAnsi="Courier New"/>
          <w:sz w:val="14"/>
          <w:szCs w:val="14"/>
          <w:color w:val="auto"/>
        </w:rPr>
        <w:t>Preparation of the Financial Statements</w:t>
      </w:r>
      <w:r>
        <w:rPr>
          <w:sz w:val="20"/>
          <w:szCs w:val="20"/>
          <w:color w:val="auto"/>
        </w:rPr>
        <w:tab/>
      </w:r>
      <w:r>
        <w:rPr>
          <w:rFonts w:ascii="Courier New" w:cs="Courier New" w:eastAsia="Courier New" w:hAnsi="Courier New"/>
          <w:sz w:val="14"/>
          <w:szCs w:val="14"/>
          <w:color w:val="auto"/>
        </w:rPr>
        <w:t>5</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(m)</w:t>
      </w:r>
      <w:r>
        <w:rPr>
          <w:sz w:val="20"/>
          <w:szCs w:val="20"/>
          <w:color w:val="auto"/>
        </w:rPr>
        <w:tab/>
      </w:r>
      <w:r>
        <w:rPr>
          <w:rFonts w:ascii="Courier New" w:cs="Courier New" w:eastAsia="Courier New" w:hAnsi="Courier New"/>
          <w:sz w:val="14"/>
          <w:szCs w:val="14"/>
          <w:color w:val="auto"/>
        </w:rPr>
        <w:t>Incorporation and Good Standing of the Company and its Subsidiaries</w:t>
      </w:r>
      <w:r>
        <w:rPr>
          <w:sz w:val="20"/>
          <w:szCs w:val="20"/>
          <w:color w:val="auto"/>
        </w:rPr>
        <w:tab/>
      </w:r>
      <w:r>
        <w:rPr>
          <w:rFonts w:ascii="Courier New" w:cs="Courier New" w:eastAsia="Courier New" w:hAnsi="Courier New"/>
          <w:sz w:val="14"/>
          <w:szCs w:val="14"/>
          <w:color w:val="auto"/>
        </w:rPr>
        <w:t>5</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(n)</w:t>
      </w:r>
      <w:r>
        <w:rPr>
          <w:sz w:val="20"/>
          <w:szCs w:val="20"/>
          <w:color w:val="auto"/>
        </w:rPr>
        <w:tab/>
      </w:r>
      <w:r>
        <w:rPr>
          <w:rFonts w:ascii="Courier New" w:cs="Courier New" w:eastAsia="Courier New" w:hAnsi="Courier New"/>
          <w:sz w:val="14"/>
          <w:szCs w:val="14"/>
          <w:color w:val="auto"/>
        </w:rPr>
        <w:t>Capitalization</w:t>
      </w:r>
      <w:r>
        <w:rPr>
          <w:sz w:val="20"/>
          <w:szCs w:val="20"/>
          <w:color w:val="auto"/>
        </w:rPr>
        <w:tab/>
      </w:r>
      <w:r>
        <w:rPr>
          <w:rFonts w:ascii="Courier New" w:cs="Courier New" w:eastAsia="Courier New" w:hAnsi="Courier New"/>
          <w:sz w:val="14"/>
          <w:szCs w:val="14"/>
          <w:color w:val="auto"/>
        </w:rPr>
        <w:t>6</w:t>
      </w:r>
    </w:p>
    <w:p>
      <w:pPr>
        <w:spacing w:after="0" w:line="8" w:lineRule="exact"/>
        <w:rPr>
          <w:sz w:val="20"/>
          <w:szCs w:val="20"/>
          <w:color w:val="auto"/>
        </w:rPr>
      </w:pPr>
    </w:p>
    <w:p>
      <w:pPr>
        <w:ind w:left="1320" w:hanging="1224"/>
        <w:spacing w:after="0"/>
        <w:tabs>
          <w:tab w:leader="none" w:pos="132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Non-Contravention of Existing Instruments; No Further Authorizations or Approvals Required..  6</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(p)</w:t>
      </w:r>
      <w:r>
        <w:rPr>
          <w:sz w:val="20"/>
          <w:szCs w:val="20"/>
          <w:color w:val="auto"/>
        </w:rPr>
        <w:tab/>
      </w:r>
      <w:r>
        <w:rPr>
          <w:rFonts w:ascii="Courier New" w:cs="Courier New" w:eastAsia="Courier New" w:hAnsi="Courier New"/>
          <w:sz w:val="14"/>
          <w:szCs w:val="14"/>
          <w:color w:val="auto"/>
        </w:rPr>
        <w:t>No Material Actions or Proceedings</w:t>
      </w:r>
      <w:r>
        <w:rPr>
          <w:sz w:val="20"/>
          <w:szCs w:val="20"/>
          <w:color w:val="auto"/>
        </w:rPr>
        <w:tab/>
      </w:r>
      <w:r>
        <w:rPr>
          <w:rFonts w:ascii="Courier New" w:cs="Courier New" w:eastAsia="Courier New" w:hAnsi="Courier New"/>
          <w:sz w:val="14"/>
          <w:szCs w:val="14"/>
          <w:color w:val="auto"/>
        </w:rPr>
        <w:t>6</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(q)</w:t>
      </w:r>
      <w:r>
        <w:rPr>
          <w:sz w:val="20"/>
          <w:szCs w:val="20"/>
          <w:color w:val="auto"/>
        </w:rPr>
        <w:tab/>
      </w:r>
      <w:r>
        <w:rPr>
          <w:rFonts w:ascii="Courier New" w:cs="Courier New" w:eastAsia="Courier New" w:hAnsi="Courier New"/>
          <w:sz w:val="14"/>
          <w:szCs w:val="14"/>
          <w:color w:val="auto"/>
        </w:rPr>
        <w:t>Intellectual Property Rights</w:t>
      </w:r>
      <w:r>
        <w:rPr>
          <w:sz w:val="20"/>
          <w:szCs w:val="20"/>
          <w:color w:val="auto"/>
        </w:rPr>
        <w:tab/>
      </w:r>
      <w:r>
        <w:rPr>
          <w:rFonts w:ascii="Courier New" w:cs="Courier New" w:eastAsia="Courier New" w:hAnsi="Courier New"/>
          <w:sz w:val="14"/>
          <w:szCs w:val="14"/>
          <w:color w:val="auto"/>
        </w:rPr>
        <w:t>6</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(r)</w:t>
      </w:r>
      <w:r>
        <w:rPr>
          <w:sz w:val="20"/>
          <w:szCs w:val="20"/>
          <w:color w:val="auto"/>
        </w:rPr>
        <w:tab/>
      </w:r>
      <w:r>
        <w:rPr>
          <w:rFonts w:ascii="Courier New" w:cs="Courier New" w:eastAsia="Courier New" w:hAnsi="Courier New"/>
          <w:sz w:val="14"/>
          <w:szCs w:val="14"/>
          <w:color w:val="auto"/>
        </w:rPr>
        <w:t>All Necessary Permits, etc</w:t>
      </w:r>
      <w:r>
        <w:rPr>
          <w:sz w:val="20"/>
          <w:szCs w:val="20"/>
          <w:color w:val="auto"/>
        </w:rPr>
        <w:tab/>
      </w:r>
      <w:r>
        <w:rPr>
          <w:rFonts w:ascii="Courier New" w:cs="Courier New" w:eastAsia="Courier New" w:hAnsi="Courier New"/>
          <w:sz w:val="14"/>
          <w:szCs w:val="14"/>
          <w:color w:val="auto"/>
        </w:rPr>
        <w:t>7</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FCC Licenses</w:t>
      </w:r>
      <w:r>
        <w:rPr>
          <w:sz w:val="20"/>
          <w:szCs w:val="20"/>
          <w:color w:val="auto"/>
        </w:rPr>
        <w:tab/>
      </w:r>
      <w:r>
        <w:rPr>
          <w:rFonts w:ascii="Courier New" w:cs="Courier New" w:eastAsia="Courier New" w:hAnsi="Courier New"/>
          <w:sz w:val="14"/>
          <w:szCs w:val="14"/>
          <w:color w:val="auto"/>
        </w:rPr>
        <w:t>7</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(t)</w:t>
      </w:r>
      <w:r>
        <w:rPr>
          <w:sz w:val="20"/>
          <w:szCs w:val="20"/>
          <w:color w:val="auto"/>
        </w:rPr>
        <w:tab/>
      </w:r>
      <w:r>
        <w:rPr>
          <w:rFonts w:ascii="Courier New" w:cs="Courier New" w:eastAsia="Courier New" w:hAnsi="Courier New"/>
          <w:sz w:val="14"/>
          <w:szCs w:val="14"/>
          <w:color w:val="auto"/>
        </w:rPr>
        <w:t>Condition of Stations</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(u)</w:t>
      </w:r>
      <w:r>
        <w:rPr>
          <w:sz w:val="20"/>
          <w:szCs w:val="20"/>
          <w:color w:val="auto"/>
        </w:rPr>
        <w:tab/>
      </w:r>
      <w:r>
        <w:rPr>
          <w:rFonts w:ascii="Courier New" w:cs="Courier New" w:eastAsia="Courier New" w:hAnsi="Courier New"/>
          <w:sz w:val="14"/>
          <w:szCs w:val="14"/>
          <w:color w:val="auto"/>
        </w:rPr>
        <w:t>Title to Properties</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(v)</w:t>
      </w:r>
      <w:r>
        <w:rPr>
          <w:sz w:val="20"/>
          <w:szCs w:val="20"/>
          <w:color w:val="auto"/>
        </w:rPr>
        <w:tab/>
      </w:r>
      <w:r>
        <w:rPr>
          <w:rFonts w:ascii="Courier New" w:cs="Courier New" w:eastAsia="Courier New" w:hAnsi="Courier New"/>
          <w:sz w:val="14"/>
          <w:szCs w:val="14"/>
          <w:color w:val="auto"/>
        </w:rPr>
        <w:t>Tax Law Compliance</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(w)</w:t>
      </w:r>
      <w:r>
        <w:rPr>
          <w:sz w:val="20"/>
          <w:szCs w:val="20"/>
          <w:color w:val="auto"/>
        </w:rPr>
        <w:tab/>
      </w:r>
      <w:r>
        <w:rPr>
          <w:rFonts w:ascii="Courier New" w:cs="Courier New" w:eastAsia="Courier New" w:hAnsi="Courier New"/>
          <w:sz w:val="14"/>
          <w:szCs w:val="14"/>
          <w:color w:val="auto"/>
        </w:rPr>
        <w:t>Company Not an "Investment Company"</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(y)</w:t>
      </w:r>
      <w:r>
        <w:rPr>
          <w:sz w:val="20"/>
          <w:szCs w:val="20"/>
          <w:color w:val="auto"/>
        </w:rPr>
        <w:tab/>
      </w:r>
      <w:r>
        <w:rPr>
          <w:rFonts w:ascii="Courier New" w:cs="Courier New" w:eastAsia="Courier New" w:hAnsi="Courier New"/>
          <w:sz w:val="14"/>
          <w:szCs w:val="14"/>
          <w:color w:val="auto"/>
        </w:rPr>
        <w:t>No Price Stabilization or Manipulation</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(z)</w:t>
      </w:r>
      <w:r>
        <w:rPr>
          <w:sz w:val="20"/>
          <w:szCs w:val="20"/>
          <w:color w:val="auto"/>
        </w:rPr>
        <w:tab/>
      </w:r>
      <w:r>
        <w:rPr>
          <w:rFonts w:ascii="Courier New" w:cs="Courier New" w:eastAsia="Courier New" w:hAnsi="Courier New"/>
          <w:sz w:val="14"/>
          <w:szCs w:val="14"/>
          <w:color w:val="auto"/>
        </w:rPr>
        <w:t>Company's Accounting System</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(aa)</w:t>
      </w:r>
      <w:r>
        <w:rPr>
          <w:sz w:val="20"/>
          <w:szCs w:val="20"/>
          <w:color w:val="auto"/>
        </w:rPr>
        <w:tab/>
      </w:r>
      <w:r>
        <w:rPr>
          <w:rFonts w:ascii="Courier New" w:cs="Courier New" w:eastAsia="Courier New" w:hAnsi="Courier New"/>
          <w:sz w:val="14"/>
          <w:szCs w:val="14"/>
          <w:color w:val="auto"/>
        </w:rPr>
        <w:t>Compliance with Environmental Laws</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ind w:left="100"/>
        <w:spacing w:after="0"/>
        <w:tabs>
          <w:tab w:leader="none" w:pos="1300" w:val="left"/>
          <w:tab w:leader="dot" w:pos="9440" w:val="left"/>
        </w:tabs>
        <w:rPr>
          <w:sz w:val="20"/>
          <w:szCs w:val="20"/>
          <w:color w:val="auto"/>
        </w:rPr>
      </w:pPr>
      <w:r>
        <w:rPr>
          <w:rFonts w:ascii="Courier New" w:cs="Courier New" w:eastAsia="Courier New" w:hAnsi="Courier New"/>
          <w:sz w:val="14"/>
          <w:szCs w:val="14"/>
          <w:color w:val="auto"/>
        </w:rPr>
        <w:t>(bb)</w:t>
      </w:r>
      <w:r>
        <w:rPr>
          <w:sz w:val="20"/>
          <w:szCs w:val="20"/>
          <w:color w:val="auto"/>
        </w:rPr>
        <w:tab/>
      </w:r>
      <w:r>
        <w:rPr>
          <w:rFonts w:ascii="Courier New" w:cs="Courier New" w:eastAsia="Courier New" w:hAnsi="Courier New"/>
          <w:sz w:val="14"/>
          <w:szCs w:val="14"/>
          <w:color w:val="auto"/>
        </w:rPr>
        <w:t>ERISA Compliance</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(cc)</w:t>
      </w:r>
      <w:r>
        <w:rPr>
          <w:sz w:val="20"/>
          <w:szCs w:val="20"/>
          <w:color w:val="auto"/>
        </w:rPr>
        <w:tab/>
      </w:r>
      <w:r>
        <w:rPr>
          <w:rFonts w:ascii="Courier New" w:cs="Courier New" w:eastAsia="Courier New" w:hAnsi="Courier New"/>
          <w:sz w:val="14"/>
          <w:szCs w:val="14"/>
          <w:color w:val="auto"/>
        </w:rPr>
        <w:t>No Default in Senior Debt</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(dd)</w:t>
      </w:r>
      <w:r>
        <w:rPr>
          <w:sz w:val="20"/>
          <w:szCs w:val="20"/>
          <w:color w:val="auto"/>
        </w:rPr>
        <w:tab/>
      </w:r>
      <w:r>
        <w:rPr>
          <w:rFonts w:ascii="Courier New" w:cs="Courier New" w:eastAsia="Courier New" w:hAnsi="Courier New"/>
          <w:sz w:val="14"/>
          <w:szCs w:val="14"/>
          <w:color w:val="auto"/>
        </w:rPr>
        <w:t>Compliance with Regulations S</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(ee)</w:t>
      </w:r>
      <w:r>
        <w:rPr>
          <w:sz w:val="20"/>
          <w:szCs w:val="20"/>
          <w:color w:val="auto"/>
        </w:rPr>
        <w:tab/>
      </w:r>
      <w:r>
        <w:rPr>
          <w:rFonts w:ascii="Courier New" w:cs="Courier New" w:eastAsia="Courier New" w:hAnsi="Courier New"/>
          <w:sz w:val="14"/>
          <w:szCs w:val="14"/>
          <w:color w:val="auto"/>
        </w:rPr>
        <w:t>Temporary Regulations S Global Note</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2.</w:t>
      </w:r>
      <w:r>
        <w:rPr>
          <w:sz w:val="20"/>
          <w:szCs w:val="20"/>
          <w:color w:val="auto"/>
        </w:rPr>
        <w:tab/>
      </w:r>
      <w:r>
        <w:rPr>
          <w:rFonts w:ascii="Courier New" w:cs="Courier New" w:eastAsia="Courier New" w:hAnsi="Courier New"/>
          <w:sz w:val="14"/>
          <w:szCs w:val="14"/>
          <w:color w:val="auto"/>
        </w:rPr>
        <w:t>Purchase, Sale and Delivery of the Securities</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The Securities</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The Closing Date</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Delivery of the Securities</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Delivery of Offering Memorandum to the Initial Purchasers</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(e)</w:t>
      </w:r>
      <w:r>
        <w:rPr>
          <w:sz w:val="20"/>
          <w:szCs w:val="20"/>
          <w:color w:val="auto"/>
        </w:rPr>
        <w:tab/>
      </w:r>
      <w:r>
        <w:rPr>
          <w:rFonts w:ascii="Courier New" w:cs="Courier New" w:eastAsia="Courier New" w:hAnsi="Courier New"/>
          <w:sz w:val="14"/>
          <w:szCs w:val="14"/>
          <w:color w:val="auto"/>
        </w:rPr>
        <w:t>Initial Purchasers as Qualified Institutional Buyers</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(f)</w:t>
      </w:r>
      <w:r>
        <w:rPr>
          <w:sz w:val="20"/>
          <w:szCs w:val="20"/>
          <w:color w:val="auto"/>
        </w:rPr>
        <w:tab/>
      </w:r>
      <w:r>
        <w:rPr>
          <w:rFonts w:ascii="Courier New" w:cs="Courier New" w:eastAsia="Courier New" w:hAnsi="Courier New"/>
          <w:sz w:val="14"/>
          <w:szCs w:val="14"/>
          <w:color w:val="auto"/>
        </w:rPr>
        <w:t>Resale of Securities</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3.</w:t>
      </w:r>
      <w:r>
        <w:rPr>
          <w:sz w:val="20"/>
          <w:szCs w:val="20"/>
          <w:color w:val="auto"/>
        </w:rPr>
        <w:tab/>
      </w:r>
      <w:r>
        <w:rPr>
          <w:rFonts w:ascii="Courier New" w:cs="Courier New" w:eastAsia="Courier New" w:hAnsi="Courier New"/>
          <w:sz w:val="14"/>
          <w:szCs w:val="14"/>
          <w:color w:val="auto"/>
        </w:rPr>
        <w:t>Additional Covenants</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Initial Purchasers' Review of Proposed Amendments and Supplements</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Amendments and Supplements to the Offering Memorandum and Other Securities Act Matters</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Copies of the Offering Memorandum</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Blue Sky Compliance</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(e)</w:t>
      </w:r>
      <w:r>
        <w:rPr>
          <w:sz w:val="20"/>
          <w:szCs w:val="20"/>
          <w:color w:val="auto"/>
        </w:rPr>
        <w:tab/>
      </w:r>
      <w:r>
        <w:rPr>
          <w:rFonts w:ascii="Courier New" w:cs="Courier New" w:eastAsia="Courier New" w:hAnsi="Courier New"/>
          <w:sz w:val="14"/>
          <w:szCs w:val="14"/>
          <w:color w:val="auto"/>
        </w:rPr>
        <w:t>Use of Proceeds</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(f)</w:t>
      </w:r>
      <w:r>
        <w:rPr>
          <w:sz w:val="20"/>
          <w:szCs w:val="20"/>
          <w:color w:val="auto"/>
        </w:rPr>
        <w:tab/>
      </w:r>
      <w:r>
        <w:rPr>
          <w:rFonts w:ascii="Courier New" w:cs="Courier New" w:eastAsia="Courier New" w:hAnsi="Courier New"/>
          <w:sz w:val="14"/>
          <w:szCs w:val="14"/>
          <w:color w:val="auto"/>
        </w:rPr>
        <w:t>The Depositary</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(g)</w:t>
      </w:r>
      <w:r>
        <w:rPr>
          <w:sz w:val="20"/>
          <w:szCs w:val="20"/>
          <w:color w:val="auto"/>
        </w:rPr>
        <w:tab/>
      </w:r>
      <w:r>
        <w:rPr>
          <w:rFonts w:ascii="Courier New" w:cs="Courier New" w:eastAsia="Courier New" w:hAnsi="Courier New"/>
          <w:sz w:val="14"/>
          <w:szCs w:val="14"/>
          <w:color w:val="auto"/>
        </w:rPr>
        <w:t>Additional Issuer Information</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(h)</w:t>
      </w:r>
      <w:r>
        <w:rPr>
          <w:sz w:val="20"/>
          <w:szCs w:val="20"/>
          <w:color w:val="auto"/>
        </w:rPr>
        <w:tab/>
      </w:r>
      <w:r>
        <w:rPr>
          <w:rFonts w:ascii="Courier New" w:cs="Courier New" w:eastAsia="Courier New" w:hAnsi="Courier New"/>
          <w:sz w:val="14"/>
          <w:szCs w:val="14"/>
          <w:color w:val="auto"/>
        </w:rPr>
        <w:t>Future Reports to the Initial Purchasers</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(i)</w:t>
      </w:r>
      <w:r>
        <w:rPr>
          <w:sz w:val="20"/>
          <w:szCs w:val="20"/>
          <w:color w:val="auto"/>
        </w:rPr>
        <w:tab/>
      </w:r>
      <w:r>
        <w:rPr>
          <w:rFonts w:ascii="Courier New" w:cs="Courier New" w:eastAsia="Courier New" w:hAnsi="Courier New"/>
          <w:sz w:val="14"/>
          <w:szCs w:val="14"/>
          <w:color w:val="auto"/>
        </w:rPr>
        <w:t>No Integration</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(j)</w:t>
      </w:r>
      <w:r>
        <w:rPr>
          <w:sz w:val="20"/>
          <w:szCs w:val="20"/>
          <w:color w:val="auto"/>
        </w:rPr>
        <w:tab/>
      </w:r>
      <w:r>
        <w:rPr>
          <w:rFonts w:ascii="Courier New" w:cs="Courier New" w:eastAsia="Courier New" w:hAnsi="Courier New"/>
          <w:sz w:val="14"/>
          <w:szCs w:val="14"/>
          <w:color w:val="auto"/>
        </w:rPr>
        <w:t>Legended Securities</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(k)</w:t>
      </w:r>
      <w:r>
        <w:rPr>
          <w:sz w:val="20"/>
          <w:szCs w:val="20"/>
          <w:color w:val="auto"/>
        </w:rPr>
        <w:tab/>
      </w:r>
      <w:r>
        <w:rPr>
          <w:rFonts w:ascii="Courier New" w:cs="Courier New" w:eastAsia="Courier New" w:hAnsi="Courier New"/>
          <w:sz w:val="14"/>
          <w:szCs w:val="14"/>
          <w:color w:val="auto"/>
        </w:rPr>
        <w:t>PORTAL</w:t>
      </w:r>
      <w:r>
        <w:rPr>
          <w:sz w:val="20"/>
          <w:szCs w:val="20"/>
          <w:color w:val="auto"/>
        </w:rPr>
        <w:tab/>
      </w:r>
      <w:r>
        <w:rPr>
          <w:rFonts w:ascii="Courier New" w:cs="Courier New" w:eastAsia="Courier New" w:hAnsi="Courier New"/>
          <w:sz w:val="14"/>
          <w:szCs w:val="14"/>
          <w:color w:val="auto"/>
        </w:rPr>
        <w:t>13</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4.</w:t>
      </w:r>
      <w:r>
        <w:rPr>
          <w:sz w:val="20"/>
          <w:szCs w:val="20"/>
          <w:color w:val="auto"/>
        </w:rPr>
        <w:tab/>
      </w:r>
      <w:r>
        <w:rPr>
          <w:rFonts w:ascii="Courier New" w:cs="Courier New" w:eastAsia="Courier New" w:hAnsi="Courier New"/>
          <w:sz w:val="14"/>
          <w:szCs w:val="14"/>
          <w:color w:val="auto"/>
        </w:rPr>
        <w:t>Payment of Expenses</w:t>
      </w:r>
      <w:r>
        <w:rPr>
          <w:sz w:val="20"/>
          <w:szCs w:val="20"/>
          <w:color w:val="auto"/>
        </w:rPr>
        <w:tab/>
      </w: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20" w:right="1440" w:bottom="1440" w:gutter="0" w:footer="0" w:header="0"/>
        </w:sectPr>
      </w:pPr>
    </w:p>
    <w:bookmarkStart w:id="235" w:name="page236"/>
    <w:bookmarkEnd w:id="235"/>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5.</w:t>
      </w:r>
      <w:r>
        <w:rPr>
          <w:sz w:val="20"/>
          <w:szCs w:val="20"/>
          <w:color w:val="auto"/>
        </w:rPr>
        <w:tab/>
      </w:r>
      <w:r>
        <w:rPr>
          <w:rFonts w:ascii="Courier New" w:cs="Courier New" w:eastAsia="Courier New" w:hAnsi="Courier New"/>
          <w:sz w:val="14"/>
          <w:szCs w:val="14"/>
          <w:color w:val="auto"/>
        </w:rPr>
        <w:t>Conditions of the Obligations of the Initial Purchasers</w:t>
      </w:r>
      <w:r>
        <w:rPr>
          <w:sz w:val="20"/>
          <w:szCs w:val="20"/>
          <w:color w:val="auto"/>
        </w:rPr>
        <w:tab/>
      </w:r>
      <w:r>
        <w:rPr>
          <w:rFonts w:ascii="Courier New" w:cs="Courier New" w:eastAsia="Courier New" w:hAnsi="Courier New"/>
          <w:sz w:val="14"/>
          <w:szCs w:val="14"/>
          <w:color w:val="auto"/>
        </w:rPr>
        <w:t>14</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Accountants' Comfort Letter</w:t>
      </w:r>
      <w:r>
        <w:rPr>
          <w:sz w:val="20"/>
          <w:szCs w:val="20"/>
          <w:color w:val="auto"/>
        </w:rPr>
        <w:tab/>
      </w:r>
      <w:r>
        <w:rPr>
          <w:rFonts w:ascii="Courier New" w:cs="Courier New" w:eastAsia="Courier New" w:hAnsi="Courier New"/>
          <w:sz w:val="14"/>
          <w:szCs w:val="14"/>
          <w:color w:val="auto"/>
        </w:rPr>
        <w:t>14</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No Material Adverse Change or Ratings Agency Change</w:t>
      </w:r>
      <w:r>
        <w:rPr>
          <w:sz w:val="20"/>
          <w:szCs w:val="20"/>
          <w:color w:val="auto"/>
        </w:rPr>
        <w:tab/>
      </w:r>
      <w:r>
        <w:rPr>
          <w:rFonts w:ascii="Courier New" w:cs="Courier New" w:eastAsia="Courier New" w:hAnsi="Courier New"/>
          <w:sz w:val="14"/>
          <w:szCs w:val="14"/>
          <w:color w:val="auto"/>
        </w:rPr>
        <w:t>15</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Opinion of Counsel for the Company</w:t>
      </w:r>
      <w:r>
        <w:rPr>
          <w:sz w:val="20"/>
          <w:szCs w:val="20"/>
          <w:color w:val="auto"/>
        </w:rPr>
        <w:tab/>
      </w:r>
      <w:r>
        <w:rPr>
          <w:rFonts w:ascii="Courier New" w:cs="Courier New" w:eastAsia="Courier New" w:hAnsi="Courier New"/>
          <w:sz w:val="14"/>
          <w:szCs w:val="14"/>
          <w:color w:val="auto"/>
        </w:rPr>
        <w:t>15</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Opinion of Regulatory Counsel for the Company</w:t>
      </w:r>
      <w:r>
        <w:rPr>
          <w:sz w:val="20"/>
          <w:szCs w:val="20"/>
          <w:color w:val="auto"/>
        </w:rPr>
        <w:tab/>
      </w:r>
      <w:r>
        <w:rPr>
          <w:rFonts w:ascii="Courier New" w:cs="Courier New" w:eastAsia="Courier New" w:hAnsi="Courier New"/>
          <w:sz w:val="14"/>
          <w:szCs w:val="14"/>
          <w:color w:val="auto"/>
        </w:rPr>
        <w:t>15</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(e)</w:t>
      </w:r>
      <w:r>
        <w:rPr>
          <w:sz w:val="20"/>
          <w:szCs w:val="20"/>
          <w:color w:val="auto"/>
        </w:rPr>
        <w:tab/>
      </w:r>
      <w:r>
        <w:rPr>
          <w:rFonts w:ascii="Courier New" w:cs="Courier New" w:eastAsia="Courier New" w:hAnsi="Courier New"/>
          <w:sz w:val="14"/>
          <w:szCs w:val="14"/>
          <w:color w:val="auto"/>
        </w:rPr>
        <w:t>Opinion of Counsel for the Initial Purchasers</w:t>
      </w:r>
      <w:r>
        <w:rPr>
          <w:sz w:val="20"/>
          <w:szCs w:val="20"/>
          <w:color w:val="auto"/>
        </w:rPr>
        <w:tab/>
      </w:r>
      <w:r>
        <w:rPr>
          <w:rFonts w:ascii="Courier New" w:cs="Courier New" w:eastAsia="Courier New" w:hAnsi="Courier New"/>
          <w:sz w:val="14"/>
          <w:szCs w:val="14"/>
          <w:color w:val="auto"/>
        </w:rPr>
        <w:t>15</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(f)</w:t>
      </w:r>
      <w:r>
        <w:rPr>
          <w:sz w:val="20"/>
          <w:szCs w:val="20"/>
          <w:color w:val="auto"/>
        </w:rPr>
        <w:tab/>
      </w:r>
      <w:r>
        <w:rPr>
          <w:rFonts w:ascii="Courier New" w:cs="Courier New" w:eastAsia="Courier New" w:hAnsi="Courier New"/>
          <w:sz w:val="14"/>
          <w:szCs w:val="14"/>
          <w:color w:val="auto"/>
        </w:rPr>
        <w:t>Officers' Certificate</w:t>
      </w:r>
      <w:r>
        <w:rPr>
          <w:sz w:val="20"/>
          <w:szCs w:val="20"/>
          <w:color w:val="auto"/>
        </w:rPr>
        <w:tab/>
      </w:r>
      <w:r>
        <w:rPr>
          <w:rFonts w:ascii="Courier New" w:cs="Courier New" w:eastAsia="Courier New" w:hAnsi="Courier New"/>
          <w:sz w:val="14"/>
          <w:szCs w:val="14"/>
          <w:color w:val="auto"/>
        </w:rPr>
        <w:t>15</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(g)</w:t>
      </w:r>
      <w:r>
        <w:rPr>
          <w:sz w:val="20"/>
          <w:szCs w:val="20"/>
          <w:color w:val="auto"/>
        </w:rPr>
        <w:tab/>
      </w:r>
      <w:r>
        <w:rPr>
          <w:rFonts w:ascii="Courier New" w:cs="Courier New" w:eastAsia="Courier New" w:hAnsi="Courier New"/>
          <w:sz w:val="14"/>
          <w:szCs w:val="14"/>
          <w:color w:val="auto"/>
        </w:rPr>
        <w:t>Bring-down Comfort Letter</w:t>
      </w:r>
      <w:r>
        <w:rPr>
          <w:sz w:val="20"/>
          <w:szCs w:val="20"/>
          <w:color w:val="auto"/>
        </w:rPr>
        <w:tab/>
      </w:r>
      <w:r>
        <w:rPr>
          <w:rFonts w:ascii="Courier New" w:cs="Courier New" w:eastAsia="Courier New" w:hAnsi="Courier New"/>
          <w:sz w:val="14"/>
          <w:szCs w:val="14"/>
          <w:color w:val="auto"/>
        </w:rPr>
        <w:t>16</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(h)</w:t>
      </w:r>
      <w:r>
        <w:rPr>
          <w:sz w:val="20"/>
          <w:szCs w:val="20"/>
          <w:color w:val="auto"/>
        </w:rPr>
        <w:tab/>
      </w:r>
      <w:r>
        <w:rPr>
          <w:rFonts w:ascii="Courier New" w:cs="Courier New" w:eastAsia="Courier New" w:hAnsi="Courier New"/>
          <w:sz w:val="14"/>
          <w:szCs w:val="14"/>
          <w:color w:val="auto"/>
        </w:rPr>
        <w:t>PORTAL Listing</w:t>
      </w:r>
      <w:r>
        <w:rPr>
          <w:sz w:val="20"/>
          <w:szCs w:val="20"/>
          <w:color w:val="auto"/>
        </w:rPr>
        <w:tab/>
      </w:r>
      <w:r>
        <w:rPr>
          <w:rFonts w:ascii="Courier New" w:cs="Courier New" w:eastAsia="Courier New" w:hAnsi="Courier New"/>
          <w:sz w:val="14"/>
          <w:szCs w:val="14"/>
          <w:color w:val="auto"/>
        </w:rPr>
        <w:t>16</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(i)</w:t>
      </w:r>
      <w:r>
        <w:rPr>
          <w:sz w:val="20"/>
          <w:szCs w:val="20"/>
          <w:color w:val="auto"/>
        </w:rPr>
        <w:tab/>
      </w:r>
      <w:r>
        <w:rPr>
          <w:rFonts w:ascii="Courier New" w:cs="Courier New" w:eastAsia="Courier New" w:hAnsi="Courier New"/>
          <w:sz w:val="14"/>
          <w:szCs w:val="14"/>
          <w:color w:val="auto"/>
        </w:rPr>
        <w:t>Registration Rights Agreement</w:t>
      </w:r>
      <w:r>
        <w:rPr>
          <w:sz w:val="20"/>
          <w:szCs w:val="20"/>
          <w:color w:val="auto"/>
        </w:rPr>
        <w:tab/>
      </w:r>
      <w:r>
        <w:rPr>
          <w:rFonts w:ascii="Courier New" w:cs="Courier New" w:eastAsia="Courier New" w:hAnsi="Courier New"/>
          <w:sz w:val="14"/>
          <w:szCs w:val="14"/>
          <w:color w:val="auto"/>
        </w:rPr>
        <w:t>16</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(j)</w:t>
      </w:r>
      <w:r>
        <w:rPr>
          <w:sz w:val="20"/>
          <w:szCs w:val="20"/>
          <w:color w:val="auto"/>
        </w:rPr>
        <w:tab/>
      </w:r>
      <w:r>
        <w:rPr>
          <w:rFonts w:ascii="Courier New" w:cs="Courier New" w:eastAsia="Courier New" w:hAnsi="Courier New"/>
          <w:sz w:val="14"/>
          <w:szCs w:val="14"/>
          <w:color w:val="auto"/>
        </w:rPr>
        <w:t>Indenture</w:t>
      </w:r>
      <w:r>
        <w:rPr>
          <w:sz w:val="20"/>
          <w:szCs w:val="20"/>
          <w:color w:val="auto"/>
        </w:rPr>
        <w:tab/>
      </w:r>
      <w:r>
        <w:rPr>
          <w:rFonts w:ascii="Courier New" w:cs="Courier New" w:eastAsia="Courier New" w:hAnsi="Courier New"/>
          <w:sz w:val="14"/>
          <w:szCs w:val="14"/>
          <w:color w:val="auto"/>
        </w:rPr>
        <w:t>16</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(k)</w:t>
      </w:r>
      <w:r>
        <w:rPr>
          <w:sz w:val="20"/>
          <w:szCs w:val="20"/>
          <w:color w:val="auto"/>
        </w:rPr>
        <w:tab/>
      </w:r>
      <w:r>
        <w:rPr>
          <w:rFonts w:ascii="Courier New" w:cs="Courier New" w:eastAsia="Courier New" w:hAnsi="Courier New"/>
          <w:sz w:val="14"/>
          <w:szCs w:val="14"/>
          <w:color w:val="auto"/>
        </w:rPr>
        <w:t>Additional Documents</w:t>
      </w:r>
      <w:r>
        <w:rPr>
          <w:sz w:val="20"/>
          <w:szCs w:val="20"/>
          <w:color w:val="auto"/>
        </w:rPr>
        <w:tab/>
      </w:r>
      <w:r>
        <w:rPr>
          <w:rFonts w:ascii="Courier New" w:cs="Courier New" w:eastAsia="Courier New" w:hAnsi="Courier New"/>
          <w:sz w:val="14"/>
          <w:szCs w:val="14"/>
          <w:color w:val="auto"/>
        </w:rPr>
        <w:t>16</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6.</w:t>
      </w:r>
      <w:r>
        <w:rPr>
          <w:sz w:val="20"/>
          <w:szCs w:val="20"/>
          <w:color w:val="auto"/>
        </w:rPr>
        <w:tab/>
      </w:r>
      <w:r>
        <w:rPr>
          <w:rFonts w:ascii="Courier New" w:cs="Courier New" w:eastAsia="Courier New" w:hAnsi="Courier New"/>
          <w:sz w:val="14"/>
          <w:szCs w:val="14"/>
          <w:color w:val="auto"/>
        </w:rPr>
        <w:t>Reimbursement of Initial Purchasers' Expenses</w:t>
      </w:r>
      <w:r>
        <w:rPr>
          <w:sz w:val="20"/>
          <w:szCs w:val="20"/>
          <w:color w:val="auto"/>
        </w:rPr>
        <w:tab/>
      </w:r>
      <w:r>
        <w:rPr>
          <w:rFonts w:ascii="Courier New" w:cs="Courier New" w:eastAsia="Courier New" w:hAnsi="Courier New"/>
          <w:sz w:val="14"/>
          <w:szCs w:val="14"/>
          <w:color w:val="auto"/>
        </w:rPr>
        <w:t>16</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7.</w:t>
      </w:r>
      <w:r>
        <w:rPr>
          <w:sz w:val="20"/>
          <w:szCs w:val="20"/>
          <w:color w:val="auto"/>
        </w:rPr>
        <w:tab/>
      </w:r>
      <w:r>
        <w:rPr>
          <w:rFonts w:ascii="Courier New" w:cs="Courier New" w:eastAsia="Courier New" w:hAnsi="Courier New"/>
          <w:sz w:val="14"/>
          <w:szCs w:val="14"/>
          <w:color w:val="auto"/>
        </w:rPr>
        <w:t>Offer, Sale and Resale Procedures</w:t>
      </w:r>
      <w:r>
        <w:rPr>
          <w:sz w:val="20"/>
          <w:szCs w:val="20"/>
          <w:color w:val="auto"/>
        </w:rPr>
        <w:tab/>
      </w:r>
      <w:r>
        <w:rPr>
          <w:rFonts w:ascii="Courier New" w:cs="Courier New" w:eastAsia="Courier New" w:hAnsi="Courier New"/>
          <w:sz w:val="14"/>
          <w:szCs w:val="14"/>
          <w:color w:val="auto"/>
        </w:rPr>
        <w:t>16</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8.</w:t>
      </w:r>
      <w:r>
        <w:rPr>
          <w:sz w:val="20"/>
          <w:szCs w:val="20"/>
          <w:color w:val="auto"/>
        </w:rPr>
        <w:tab/>
      </w:r>
      <w:r>
        <w:rPr>
          <w:rFonts w:ascii="Courier New" w:cs="Courier New" w:eastAsia="Courier New" w:hAnsi="Courier New"/>
          <w:sz w:val="14"/>
          <w:szCs w:val="14"/>
          <w:color w:val="auto"/>
        </w:rPr>
        <w:t>Indemnification</w:t>
      </w:r>
      <w:r>
        <w:rPr>
          <w:sz w:val="20"/>
          <w:szCs w:val="20"/>
          <w:color w:val="auto"/>
        </w:rPr>
        <w:tab/>
      </w:r>
      <w:r>
        <w:rPr>
          <w:rFonts w:ascii="Courier New" w:cs="Courier New" w:eastAsia="Courier New" w:hAnsi="Courier New"/>
          <w:sz w:val="14"/>
          <w:szCs w:val="14"/>
          <w:color w:val="auto"/>
        </w:rPr>
        <w:t>17</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Indemnification of the Initial Purchasers</w:t>
      </w:r>
      <w:r>
        <w:rPr>
          <w:sz w:val="20"/>
          <w:szCs w:val="20"/>
          <w:color w:val="auto"/>
        </w:rPr>
        <w:tab/>
      </w:r>
      <w:r>
        <w:rPr>
          <w:rFonts w:ascii="Courier New" w:cs="Courier New" w:eastAsia="Courier New" w:hAnsi="Courier New"/>
          <w:sz w:val="14"/>
          <w:szCs w:val="14"/>
          <w:color w:val="auto"/>
        </w:rPr>
        <w:t>18</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Indemnification of the Company, its Directors and Officers</w:t>
      </w:r>
      <w:r>
        <w:rPr>
          <w:sz w:val="20"/>
          <w:szCs w:val="20"/>
          <w:color w:val="auto"/>
        </w:rPr>
        <w:tab/>
      </w:r>
      <w:r>
        <w:rPr>
          <w:rFonts w:ascii="Courier New" w:cs="Courier New" w:eastAsia="Courier New" w:hAnsi="Courier New"/>
          <w:sz w:val="14"/>
          <w:szCs w:val="14"/>
          <w:color w:val="auto"/>
        </w:rPr>
        <w:t>18</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(c)</w:t>
      </w:r>
      <w:r>
        <w:rPr>
          <w:sz w:val="20"/>
          <w:szCs w:val="20"/>
          <w:color w:val="auto"/>
        </w:rPr>
        <w:tab/>
      </w:r>
      <w:r>
        <w:rPr>
          <w:rFonts w:ascii="Courier New" w:cs="Courier New" w:eastAsia="Courier New" w:hAnsi="Courier New"/>
          <w:sz w:val="14"/>
          <w:szCs w:val="14"/>
          <w:color w:val="auto"/>
        </w:rPr>
        <w:t>Notifications and Other Indemnification Procedures</w:t>
      </w:r>
      <w:r>
        <w:rPr>
          <w:sz w:val="20"/>
          <w:szCs w:val="20"/>
          <w:color w:val="auto"/>
        </w:rPr>
        <w:tab/>
      </w:r>
      <w:r>
        <w:rPr>
          <w:rFonts w:ascii="Courier New" w:cs="Courier New" w:eastAsia="Courier New" w:hAnsi="Courier New"/>
          <w:sz w:val="14"/>
          <w:szCs w:val="14"/>
          <w:color w:val="auto"/>
        </w:rPr>
        <w:t>19</w:t>
      </w:r>
    </w:p>
    <w:p>
      <w:pPr>
        <w:spacing w:after="0" w:line="8" w:lineRule="exact"/>
        <w:rPr>
          <w:sz w:val="20"/>
          <w:szCs w:val="20"/>
          <w:color w:val="auto"/>
        </w:rPr>
      </w:pPr>
    </w:p>
    <w:p>
      <w:pPr>
        <w:ind w:left="100"/>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Settlements</w:t>
      </w:r>
      <w:r>
        <w:rPr>
          <w:sz w:val="20"/>
          <w:szCs w:val="20"/>
          <w:color w:val="auto"/>
        </w:rPr>
        <w:tab/>
      </w:r>
      <w:r>
        <w:rPr>
          <w:rFonts w:ascii="Courier New" w:cs="Courier New" w:eastAsia="Courier New" w:hAnsi="Courier New"/>
          <w:sz w:val="14"/>
          <w:szCs w:val="14"/>
          <w:color w:val="auto"/>
        </w:rPr>
        <w:t>20</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9.</w:t>
      </w:r>
      <w:r>
        <w:rPr>
          <w:sz w:val="20"/>
          <w:szCs w:val="20"/>
          <w:color w:val="auto"/>
        </w:rPr>
        <w:tab/>
      </w:r>
      <w:r>
        <w:rPr>
          <w:rFonts w:ascii="Courier New" w:cs="Courier New" w:eastAsia="Courier New" w:hAnsi="Courier New"/>
          <w:sz w:val="14"/>
          <w:szCs w:val="14"/>
          <w:color w:val="auto"/>
        </w:rPr>
        <w:t>Contribution</w:t>
      </w:r>
      <w:r>
        <w:rPr>
          <w:sz w:val="20"/>
          <w:szCs w:val="20"/>
          <w:color w:val="auto"/>
        </w:rPr>
        <w:tab/>
      </w:r>
      <w:r>
        <w:rPr>
          <w:rFonts w:ascii="Courier New" w:cs="Courier New" w:eastAsia="Courier New" w:hAnsi="Courier New"/>
          <w:sz w:val="14"/>
          <w:szCs w:val="14"/>
          <w:color w:val="auto"/>
        </w:rPr>
        <w:t>20</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10.</w:t>
      </w:r>
      <w:r>
        <w:rPr>
          <w:sz w:val="20"/>
          <w:szCs w:val="20"/>
          <w:color w:val="auto"/>
        </w:rPr>
        <w:tab/>
      </w:r>
      <w:r>
        <w:rPr>
          <w:rFonts w:ascii="Courier New" w:cs="Courier New" w:eastAsia="Courier New" w:hAnsi="Courier New"/>
          <w:sz w:val="14"/>
          <w:szCs w:val="14"/>
          <w:color w:val="auto"/>
        </w:rPr>
        <w:t>Termination of this Agreement</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11.</w:t>
      </w:r>
      <w:r>
        <w:rPr>
          <w:sz w:val="20"/>
          <w:szCs w:val="20"/>
          <w:color w:val="auto"/>
        </w:rPr>
        <w:tab/>
      </w:r>
      <w:r>
        <w:rPr>
          <w:rFonts w:ascii="Courier New" w:cs="Courier New" w:eastAsia="Courier New" w:hAnsi="Courier New"/>
          <w:sz w:val="14"/>
          <w:szCs w:val="14"/>
          <w:color w:val="auto"/>
        </w:rPr>
        <w:t>Representations and Indemnities to Survive Delivery</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12.</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13.</w:t>
      </w:r>
      <w:r>
        <w:rPr>
          <w:sz w:val="20"/>
          <w:szCs w:val="20"/>
          <w:color w:val="auto"/>
        </w:rPr>
        <w:tab/>
      </w:r>
      <w:r>
        <w:rPr>
          <w:rFonts w:ascii="Courier New" w:cs="Courier New" w:eastAsia="Courier New" w:hAnsi="Courier New"/>
          <w:sz w:val="14"/>
          <w:szCs w:val="14"/>
          <w:color w:val="auto"/>
        </w:rPr>
        <w:t>Successors</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14.</w:t>
      </w:r>
      <w:r>
        <w:rPr>
          <w:sz w:val="20"/>
          <w:szCs w:val="20"/>
          <w:color w:val="auto"/>
        </w:rPr>
        <w:tab/>
      </w:r>
      <w:r>
        <w:rPr>
          <w:rFonts w:ascii="Courier New" w:cs="Courier New" w:eastAsia="Courier New" w:hAnsi="Courier New"/>
          <w:sz w:val="14"/>
          <w:szCs w:val="14"/>
          <w:color w:val="auto"/>
        </w:rPr>
        <w:t>Partial Unenforceability</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15.</w:t>
      </w:r>
      <w:r>
        <w:rPr>
          <w:sz w:val="20"/>
          <w:szCs w:val="20"/>
          <w:color w:val="auto"/>
        </w:rPr>
        <w:tab/>
      </w:r>
      <w:r>
        <w:rPr>
          <w:rFonts w:ascii="Courier New" w:cs="Courier New" w:eastAsia="Courier New" w:hAnsi="Courier New"/>
          <w:sz w:val="14"/>
          <w:szCs w:val="14"/>
          <w:color w:val="auto"/>
        </w:rPr>
        <w:t>Governing Law Provisions</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16.</w:t>
      </w:r>
      <w:r>
        <w:rPr>
          <w:sz w:val="20"/>
          <w:szCs w:val="20"/>
          <w:color w:val="auto"/>
        </w:rPr>
        <w:tab/>
      </w:r>
      <w:r>
        <w:rPr>
          <w:rFonts w:ascii="Courier New" w:cs="Courier New" w:eastAsia="Courier New" w:hAnsi="Courier New"/>
          <w:sz w:val="14"/>
          <w:szCs w:val="14"/>
          <w:color w:val="auto"/>
        </w:rPr>
        <w:t>Consent to Jurisdiction</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17.</w:t>
      </w:r>
      <w:r>
        <w:rPr>
          <w:sz w:val="20"/>
          <w:szCs w:val="20"/>
          <w:color w:val="auto"/>
        </w:rPr>
        <w:tab/>
      </w:r>
      <w:r>
        <w:rPr>
          <w:rFonts w:ascii="Courier New" w:cs="Courier New" w:eastAsia="Courier New" w:hAnsi="Courier New"/>
          <w:sz w:val="14"/>
          <w:szCs w:val="14"/>
          <w:color w:val="auto"/>
        </w:rPr>
        <w:t>Default of One or More of the Several Initial Purchasers</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spacing w:after="0"/>
        <w:tabs>
          <w:tab w:leader="none" w:pos="1300" w:val="left"/>
          <w:tab w:leader="dot" w:pos="9360" w:val="left"/>
        </w:tabs>
        <w:rPr>
          <w:sz w:val="20"/>
          <w:szCs w:val="20"/>
          <w:color w:val="auto"/>
        </w:rPr>
      </w:pPr>
      <w:r>
        <w:rPr>
          <w:rFonts w:ascii="Courier New" w:cs="Courier New" w:eastAsia="Courier New" w:hAnsi="Courier New"/>
          <w:sz w:val="14"/>
          <w:szCs w:val="14"/>
          <w:color w:val="auto"/>
        </w:rPr>
        <w:t>SECTION 18.</w:t>
      </w:r>
      <w:r>
        <w:rPr>
          <w:sz w:val="20"/>
          <w:szCs w:val="20"/>
          <w:color w:val="auto"/>
        </w:rPr>
        <w:tab/>
      </w:r>
      <w:r>
        <w:rPr>
          <w:rFonts w:ascii="Courier New" w:cs="Courier New" w:eastAsia="Courier New" w:hAnsi="Courier New"/>
          <w:sz w:val="14"/>
          <w:szCs w:val="14"/>
          <w:color w:val="auto"/>
        </w:rPr>
        <w:t>General Provisions</w:t>
      </w:r>
      <w:r>
        <w:rPr>
          <w:sz w:val="20"/>
          <w:szCs w:val="20"/>
          <w:color w:val="auto"/>
        </w:rPr>
        <w:tab/>
      </w:r>
      <w:r>
        <w:rPr>
          <w:rFonts w:ascii="Courier New" w:cs="Courier New" w:eastAsia="Courier New" w:hAnsi="Courier New"/>
          <w:sz w:val="14"/>
          <w:szCs w:val="14"/>
          <w:color w:val="auto"/>
        </w:rPr>
        <w:t>24</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954" w:right="1440" w:bottom="1440" w:gutter="0" w:footer="0" w:header="0"/>
        </w:sectPr>
      </w:pPr>
    </w:p>
    <w:bookmarkStart w:id="236" w:name="page237"/>
    <w:bookmarkEnd w:id="236"/>
    <w:p>
      <w:pPr>
        <w:ind w:left="2620"/>
        <w:spacing w:after="0"/>
        <w:rPr>
          <w:sz w:val="20"/>
          <w:szCs w:val="20"/>
          <w:color w:val="auto"/>
        </w:rPr>
      </w:pPr>
      <w:r>
        <w:rPr>
          <w:rFonts w:ascii="Courier New" w:cs="Courier New" w:eastAsia="Courier New" w:hAnsi="Courier New"/>
          <w:sz w:val="14"/>
          <w:szCs w:val="14"/>
          <w:color w:val="auto"/>
        </w:rPr>
        <w:t>Purchase Agreement</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May 4,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 OF AMERICA SECURITIES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 FIRST BOSTON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DEUTSCHE BANK ALEX. BROWN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BLAYLOCK &amp; PARTNERS,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UNION SECURITIES,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STANLEY &amp; CO.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TD SECURITIES (USA)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BANC OF AMERICA SECURITIES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West 57th Street, 31st Floor</w:t>
      </w:r>
    </w:p>
    <w:p>
      <w:pPr>
        <w:spacing w:after="0" w:line="8"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New York, New York</w:t>
        <w:tab/>
        <w:t>10019</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as representatives of the several initial purchasers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Radio One, Inc., a Delaware corporation (the "Company"), proposes to</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 and sell to the several Initial Purchasers named in Schedule I (the</w:t>
      </w:r>
    </w:p>
    <w:p>
      <w:pPr>
        <w:spacing w:after="0" w:line="8"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 Purchasers"), acting severally and not jointly, the respective amounts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 forth in such Schedule I of the Company's 8 7/8% Senior Subordinated Notes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2011 (the "Notes"). Banc of America Securities LLC has agreed to act as the</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lead Initial Purchaser in connection with the offering and sale of the Notes.</w:t>
      </w:r>
    </w:p>
    <w:p>
      <w:pPr>
        <w:spacing w:after="0" w:line="175" w:lineRule="exact"/>
        <w:rPr>
          <w:sz w:val="20"/>
          <w:szCs w:val="20"/>
          <w:color w:val="auto"/>
        </w:rPr>
      </w:pPr>
    </w:p>
    <w:p>
      <w:pPr>
        <w:ind w:right="3279" w:firstLine="868"/>
        <w:spacing w:after="0" w:line="252" w:lineRule="auto"/>
        <w:rPr>
          <w:sz w:val="20"/>
          <w:szCs w:val="20"/>
          <w:color w:val="auto"/>
        </w:rPr>
      </w:pPr>
      <w:r>
        <w:rPr>
          <w:rFonts w:ascii="Courier New" w:cs="Courier New" w:eastAsia="Courier New" w:hAnsi="Courier New"/>
          <w:sz w:val="14"/>
          <w:szCs w:val="14"/>
          <w:color w:val="auto"/>
        </w:rPr>
        <w:t>The Notes will be issued pursuant to an indenture, dated as of May 18, 2001 (the "Indenture"), among the Company, the Guarantors (as defined below) and</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4"/>
          <w:szCs w:val="14"/>
          <w:color w:val="auto"/>
        </w:rPr>
        <w:t>United States Trust Company of New York, as trustee (the "Trustee").</w:t>
        <w:tab/>
        <w:t>Notes</w:t>
      </w:r>
    </w:p>
    <w:p>
      <w:pPr>
        <w:spacing w:after="0" w:line="8"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issued in book-entry form will be issued in the name of Cede &amp; Co., as nominee of The Depository Trust Company (the "Depositary").</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868"/>
        <w:spacing w:after="0" w:line="252" w:lineRule="auto"/>
        <w:rPr>
          <w:sz w:val="20"/>
          <w:szCs w:val="20"/>
          <w:color w:val="auto"/>
        </w:rPr>
      </w:pPr>
      <w:r>
        <w:rPr>
          <w:rFonts w:ascii="Courier New" w:cs="Courier New" w:eastAsia="Courier New" w:hAnsi="Courier New"/>
          <w:sz w:val="14"/>
          <w:szCs w:val="14"/>
          <w:color w:val="auto"/>
        </w:rPr>
        <w:t>The holders of the Notes will be entitled to the benefits of a registration rights agreement, dated as of May 4, 2001 (the "Registration Rights</w:t>
      </w:r>
    </w:p>
    <w:p>
      <w:pPr>
        <w:spacing w:after="0" w:line="1"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among the Company, the Guarantors (as defined below)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Initial Purchasers, pursuant to which the Company will agree to file, within 60 days of the Closing Date, a registration statement with the Commission registering the Exchange Securities (as defined below) under the Securities Act.</w:t>
      </w:r>
    </w:p>
    <w:p>
      <w:pPr>
        <w:spacing w:after="0" w:line="162" w:lineRule="exact"/>
        <w:rPr>
          <w:sz w:val="20"/>
          <w:szCs w:val="20"/>
          <w:color w:val="auto"/>
        </w:rPr>
      </w:pPr>
    </w:p>
    <w:p>
      <w:pPr>
        <w:ind w:right="3279" w:firstLine="868"/>
        <w:spacing w:after="0" w:line="252" w:lineRule="auto"/>
        <w:rPr>
          <w:sz w:val="20"/>
          <w:szCs w:val="20"/>
          <w:color w:val="auto"/>
        </w:rPr>
      </w:pPr>
      <w:r>
        <w:rPr>
          <w:rFonts w:ascii="Courier New" w:cs="Courier New" w:eastAsia="Courier New" w:hAnsi="Courier New"/>
          <w:sz w:val="14"/>
          <w:szCs w:val="14"/>
          <w:color w:val="auto"/>
        </w:rPr>
        <w:t>The payment of principal, premium and Liquidated Damages (as defined in the Indenture), if any, and interest on the Notes and the Exchange Notes (as defined below) will be fully and unconditionally guaranteed on a senior unsecured basis, jointly and severally by (i) the parties named in Schedule II and (ii) any subsidiary of the Company formed or acquired after the Closing Date that executes an additional guarantee in accordance with the terms of the Indenture, and their respective successors and assigns (collectively, the "Guarantors"), pursuant to their guarantees (the "Guarantees"). The Notes and</w:t>
      </w:r>
    </w:p>
    <w:p>
      <w:pPr>
        <w:spacing w:after="0" w:line="3"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Guarantees attached thereto are herein collectively referred to as the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the Exchange Notes and the Guarantees attached thereto are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 collectively referred to as the "Exchange Securities".</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bookmarkStart w:id="237" w:name="page238"/>
    <w:bookmarkEnd w:id="237"/>
    <w:p>
      <w:pPr>
        <w:ind w:right="3279" w:firstLine="868"/>
        <w:spacing w:after="0" w:line="252" w:lineRule="auto"/>
        <w:rPr>
          <w:sz w:val="20"/>
          <w:szCs w:val="20"/>
          <w:color w:val="auto"/>
        </w:rPr>
      </w:pPr>
      <w:r>
        <w:rPr>
          <w:rFonts w:ascii="Courier New" w:cs="Courier New" w:eastAsia="Courier New" w:hAnsi="Courier New"/>
          <w:sz w:val="14"/>
          <w:szCs w:val="14"/>
          <w:color w:val="auto"/>
        </w:rPr>
        <w:t>The Company understands that the Initial Purchasers propose to make an offering of the Securities on the terms and in the manner set forth herein and in the Offering Memorandum (as defined below) and agrees that the Initial Purchasers may resell, subject to the conditions set forth herein, all or a portion of the Securities to purchasers (the "Subsequent Purchasers") at any</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time after the date of this Agreement. The Securities are to be offered and sold to or through the Initial Purchasers without being registered with the Securities and Exchange Commission (the "Commission") under the Securities Act</w:t>
      </w:r>
    </w:p>
    <w:p>
      <w:pPr>
        <w:spacing w:after="0" w:line="1"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1933 (as amended, the "Securities Act," which term, as used herein, includes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rules and regulations of the Commission promulgated thereunder), in reliance upon exemptions therefrom. The terms of the Securities and the Indenture will require that investors that acquire Securities expressly agree that Securities may only be resold or otherwise transferred, after the date hereof, if such Securities are registered for sale under the Securities Act or if an exemption from the registration requirements of the Securities Act is available (including the exemptions afforded by Rule 144A ("Rule 144A") or Regulation S</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("Regulation S")</w:t>
        <w:tab/>
        <w:t>thereunder).</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799" w:firstLine="868"/>
        <w:spacing w:after="0" w:line="258" w:lineRule="auto"/>
        <w:rPr>
          <w:sz w:val="20"/>
          <w:szCs w:val="20"/>
          <w:color w:val="auto"/>
        </w:rPr>
      </w:pPr>
      <w:r>
        <w:rPr>
          <w:rFonts w:ascii="Courier New" w:cs="Courier New" w:eastAsia="Courier New" w:hAnsi="Courier New"/>
          <w:sz w:val="14"/>
          <w:szCs w:val="14"/>
          <w:color w:val="auto"/>
        </w:rPr>
        <w:t>The Company has prepared and delivered to each Initial Purchaser copies of a Preliminary Offering Memorandum, dated April 23, 2001 (the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"Preliminary Offering Memorandum"), and has prepared and will deliver to each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Initial Purchaser, copies of the Offering Memorandum, dated May 7, 2001, describing the terms of the Securities, each for use by such Initial Purchaser in connection with its solicitation of offers to purchase the Securities. As used herein, the "Offering Memorandum" shall mean, with respect to any date or</w:t>
      </w:r>
    </w:p>
    <w:p>
      <w:pPr>
        <w:spacing w:after="0" w:line="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time referred to in this Agreement, the Company's Offering Memorandum, dated May 7, 2001, including amendments or supplements thereto, any exhibits thereto, in the most recent form that has been prepared and delivered by the Company to the Initial Purchasers in connection with their solicitation of offers to purchase Securities. Further, any reference to the Preliminary Offering Memorandum or the Offering Memorandum shall be deemed to refer to and include any Additional Issuer Information (as defined in Section 3) furnished by the Company prior to the completion of the distribution of the Securities.</w:t>
      </w:r>
    </w:p>
    <w:p>
      <w:pPr>
        <w:spacing w:after="0" w:line="165" w:lineRule="exact"/>
        <w:rPr>
          <w:sz w:val="20"/>
          <w:szCs w:val="20"/>
          <w:color w:val="auto"/>
        </w:rPr>
      </w:pPr>
    </w:p>
    <w:p>
      <w:pPr>
        <w:ind w:right="3279" w:firstLine="868"/>
        <w:spacing w:after="0" w:line="258" w:lineRule="auto"/>
        <w:rPr>
          <w:sz w:val="20"/>
          <w:szCs w:val="20"/>
          <w:color w:val="auto"/>
        </w:rPr>
      </w:pPr>
      <w:r>
        <w:rPr>
          <w:rFonts w:ascii="Courier New" w:cs="Courier New" w:eastAsia="Courier New" w:hAnsi="Courier New"/>
          <w:sz w:val="14"/>
          <w:szCs w:val="14"/>
          <w:color w:val="auto"/>
        </w:rPr>
        <w:t>The Company and each of the Guarantors hereby confirm their agreements with the Initial Purchasers as follows:</w:t>
      </w:r>
    </w:p>
    <w:p>
      <w:pPr>
        <w:spacing w:after="0" w:line="160" w:lineRule="exact"/>
        <w:rPr>
          <w:sz w:val="20"/>
          <w:szCs w:val="20"/>
          <w:color w:val="auto"/>
        </w:rPr>
      </w:pPr>
    </w:p>
    <w:p>
      <w:pPr>
        <w:spacing w:after="0"/>
        <w:tabs>
          <w:tab w:leader="none" w:pos="1040" w:val="left"/>
          <w:tab w:leader="none" w:pos="3900" w:val="left"/>
          <w:tab w:leader="none" w:pos="5720" w:val="left"/>
        </w:tabs>
        <w:rPr>
          <w:sz w:val="20"/>
          <w:szCs w:val="20"/>
          <w:color w:val="auto"/>
        </w:rPr>
      </w:pPr>
      <w:r>
        <w:rPr>
          <w:rFonts w:ascii="Courier New" w:cs="Courier New" w:eastAsia="Courier New" w:hAnsi="Courier New"/>
          <w:sz w:val="14"/>
          <w:szCs w:val="14"/>
          <w:color w:val="auto"/>
        </w:rPr>
        <w:t>SECTION 1.</w:t>
        <w:tab/>
        <w:t>Representations and Warranties.</w:t>
        <w:tab/>
        <w:t>Each of the Company</w:t>
        <w:tab/>
        <w:t>and the</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Guarantors, jointly and severally, hereby represent, warrant and covenant to each Initial Purchaser as follows:</w:t>
      </w:r>
    </w:p>
    <w:p>
      <w:pPr>
        <w:spacing w:after="0" w:line="160" w:lineRule="exact"/>
        <w:rPr>
          <w:sz w:val="20"/>
          <w:szCs w:val="20"/>
          <w:color w:val="auto"/>
        </w:rPr>
      </w:pPr>
    </w:p>
    <w:p>
      <w:pPr>
        <w:ind w:left="1140" w:hanging="437"/>
        <w:spacing w:after="0"/>
        <w:tabs>
          <w:tab w:leader="none" w:pos="114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Registration Required.  Subject to compliance by the Initial</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Purchasers with the representations and warranties set forth in Section 2 hereof and with the procedures set forth in Section 7 hereof, it is not necessary in connection with the offer, sale and delivery of the Securities to the Initial Purchasers and to each Subsequent Purchaser in the manner contemplated by this Agreement and the Offering Memorandum to register the Securities under the Securities Act or, until such time as the Exchange Securities are issued pursuant to an effective registration statement, to qualify the Indenture under the Trust Indenture Act of 1939 (the "Trust Indenture Act," which term, as used</w:t>
      </w:r>
    </w:p>
    <w:p>
      <w:pPr>
        <w:spacing w:after="0" w:line="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herein, includes the rules and regulations of the Commission promulgated thereunder).</w:t>
      </w:r>
    </w:p>
    <w:p>
      <w:pPr>
        <w:spacing w:after="0" w:line="160" w:lineRule="exact"/>
        <w:rPr>
          <w:sz w:val="20"/>
          <w:szCs w:val="20"/>
          <w:color w:val="auto"/>
        </w:rPr>
      </w:pPr>
    </w:p>
    <w:p>
      <w:pPr>
        <w:ind w:left="1140" w:hanging="437"/>
        <w:spacing w:after="0"/>
        <w:tabs>
          <w:tab w:leader="none" w:pos="114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Integration of Offerings or General Solicitation.  Neither the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Company nor any Guarantor has, directly or indirectly, solicited any offer to buy or offered to sell, nor will, directly or indirectly, solicit any offer to buy or offer to sell, in the United States or to any United States citizen or resident, any security which is or would be integrated with the sale of the Securities in a manner that would require the Securities to be registered under the Securities Act. None of the Company or Guarantors, their respective affiliates (as such term is defined in Rule 501 under the Securities Act (each, an "Affiliate"), or any person acting on its or their respective behalf (other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than the Initial Purchasers, as to whom the Company and Guarantors make no representation or</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38" w:name="page239"/>
    <w:bookmarkEnd w:id="238"/>
    <w:p>
      <w:pPr>
        <w:ind w:right="3379"/>
        <w:spacing w:after="0" w:line="253" w:lineRule="auto"/>
        <w:rPr>
          <w:sz w:val="20"/>
          <w:szCs w:val="20"/>
          <w:color w:val="auto"/>
        </w:rPr>
      </w:pPr>
      <w:r>
        <w:rPr>
          <w:rFonts w:ascii="Courier New" w:cs="Courier New" w:eastAsia="Courier New" w:hAnsi="Courier New"/>
          <w:sz w:val="14"/>
          <w:szCs w:val="14"/>
          <w:color w:val="auto"/>
        </w:rPr>
        <w:t>warranty) has engaged or will engage, in connection with the offering of the Securities, in any form of general solicitation or general advertising within the meaning of Rule 502 under the Securities Act. With respect to those Securities sold in reliance upon Regulation S, none of the Company or the Guarantors, their Affiliates or any person acting on its or their behalf (other than the Initial Purchasers, as to whom the Company and Guarantors make no representation or warranty) has engaged or will engage in any directed selling efforts within the meaning of Regulation S and.</w:t>
      </w:r>
    </w:p>
    <w:p>
      <w:pPr>
        <w:spacing w:after="0" w:line="165" w:lineRule="exact"/>
        <w:rPr>
          <w:sz w:val="20"/>
          <w:szCs w:val="20"/>
          <w:color w:val="auto"/>
        </w:rPr>
      </w:pPr>
    </w:p>
    <w:p>
      <w:pPr>
        <w:ind w:left="1140" w:hanging="437"/>
        <w:spacing w:after="0"/>
        <w:tabs>
          <w:tab w:leader="none" w:pos="114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for Resale under Rule 144A.  The Securities are</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eligible for resale pursuant to Rule 144A and will not be, at the Closing Date, of the same class as securities listed on a national securities exchange registered under Section 6 of the Exchange Act or quoted in a U.S. automated interdealer quotation system.</w:t>
      </w:r>
    </w:p>
    <w:p>
      <w:pPr>
        <w:spacing w:after="0" w:line="163" w:lineRule="exact"/>
        <w:rPr>
          <w:sz w:val="20"/>
          <w:szCs w:val="20"/>
          <w:color w:val="auto"/>
        </w:rPr>
      </w:pPr>
    </w:p>
    <w:p>
      <w:pPr>
        <w:ind w:left="1140" w:hanging="437"/>
        <w:spacing w:after="0"/>
        <w:tabs>
          <w:tab w:leader="none" w:pos="114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Offering Memorandum.  The Offering Memorandum does not, and</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at the Closing Date will not, include an untrue statement of a material fact or omit to state a material fact necessary in order to make the statements therein, in the light of the circumstances under which they were made, not misleading; provided that this representation, warranty and agreement shall not apply to statements in or omissions from the Offering Memorandum made in reliance upon and in conformity with information furnished to the Company in writing by any Initial Purchaser expressly for use in the Offering Memorandum. Each of the Preliminary Offering Memorandum and the Offering Memorandum, as of its date, contains all the information specified in, and meeting the requirements of, Rule 144A. Neither the Company nor any Guarantor has distributed or will distribute, prior to the later of the Closing Date and the completion of the Initial Purchasers' distribution of the Securities, any offering material in connection with the offering and sale of the Securities other than a Preliminary Offering Memorandum or the Offering Memorandum.</w:t>
      </w:r>
    </w:p>
    <w:p>
      <w:pPr>
        <w:spacing w:after="0" w:line="163" w:lineRule="exact"/>
        <w:rPr>
          <w:sz w:val="20"/>
          <w:szCs w:val="20"/>
          <w:color w:val="auto"/>
        </w:rPr>
      </w:pPr>
    </w:p>
    <w:p>
      <w:pPr>
        <w:ind w:left="1140" w:hanging="437"/>
        <w:spacing w:after="0"/>
        <w:tabs>
          <w:tab w:leader="none" w:pos="114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Agreement.  This Agreement has been duly authorized,</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executed and delivered by, and is a valid and binding agreement of the Company and the Guarantors, enforceable against the Company and the Guarantors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 and except as rights to indemnification under the Registration Rights Agreement may be limited by applicable law.</w:t>
      </w:r>
    </w:p>
    <w:p>
      <w:pPr>
        <w:spacing w:after="0" w:line="165" w:lineRule="exact"/>
        <w:rPr>
          <w:sz w:val="20"/>
          <w:szCs w:val="20"/>
          <w:color w:val="auto"/>
        </w:rPr>
      </w:pPr>
    </w:p>
    <w:p>
      <w:pPr>
        <w:ind w:left="1140" w:hanging="437"/>
        <w:spacing w:after="0"/>
        <w:tabs>
          <w:tab w:leader="none" w:pos="114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Rights Agreement.  At the Closing Date, the</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Registration Rights Agreement will be duly authorized, executed and delivered by, and will be a valid and binding agreement of the Company and the Guarantors, enforceable against the Company and the Guarantors in accordance with its terms, except as the enforcement thereof may be limited by bankruptcy, insolvency, reorganization, moratorium or other similar laws relating to or affecting the rights and remedies of creditors or by general equitable principles and except as rights to indemnification under the Registration Rights Agreement may be limited by applicable law. Pursuant to the Registration Rights Agreement, the Company will agree to file with the Commission, under the circumstances set forth therein, a registration statement under the Securities Act relating to another series of debt securities of the Company with terms substantially identical to the Notes (the "Exchange Notes") to be offered in exchange</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Notes (the "Exchange Offer") and (ii) to the extent required by the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Registration Rights Agreement, a shelf registration statement pursuant to Rule 415 of the Securities Act relating to the resale by certain holders of the Notes, and in each case, to use its best efforts to cause such registration statements to be declared effective.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239" w:name="page240"/>
    <w:bookmarkEnd w:id="239"/>
    <w:p>
      <w:pPr>
        <w:ind w:left="1140" w:hanging="437"/>
        <w:spacing w:after="0"/>
        <w:tabs>
          <w:tab w:leader="none" w:pos="114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of the Securities and the Exchange Securities.</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279" w:firstLine="1398"/>
        <w:spacing w:after="0" w:line="253" w:lineRule="auto"/>
        <w:tabs>
          <w:tab w:leader="none" w:pos="1909" w:val="left"/>
        </w:tabs>
        <w:numPr>
          <w:ilvl w:val="1"/>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to be purchased by the Initial Purchasers from the Company are in the form contemplated by the Indenture, have been duly authorized for issuance and sale pursuant to this Agreement and at the Closing Date the Indenture will have been duly executed by the Company and the Guarantors and, when authenticated in the manner provided for in the Indenture and delivered against payment of the purchase price therefor, will constitute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and will be entitled to the benefits of the Indenture.</w:t>
      </w:r>
    </w:p>
    <w:p>
      <w:pPr>
        <w:spacing w:after="0" w:line="163" w:lineRule="exact"/>
        <w:rPr>
          <w:rFonts w:ascii="Courier New" w:cs="Courier New" w:eastAsia="Courier New" w:hAnsi="Courier New"/>
          <w:sz w:val="14"/>
          <w:szCs w:val="14"/>
          <w:color w:val="auto"/>
        </w:rPr>
      </w:pPr>
    </w:p>
    <w:p>
      <w:pPr>
        <w:ind w:right="3459" w:firstLine="1398"/>
        <w:spacing w:after="0" w:line="253" w:lineRule="auto"/>
        <w:tabs>
          <w:tab w:leader="none" w:pos="1909" w:val="left"/>
        </w:tabs>
        <w:numPr>
          <w:ilvl w:val="1"/>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Notes have been duly and validly authorized for issuance by the Company, and when issued and authenticated in accordance with the terms of the Indenture, the Registration Rights Agreement and the Exchange Offer, will constitute valid and binding obligations of the Company, enforceable against the Company in accordance with their terms, except as the enforcement thereof may be limited by bankruptcy, insolvency, reorganization, moratorium, or similar laws relating to or affecting enforcement of the rights and remedies of creditors or by general principles of equity and will be entitled to the benefits of the Indenture.</w:t>
      </w:r>
    </w:p>
    <w:p>
      <w:pPr>
        <w:spacing w:after="0" w:line="164" w:lineRule="exact"/>
        <w:rPr>
          <w:rFonts w:ascii="Courier New" w:cs="Courier New" w:eastAsia="Courier New" w:hAnsi="Courier New"/>
          <w:sz w:val="14"/>
          <w:szCs w:val="14"/>
          <w:color w:val="auto"/>
        </w:rPr>
      </w:pPr>
    </w:p>
    <w:p>
      <w:pPr>
        <w:ind w:right="3379" w:firstLine="1398"/>
        <w:spacing w:after="0" w:line="253" w:lineRule="auto"/>
        <w:tabs>
          <w:tab w:leader="none" w:pos="1909" w:val="left"/>
        </w:tabs>
        <w:numPr>
          <w:ilvl w:val="1"/>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Guarantees of the Notes and the Exchange Notes are in the respective forms contemplated by the Indenture, have been duly authorized for issuance and sale pursuant to this Agreement and the Indenture and, at the Closing Date, will have been duly executed by each of the Guarantors and, when the Notes have been authenticated in the manner provided for in the Indenture and delivered against payment of the purchase price therefor, will constitute valid and binding agreements of the Guarantors, enforceable in accordance with their terms, except as the enforcement thereof may be limited by bankruptcy, insolvency, reorganization, moratorium or other similar laws relating to or affecting the rights and remedies of creditors or by general equitable principles and will be entitled to the benefits of the Indenture.</w:t>
      </w:r>
    </w:p>
    <w:p>
      <w:pPr>
        <w:spacing w:after="0" w:line="163" w:lineRule="exact"/>
        <w:rPr>
          <w:rFonts w:ascii="Courier New" w:cs="Courier New" w:eastAsia="Courier New" w:hAnsi="Courier New"/>
          <w:sz w:val="14"/>
          <w:szCs w:val="14"/>
          <w:color w:val="auto"/>
        </w:rPr>
      </w:pPr>
    </w:p>
    <w:p>
      <w:pPr>
        <w:ind w:left="1140" w:hanging="437"/>
        <w:spacing w:after="0"/>
        <w:tabs>
          <w:tab w:leader="none" w:pos="114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of the Indenture.  The Indenture has been duly</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authorized by the Company and the Guarantors, and, at the Closing Date, will have been duly executed and delivered by the Company and the Guarantors, and will constitute a valid and binding agreement of the Company and the Guarantors, enforceable against the Company and the Guarantors in accordance with its terms, except as the enforcement thereof may be limited by bankruptcy, insolvency, reorganization, moratorium or other similar laws relating to or affecting the rights and remedies of creditors or by general equitable principles.</w:t>
      </w:r>
    </w:p>
    <w:p>
      <w:pPr>
        <w:spacing w:after="0" w:line="165" w:lineRule="exact"/>
        <w:rPr>
          <w:sz w:val="20"/>
          <w:szCs w:val="20"/>
          <w:color w:val="auto"/>
        </w:rPr>
      </w:pPr>
    </w:p>
    <w:p>
      <w:pPr>
        <w:ind w:left="1140" w:hanging="437"/>
        <w:spacing w:after="0"/>
        <w:tabs>
          <w:tab w:leader="none" w:pos="114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the Securities and the Indenture.  The Notes, the</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Exchange Notes, the Guarantees of the Notes and the Exchange Notes and the Indenture will conform in all material respects to the respective statements relating thereto contained in the Offering Memorandum.</w:t>
      </w:r>
    </w:p>
    <w:p>
      <w:pPr>
        <w:spacing w:after="0" w:line="162" w:lineRule="exact"/>
        <w:rPr>
          <w:sz w:val="20"/>
          <w:szCs w:val="20"/>
          <w:color w:val="auto"/>
        </w:rPr>
      </w:pPr>
    </w:p>
    <w:p>
      <w:pPr>
        <w:ind w:left="1140" w:hanging="437"/>
        <w:spacing w:after="0"/>
        <w:tabs>
          <w:tab w:leader="none" w:pos="114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Change.  Except as otherwise disclosed in the</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Offering Memorandum, subsequent to the respective dates as of which information is given in the Offering Memorandum: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(any such change is called a "Material Adverse Change"); (ii)</w:t>
      </w:r>
    </w:p>
    <w:p>
      <w:pPr>
        <w:spacing w:after="0" w:line="3"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neither the Company nor any of its subsidiaries have incurred any material liability or obligation, indirect, direct or contingent, not in the ordinary course of business nor entered into any material transaction or agreement not in the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240" w:name="page241"/>
    <w:bookmarkEnd w:id="240"/>
    <w:p>
      <w:pPr>
        <w:ind w:right="3379"/>
        <w:spacing w:after="0" w:line="253" w:lineRule="auto"/>
        <w:rPr>
          <w:sz w:val="20"/>
          <w:szCs w:val="20"/>
          <w:color w:val="auto"/>
        </w:rPr>
      </w:pPr>
      <w:r>
        <w:rPr>
          <w:rFonts w:ascii="Courier New" w:cs="Courier New" w:eastAsia="Courier New" w:hAnsi="Courier New"/>
          <w:sz w:val="14"/>
          <w:szCs w:val="14"/>
          <w:color w:val="auto"/>
        </w:rPr>
        <w:t>ordinary course of business; and (iii) there has been no dividend or distribution of any kind declared, paid or made by the Company or, except for dividends paid to the Company or other subsidiaries, any of its subsidiaries on any class of capital stock or repurchase or redemption by the Company or any of its subsidiaries of any class of capital stock other than the dividends paid on April 15, 2001 on the Existing Preferred Stock (as defined in the Indenture).</w:t>
      </w:r>
    </w:p>
    <w:p>
      <w:pPr>
        <w:spacing w:after="0" w:line="165" w:lineRule="exact"/>
        <w:rPr>
          <w:sz w:val="20"/>
          <w:szCs w:val="20"/>
          <w:color w:val="auto"/>
        </w:rPr>
      </w:pPr>
    </w:p>
    <w:p>
      <w:pPr>
        <w:ind w:left="1140" w:hanging="437"/>
        <w:spacing w:after="0"/>
        <w:tabs>
          <w:tab w:leader="none" w:pos="114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Accountants.  Arthur Andersen LLP,</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PricewaterhouseCoopers LLP and Clark, Schaefer, Hackett &amp; Co, who have expressed their opinion with respect to the financial statements (which term as used in this Agreement includes the related notes thereto) included in the Offering Memorandum are independent public or certified public accountants within the meaning of Regulation S-X under the Securities Act and the Exchange Act.</w:t>
      </w:r>
    </w:p>
    <w:p>
      <w:pPr>
        <w:spacing w:after="0" w:line="162" w:lineRule="exact"/>
        <w:rPr>
          <w:sz w:val="20"/>
          <w:szCs w:val="20"/>
          <w:color w:val="auto"/>
        </w:rPr>
      </w:pPr>
    </w:p>
    <w:p>
      <w:pPr>
        <w:ind w:left="1140" w:hanging="437"/>
        <w:spacing w:after="0"/>
        <w:tabs>
          <w:tab w:leader="none" w:pos="114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Preparation of the Financial Statements.  The financial statements,</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together with the related schedules and notes, included in the Offering Memorandum present fairly the consolidated financial position of the Company and its subsidiaries as of and at the dates indicated and the results of their operations and cash flows for the periods specified. Such financial statements have been prepared in conformity with generally accepted accounting principles applied on a consistent basis throughout the periods involved, except as may be expressly stated in the related notes thereto. The financial data set forth in the Offering Memorandum under the captions "Offering Memorandum Summary--Summary Historical and Pro Forma Consolidated Financial Data" and "Selected Historical Consolidated Financial Data" fairly present the information set forth therein on a basis consistent with that of the audited financial statements contained in the Offering Memorandum. The pro forma consolidated financial statements of the Company and its subsidiaries and the related notes thereto included under the caption "Offering Memorandum Summary--Summary Historical and Pro Forma Consolidated Financial Data", "Unaudited Pro Forma Consolidated Financial Information" and elsewhere in the Offering Memorandum present fairly the information contained therein, have been prepared in accordance with the Commission's rules and guidelines with respect to pro forma financial statements, except that EBITDA and broadcast cash flow are not within the scope of the Commission's guidelines, and have been properly presented on the bases described therein, and the assumptions used in the preparation thereof are reasonable and the adjustments used therein are appropriate to give effect to the transactions and circumstances referred to therein.</w:t>
      </w:r>
    </w:p>
    <w:p>
      <w:pPr>
        <w:spacing w:after="0" w:line="342" w:lineRule="exact"/>
        <w:rPr>
          <w:sz w:val="20"/>
          <w:szCs w:val="20"/>
          <w:color w:val="auto"/>
        </w:rPr>
      </w:pPr>
    </w:p>
    <w:p>
      <w:pPr>
        <w:ind w:left="1140" w:hanging="437"/>
        <w:spacing w:after="0"/>
        <w:tabs>
          <w:tab w:leader="none" w:pos="114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and Good Standing of the Company and its</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Subsidiaries.</w:t>
        <w:tab/>
        <w:t>The Company and each of its subsidiaries has been duly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incorporated or formed, as applicable and is validly existing as a corporation or limited liability company, as the case may be, in good standing under the laws of the jurisdiction of its incorporation or formation and has corporate power and authority to own, lease and operate its properties and to conduct its business as described in the Offering Memorandum and, in the case of the Company and each of the Guarantors, to enter into and perform their respective obligations under each of this Agreement, the Registration Rights Agreement, the Securities, the Exchange Securities, the Guarantees and the Indenture. Each of the Company, the Guarantors and their respective subsidiaries is duly qualified as a foreign corporation to transact business and is in good standing in each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Change. All of the issued and outstanding capital stock or LLC interests, as applicable, of each subsidiary has been duly authorized and validly issued, is fully paid and nonassessable and is owned by the Company, directly or through subsidiaries, free and clear of any security interest, mortgage, pledge, lien, encumbrance or claim. The Company does not own or control, directly or indirectly, any corporation, association or other entity other than the subsidiaries listed in Schedule III hereto.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241" w:name="page242"/>
    <w:bookmarkEnd w:id="241"/>
    <w:p>
      <w:pPr>
        <w:ind w:left="1140" w:hanging="437"/>
        <w:spacing w:after="0"/>
        <w:tabs>
          <w:tab w:leader="none" w:pos="114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Capitalization.  As of December 31, 2000, on a consolidated</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basis, after giving pro forma effect to the issuance and sale of the Securities pursuant hereto, the Company would have an authorized and outstanding capitalization as set forth in the Offering Memorandum under the caption "Capitalization" (other than for subsequent issuances of capital stock, if any, pursuant to employee benefit plans or upon exercise of outstanding options or warrants).</w:t>
      </w:r>
    </w:p>
    <w:p>
      <w:pPr>
        <w:spacing w:after="0" w:line="165" w:lineRule="exact"/>
        <w:rPr>
          <w:sz w:val="20"/>
          <w:szCs w:val="20"/>
          <w:color w:val="auto"/>
        </w:rPr>
      </w:pPr>
    </w:p>
    <w:p>
      <w:pPr>
        <w:ind w:left="1140" w:hanging="437"/>
        <w:spacing w:after="0"/>
        <w:tabs>
          <w:tab w:leader="none" w:pos="114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Non-Contravention of Existing Instruments; No Further</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3380" w:val="left"/>
        </w:tabs>
        <w:rPr>
          <w:sz w:val="20"/>
          <w:szCs w:val="20"/>
          <w:color w:val="auto"/>
        </w:rPr>
      </w:pPr>
      <w:r>
        <w:rPr>
          <w:rFonts w:ascii="Courier New" w:cs="Courier New" w:eastAsia="Courier New" w:hAnsi="Courier New"/>
          <w:sz w:val="14"/>
          <w:szCs w:val="14"/>
          <w:color w:val="auto"/>
        </w:rPr>
        <w:t>Authorizations or Approvals Required.</w:t>
        <w:tab/>
        <w:t>Neither the Company nor any of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subsidiaries is in violation of its charter or by-laws or formation documents or is in default (or, with the giving of notice or lapse of time, would be in default) ("Default") under any indenture, mortgage, loan or credit agreement,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note, contract, franchise, lease or other instrument to which the Company or its subsidiaries is a party or by which it or any of them may be bound (including, without limitation, the Company's Credit Agreement (as defined in the Indenture) or the Company's 12% Senior Subordinated Notes due 2004), or to which any of the property or assets of the Company or any of its subsidiaries is subject (each, an "Existing Instrument"), except for such Defaults as would not, individually</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or in the aggregate, result in a Material Adverse Change. The Company's and the Guarantors' execution, delivery and performance of this Agreement, the Registration Rights Agreement and the Indenture, and the issuance and delivery of the Securities (including the Guarantees endorsed thereon) or the Exchange Securities (including the Guarantees endorsed thereon), and consummation of the transactions contemplated hereby and thereby and by the Offering Memorandum (i) have been duly authorized by all necessary corporate action and will not result in any violation of the provisions of the charter or by-laws of the Company or any of its subsidiaries, (ii) will not conflict with or constitute a breach of, or Default under, or result in the creation or imposition of any lien, charge or encumbrance upon any property or assets of the Company or its subsidiaries pursuant to, or require the consent of any other party to, any Existing Instrument, except for such conflicts, breaches, Defaults, liens, charges or encumbrances as would not, individually or in the aggregate, result in a Material Adverse Change and (iii) will not result in any violation of any law, administrative regulation or administrative or court decree applicable to the Company or any of its subsidiaries. No consent, approval, authorization or other order of, or registration or filing with, any court or other governmental or regulatory authority or agency, is required for the Company's or the Guarantors' execution, delivery and performance of this Agreement, the Registration Rights Agreement or the Indenture, or the issuance and delivery of the Securities (including the Guarantees endorsed thereon) or the Exchange Securities (including the Guarantees endorsed thereon), or consummation of the transactions contemplated hereby and thereby and by the Offering Memorandum, except such as have been obtained or made by the Company or the Guarantors and are in full force and effect under the Securities Act, applicable state securities or blue sky laws and except such as may be required by federal and state securities laws with respect to the Company's or the Guarantors' obligations under the Registration Rights Agreement.</w:t>
      </w:r>
    </w:p>
    <w:p>
      <w:pPr>
        <w:spacing w:after="0" w:line="344" w:lineRule="exact"/>
        <w:rPr>
          <w:sz w:val="20"/>
          <w:szCs w:val="20"/>
          <w:color w:val="auto"/>
        </w:rPr>
      </w:pPr>
    </w:p>
    <w:p>
      <w:pPr>
        <w:ind w:left="1140" w:hanging="437"/>
        <w:spacing w:after="0"/>
        <w:tabs>
          <w:tab w:leader="none" w:pos="114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Actions or Proceedings.  There are no legal or</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governmental actions, suits or proceedings pending or, to the best of the Company's or any Guarantor's knowledge, threatened against or affecting the Company or any of its subsidiaries, which has as the subject thereof any property owned or leased by the Company or its subsidiaries, where in any such case there is a reasonable possibility that such action, suit or proceeding might be determined adversely to the Company or any such subsidiary and any such action, suit or proceeding, if so determined adversely, would reasonably be expected to result in a Material Adverse Change or adversely affect the consummation of the transactions contemplated by this Agreement. No material labor dispute with the employees of the Company or its subsidiaries, exists or, to the best of the Company's or any Guarantor's knowledge, is threatened or imminent.</w:t>
      </w:r>
    </w:p>
    <w:p>
      <w:pPr>
        <w:spacing w:after="0" w:line="331" w:lineRule="exact"/>
        <w:rPr>
          <w:sz w:val="20"/>
          <w:szCs w:val="20"/>
          <w:color w:val="auto"/>
        </w:rPr>
      </w:pPr>
    </w:p>
    <w:p>
      <w:pPr>
        <w:ind w:left="1140" w:hanging="437"/>
        <w:spacing w:after="0"/>
        <w:tabs>
          <w:tab w:leader="none" w:pos="114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 Rights.  The Company and its subsidiaries own</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or possess sufficient trademarks, trade names, patent rights, copyrights, licenses, approvals, trade secrets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242" w:name="page243"/>
    <w:bookmarkEnd w:id="242"/>
    <w:p>
      <w:pPr>
        <w:spacing w:after="0"/>
        <w:rPr>
          <w:sz w:val="20"/>
          <w:szCs w:val="20"/>
          <w:color w:val="auto"/>
        </w:rPr>
      </w:pPr>
      <w:r>
        <w:rPr>
          <w:rFonts w:ascii="Courier New" w:cs="Courier New" w:eastAsia="Courier New" w:hAnsi="Courier New"/>
          <w:sz w:val="14"/>
          <w:szCs w:val="14"/>
          <w:color w:val="auto"/>
        </w:rPr>
        <w:t>and other similar rights (collectively, "Intellectual Property Rights")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reasonably necessary to conduct their businesses as now conducted; and the expected expiration of any of such Intellectual Property Rights would not result in a Material Adverse Change. Neither the Company nor any of its subsidiaries has received any notice of infringement or conflict with asserted Intellectual Property Rights of others, which infringement or conflict, if the subject of an unfavorable decision, would result in a Material Adverse Change.</w:t>
      </w:r>
    </w:p>
    <w:p>
      <w:pPr>
        <w:spacing w:after="0" w:line="165" w:lineRule="exact"/>
        <w:rPr>
          <w:sz w:val="20"/>
          <w:szCs w:val="20"/>
          <w:color w:val="auto"/>
        </w:rPr>
      </w:pPr>
    </w:p>
    <w:p>
      <w:pPr>
        <w:ind w:left="1140" w:hanging="437"/>
        <w:spacing w:after="0"/>
        <w:tabs>
          <w:tab w:leader="none" w:pos="114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Necessary Permits, etc.  The Company and each subsidiary</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possess such valid and current certificates, authorizations or permits issued by the appropriate state, federal or foreign regulatory agencies or bodies necessary to conduct their respective businesses, and neither the Company nor any subsidiary has received any notice of proceedings relating to the revocation or modification of, or non-compliance with, any such certificate, authorization or permit which, singly or in the aggregate, if the subject of an unfavorable decision, ruling or finding, could result in a Material Adverse Change.</w:t>
      </w:r>
    </w:p>
    <w:p>
      <w:pPr>
        <w:spacing w:after="0" w:line="165" w:lineRule="exact"/>
        <w:rPr>
          <w:sz w:val="20"/>
          <w:szCs w:val="20"/>
          <w:color w:val="auto"/>
        </w:rPr>
      </w:pPr>
    </w:p>
    <w:p>
      <w:pPr>
        <w:ind w:left="1140" w:hanging="437"/>
        <w:spacing w:after="0"/>
        <w:tabs>
          <w:tab w:leader="none" w:pos="114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FCC Licenses.</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jc w:val="both"/>
        <w:ind w:right="3899" w:firstLine="1398"/>
        <w:spacing w:after="0" w:line="252" w:lineRule="auto"/>
        <w:tabs>
          <w:tab w:leader="none" w:pos="1909"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of its subsidiaries holds such validly issued Federal Communications Commission (the "FCC") licenses and</w:t>
      </w:r>
    </w:p>
    <w:p>
      <w:pPr>
        <w:spacing w:after="0" w:line="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authorizations as are necessary to operate their respective radio stations, which are listed on Schedule IV (the "Stations"), as they are currently operated</w:t>
      </w:r>
    </w:p>
    <w:p>
      <w:pPr>
        <w:spacing w:after="0" w:line="1" w:lineRule="exact"/>
        <w:rPr>
          <w:sz w:val="20"/>
          <w:szCs w:val="20"/>
          <w:color w:val="auto"/>
        </w:rPr>
      </w:pPr>
    </w:p>
    <w:p>
      <w:pPr>
        <w:ind w:left="1740"/>
        <w:spacing w:after="0"/>
        <w:tabs>
          <w:tab w:leader="none" w:pos="3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(collectively, the "FCC Licenses"), and each such FCC License is in full force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and effect. The FCC Licenses of the Company and each such subsidiary are listed on Schedule IV, and each of such FCC Licenses has the expiration date indicated</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Schedule IV.</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398"/>
        <w:spacing w:after="0" w:line="252" w:lineRule="auto"/>
        <w:tabs>
          <w:tab w:leader="none" w:pos="1909"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has knowledge of any condition imposed by the FCC as part of any FCC License, which condition is neither set forth on the face thereof as issued by the FCC nor contained in the rules and regulations of the FCC applicable generally to stations of the type, nature, class or location of the Station in question. Each Station has been and is being operated in all material respects in accordance with the terms and conditions of the FCC Licenses applicable to it and the rules and regulations of the FCC and the Communications Act of 1934, as amended (the "Communications</w:t>
      </w:r>
    </w:p>
    <w:p>
      <w:pPr>
        <w:spacing w:after="0" w:line="3"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1398"/>
        <w:spacing w:after="0" w:line="253" w:lineRule="auto"/>
        <w:tabs>
          <w:tab w:leader="none" w:pos="1909"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proceedings are pending or are threatened which may result in the revocation, modification, non-renewal or suspension of any of the FCC Licenses, the denial of any pending applications, the issuance of any cease and desist order or the imposition of any fines, forfeitures or other administrative actions by the FCC with respect to any Station or its operation, other than any matters which, individually or in the aggregate, could not reasonably be expected to result in a Material Adverse Change and proceedings affecting the radio broadcasting industry in general.</w:t>
      </w:r>
    </w:p>
    <w:p>
      <w:pPr>
        <w:spacing w:after="0" w:line="164" w:lineRule="exact"/>
        <w:rPr>
          <w:rFonts w:ascii="Courier New" w:cs="Courier New" w:eastAsia="Courier New" w:hAnsi="Courier New"/>
          <w:sz w:val="14"/>
          <w:szCs w:val="14"/>
          <w:color w:val="auto"/>
        </w:rPr>
      </w:pPr>
    </w:p>
    <w:p>
      <w:pPr>
        <w:ind w:right="3279" w:firstLine="1398"/>
        <w:spacing w:after="0" w:line="253" w:lineRule="auto"/>
        <w:tabs>
          <w:tab w:leader="none" w:pos="1909"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reports, applications and other documents required to be filed by the Company or any such subsidiary with the FCC with respect to the Stations have been timely filed, and all such reports, applications and documents are true, correct and complete in all respects, except where the failure to make such timely filing or any inaccuracy therein could not reasonably be expected to result in a Material Adverse Change, and neither the Company nor any of the subsidiaries has knowledge of any matters that could reasonably be expected to result in the suspension or revocation of or the refusal to renew any of the FCC Licenses or the imposition on the Company or any subsidiary of any material fines or forfeitures by the FCC, or which could reasonably be expected to result in the revocation, rescission, reversal or modification of any Station's authorization to operate as currently authorized under the Communications Act and the policies, rules and regulations of the FCC.</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243" w:name="page244"/>
    <w:bookmarkEnd w:id="243"/>
    <w:p>
      <w:pPr>
        <w:ind w:right="3279" w:firstLine="1398"/>
        <w:spacing w:after="0" w:line="258" w:lineRule="auto"/>
        <w:tabs>
          <w:tab w:leader="none" w:pos="1823" w:val="left"/>
        </w:tabs>
        <w:numPr>
          <w:ilvl w:val="1"/>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unsatisfied or otherwise outstanding citations issued by the FCC with respect to any Station or its operations.</w:t>
      </w:r>
    </w:p>
    <w:p>
      <w:pPr>
        <w:spacing w:after="0" w:line="159" w:lineRule="exact"/>
        <w:rPr>
          <w:rFonts w:ascii="Courier New" w:cs="Courier New" w:eastAsia="Courier New" w:hAnsi="Courier New"/>
          <w:sz w:val="14"/>
          <w:szCs w:val="14"/>
          <w:color w:val="auto"/>
        </w:rPr>
      </w:pPr>
    </w:p>
    <w:p>
      <w:pPr>
        <w:ind w:left="1140" w:hanging="437"/>
        <w:spacing w:after="0"/>
        <w:tabs>
          <w:tab w:leader="none" w:pos="1140"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 of Stations.  All of the material properties, equipment</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and systems of the Company and its subsidiaries and the Stations owned and/or operated by them are, and all material properties, equipment and systems to be added in connection with any contemplated Station expansion or construction will be, in condition which is sufficient for the operation thereof in accordance with past practice of the Station in question and are and will be in material compliance with all applicable standards, rules or requirements imposed by (a) any governmental agency or authority including without limitation the FCC and</w:t>
      </w:r>
    </w:p>
    <w:p>
      <w:pPr>
        <w:spacing w:after="0" w:line="3" w:lineRule="exact"/>
        <w:rPr>
          <w:sz w:val="20"/>
          <w:szCs w:val="20"/>
          <w:color w:val="auto"/>
        </w:rPr>
      </w:pPr>
    </w:p>
    <w:p>
      <w:pPr>
        <w:ind w:right="3719" w:firstLine="9"/>
        <w:spacing w:after="0" w:line="258" w:lineRule="auto"/>
        <w:tabs>
          <w:tab w:leader="none" w:pos="347"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FCC License, in each case except where such noncompliance could not reasonably be expected to result in a Material Adverse Change.</w:t>
      </w:r>
    </w:p>
    <w:p>
      <w:pPr>
        <w:spacing w:after="0" w:line="160" w:lineRule="exact"/>
        <w:rPr>
          <w:sz w:val="20"/>
          <w:szCs w:val="20"/>
          <w:color w:val="auto"/>
        </w:rPr>
      </w:pPr>
    </w:p>
    <w:p>
      <w:pPr>
        <w:ind w:left="1140" w:hanging="437"/>
        <w:spacing w:after="0"/>
        <w:tabs>
          <w:tab w:leader="none" w:pos="114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to Properties.  The Company and each of its subsidiaries</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have good and marketable title to all the properties and assets reflected as owned in the financial statements referred to in Section 1 above, in each case free and clear of any security interests, mortgages, liens, encumbrances, equities, claims and other defects, except such as do not materially and adversely affect the value of such property and do not materially interfere with the use made or proposed to be made of such property by the Company or such subsidiary. The real property, improvements, equipment and personal property held under lease by the Company and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331" w:lineRule="exact"/>
        <w:rPr>
          <w:sz w:val="20"/>
          <w:szCs w:val="20"/>
          <w:color w:val="auto"/>
        </w:rPr>
      </w:pPr>
    </w:p>
    <w:p>
      <w:pPr>
        <w:ind w:left="1140" w:hanging="437"/>
        <w:spacing w:after="0"/>
        <w:tabs>
          <w:tab w:leader="none" w:pos="1140"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Law Compliance.  Except as would not, individually or in</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aggregate, result in a Material Adverse Change, the Company and its subsidiaries (including the Guarantors) have filed all necessary federal, state and foreign income and franchise tax returns and have paid all taxes required to be paid by any of them and, if due and payable, any related or similar assessment, fine or penalty levied against any of them. Except as would not, individually or in the aggregate, result in a Material Adverse Change, the Company has made adequate charges, accruals and reserves in the applicable financial statements referred to in Section 1 above in respect of all federal, state and foreign income and franchise taxes for all periods as to which the tax liability of the Company and any of its subsidiaries (including the Guarantors) has not been finally determined.</w:t>
      </w:r>
    </w:p>
    <w:p>
      <w:pPr>
        <w:spacing w:after="0" w:line="164" w:lineRule="exact"/>
        <w:rPr>
          <w:sz w:val="20"/>
          <w:szCs w:val="20"/>
          <w:color w:val="auto"/>
        </w:rPr>
      </w:pPr>
    </w:p>
    <w:p>
      <w:pPr>
        <w:ind w:left="1140" w:hanging="437"/>
        <w:spacing w:after="0"/>
        <w:tabs>
          <w:tab w:leader="none" w:pos="114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Not an "Investment Company".  The Company has been advised</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of the rules and requirements under the Investment Company Act of 1940, as amended (the "Investment Company Act"). The Company is not, and after receipt of</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payment for the Securities will not be, an "investment company" within the meaning of Investment Company Act and will conduct its business in a manner so that it will not become subject to the Investment Company Act.</w:t>
      </w:r>
    </w:p>
    <w:p>
      <w:pPr>
        <w:spacing w:after="0" w:line="162" w:lineRule="exact"/>
        <w:rPr>
          <w:sz w:val="20"/>
          <w:szCs w:val="20"/>
          <w:color w:val="auto"/>
        </w:rPr>
      </w:pPr>
    </w:p>
    <w:p>
      <w:pPr>
        <w:ind w:left="1140" w:hanging="437"/>
        <w:spacing w:after="0"/>
        <w:tabs>
          <w:tab w:leader="none" w:pos="114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Each of the Company and its subsidiaries are insured</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by recognized, financially sound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The Company and its subsidiaries have no reason to believe that it or any of their respective subsidiaries will not be able (i) to renew its existing insurance coverage as and when such policies expire or (ii) to obtain comparable coverage from similar institutions as may be necessary or appropriate to conduct its business as now conducted and at a cost that would not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244" w:name="page245"/>
    <w:bookmarkEnd w:id="244"/>
    <w:p>
      <w:pPr>
        <w:ind w:right="3539"/>
        <w:spacing w:after="0" w:line="255" w:lineRule="auto"/>
        <w:rPr>
          <w:sz w:val="20"/>
          <w:szCs w:val="20"/>
          <w:color w:val="auto"/>
        </w:rPr>
      </w:pPr>
      <w:r>
        <w:rPr>
          <w:rFonts w:ascii="Courier New" w:cs="Courier New" w:eastAsia="Courier New" w:hAnsi="Courier New"/>
          <w:sz w:val="14"/>
          <w:szCs w:val="14"/>
          <w:color w:val="auto"/>
        </w:rPr>
        <w:t>result in a Material Adverse Change. Neither the Company nor any of its subsidiaries has been denied any insurance coverage that it has sought or for which it has applied.</w:t>
      </w:r>
    </w:p>
    <w:p>
      <w:pPr>
        <w:spacing w:after="0" w:line="162" w:lineRule="exact"/>
        <w:rPr>
          <w:sz w:val="20"/>
          <w:szCs w:val="20"/>
          <w:color w:val="auto"/>
        </w:rPr>
      </w:pPr>
    </w:p>
    <w:p>
      <w:pPr>
        <w:ind w:left="1140" w:hanging="437"/>
        <w:spacing w:after="0"/>
        <w:tabs>
          <w:tab w:leader="none" w:pos="1140"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Price Stabilization or Manipulation.  The Company has not taken</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and will not take, directly or indirectly, any action designed to or that might be reasonably expected to cause or result in stabilization or manipulation of the price of any security of the Company to facilitate the sale or resale of the Securities.</w:t>
      </w:r>
    </w:p>
    <w:p>
      <w:pPr>
        <w:spacing w:after="0" w:line="163" w:lineRule="exact"/>
        <w:rPr>
          <w:sz w:val="20"/>
          <w:szCs w:val="20"/>
          <w:color w:val="auto"/>
        </w:rPr>
      </w:pPr>
    </w:p>
    <w:p>
      <w:pPr>
        <w:ind w:left="1140" w:hanging="437"/>
        <w:spacing w:after="0"/>
        <w:tabs>
          <w:tab w:leader="none" w:pos="114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Company's Accounting System.  The Company and each of its</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subsidiaries maintains a system of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64" w:lineRule="exact"/>
        <w:rPr>
          <w:sz w:val="20"/>
          <w:szCs w:val="20"/>
          <w:color w:val="auto"/>
        </w:rPr>
      </w:pPr>
    </w:p>
    <w:p>
      <w:pPr>
        <w:ind w:left="700"/>
        <w:spacing w:after="0"/>
        <w:tabs>
          <w:tab w:leader="none" w:pos="4320" w:val="left"/>
        </w:tabs>
        <w:rPr>
          <w:sz w:val="20"/>
          <w:szCs w:val="20"/>
          <w:color w:val="auto"/>
        </w:rPr>
      </w:pPr>
      <w:r>
        <w:rPr>
          <w:rFonts w:ascii="Courier New" w:cs="Courier New" w:eastAsia="Courier New" w:hAnsi="Courier New"/>
          <w:sz w:val="14"/>
          <w:szCs w:val="14"/>
          <w:color w:val="auto"/>
        </w:rPr>
        <w:t>(aa) Compliance with Environmental Laws.</w:t>
        <w:tab/>
        <w:t>Except as would not,</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individually or in the aggregate, result in a Material Adverse Change (i) neither the Company nor any of its subsidiaries is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"Materials of Environmental Concern"), or otherwise relating to the manufacture, processing, distribution, use, treatment, storage, disposal, transport or handling of Materials of Environmental Concern (collectively, "Environmental Laws"), which violation includes, but is not limited to, noncompliance with any permits or other governmental authorizations required for the operation of the business of the Company or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"Environmental Claims"), pending or, to the best of the Company's knowledge, threatened against the Company or any of its subsidiaries or any person or entity whose liability for any Environmental Claim the Company or any of its subsidiaries has retained or assumed either contractually or by operation of law; and (iii) to the best of the Company's knowledge, there are no past or present actions, activities, circumstances, conditions, events or incidents, including, without limitation, the release, emission, discharge, presence or disposal of any Material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w:t>
      </w:r>
    </w:p>
    <w:p>
      <w:pPr>
        <w:spacing w:after="0" w:line="349" w:lineRule="exact"/>
        <w:rPr>
          <w:sz w:val="20"/>
          <w:szCs w:val="20"/>
          <w:color w:val="auto"/>
        </w:rPr>
      </w:pPr>
    </w:p>
    <w:p>
      <w:pPr>
        <w:ind w:left="700"/>
        <w:spacing w:after="0"/>
        <w:tabs>
          <w:tab w:leader="none" w:pos="2760" w:val="left"/>
        </w:tabs>
        <w:rPr>
          <w:sz w:val="20"/>
          <w:szCs w:val="20"/>
          <w:color w:val="auto"/>
        </w:rPr>
      </w:pPr>
      <w:r>
        <w:rPr>
          <w:rFonts w:ascii="Courier New" w:cs="Courier New" w:eastAsia="Courier New" w:hAnsi="Courier New"/>
          <w:sz w:val="14"/>
          <w:szCs w:val="14"/>
          <w:color w:val="auto"/>
        </w:rPr>
        <w:t>(bb) ERISA Compliance.</w:t>
        <w:tab/>
        <w:t>Except as otherwise disclosed inthe Offering</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Memorandum, the Company, its subsidiaries and any "employee benefit plan" (as defined under the Employee</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245" w:name="page246"/>
    <w:bookmarkEnd w:id="245"/>
    <w:p>
      <w:pPr>
        <w:spacing w:after="0"/>
        <w:rPr>
          <w:sz w:val="20"/>
          <w:szCs w:val="20"/>
          <w:color w:val="auto"/>
        </w:rPr>
      </w:pPr>
      <w:r>
        <w:rPr>
          <w:rFonts w:ascii="Courier New" w:cs="Courier New" w:eastAsia="Courier New" w:hAnsi="Courier New"/>
          <w:sz w:val="14"/>
          <w:szCs w:val="14"/>
          <w:color w:val="auto"/>
        </w:rPr>
        <w:t>Retirement Income Security Act of 1974, as amended, and the regulations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published interpretations thereunder (collectively, "ERISA")) established or</w:t>
      </w:r>
    </w:p>
    <w:p>
      <w:pPr>
        <w:spacing w:after="0" w:line="8"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maintained by the Company or its subsidiaries or their "ERISA Affiliates" (as</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defined below) are in compliance in all material respects with ERISA. "ERISA Affiliate" means, with respect to the Company or any of its respective subsidiaries, any member of any group of organizations described in Sections 414 (b), (c), or (m) of the Internal Revenue Code of 1986, as amended, and the regulations and published interpretations thereunder (the "Code") of which the</w:t>
      </w:r>
    </w:p>
    <w:p>
      <w:pPr>
        <w:spacing w:after="0" w:line="2"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Company or such subsidiary is a member. No "reportable event" (as defined under ERISA) has occurred or is reasonably expected to occur with respect to any "employee benefit plan" established or maintained by the Company or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respective subsidiaries nor any of their ERISA Affiliates have incurred or reasonably anticipate incurring any liability under Title IV of ERISA with respect to termination of, or withdrawal from, any "employee benefit plan" or Sections 412, 4971, 4975 or 4980B of the Code. Each "employee benefit plan" established or maintained by the Company, its subsidiaries or any of their ERISA Affiliates that is intended to be qualified under Section 401 of the Code is so qualified and nothing has occurred, whether by action or failure to act, which would cause the loss of such qualification.</w:t>
      </w:r>
    </w:p>
    <w:p>
      <w:pPr>
        <w:spacing w:after="0" w:line="173" w:lineRule="exact"/>
        <w:rPr>
          <w:sz w:val="20"/>
          <w:szCs w:val="20"/>
          <w:color w:val="auto"/>
        </w:rPr>
      </w:pPr>
    </w:p>
    <w:p>
      <w:pPr>
        <w:ind w:left="1220" w:hanging="517"/>
        <w:spacing w:after="0"/>
        <w:tabs>
          <w:tab w:leader="none" w:pos="1220"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in Senior Debt.  No event of default exists under any</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contract, indenture, mortgage, loan agreement, note, lease or other agreement or instrument constituting Senior Debt (as defined in the Indenture).</w:t>
      </w:r>
    </w:p>
    <w:p>
      <w:pPr>
        <w:spacing w:after="0" w:line="160" w:lineRule="exact"/>
        <w:rPr>
          <w:sz w:val="20"/>
          <w:szCs w:val="20"/>
          <w:color w:val="auto"/>
        </w:rPr>
      </w:pPr>
    </w:p>
    <w:p>
      <w:pPr>
        <w:ind w:left="1220" w:hanging="517"/>
        <w:spacing w:after="0"/>
        <w:tabs>
          <w:tab w:leader="none" w:pos="122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Regulations S.  The Company, the Guarantors,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their respective affiliates and all persons acting on their behalf (other than the Initial Purchasers, as to whom the Company and the Guarantors make no representation) have complied with and will comply with the offering restrictions requirements of Regulation S in connection with the offering of the Securities outside the United States and, in connection therewith, the Offering Memorandum will contain the disclosure required by Rule 902.</w:t>
      </w:r>
    </w:p>
    <w:p>
      <w:pPr>
        <w:spacing w:after="0" w:line="165" w:lineRule="exact"/>
        <w:rPr>
          <w:sz w:val="20"/>
          <w:szCs w:val="20"/>
          <w:color w:val="auto"/>
        </w:rPr>
      </w:pPr>
    </w:p>
    <w:p>
      <w:pPr>
        <w:ind w:left="1140" w:hanging="437"/>
        <w:spacing w:after="0"/>
        <w:tabs>
          <w:tab w:leader="none" w:pos="114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Temporary Regulations S Global Note.  The Securities sold in</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reliance on Regulation S will be represented upon issuance by a temporary global security that may not be exchanged for definitive securities until the expiration of the 40-day restricted period referred to in Rule 903 of the Securities Act and only upon certification of beneficial ownership of such Securities by non-U.S. persons or U.S. persons who purchased such Securities in transactions that were exempt from the registration requirements of the Securities Act.</w:t>
      </w:r>
    </w:p>
    <w:p>
      <w:pPr>
        <w:spacing w:after="0" w:line="332"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Any certificate signed by an officer of the Company or any of the Guarantors and delivered to the Initial Purchasers or to counsel for the Initial Purchasers shall be deemed to be a representation and warranty by the Company or such Guarantor to each Initial Purchaser as to the matters set forth therein.</w:t>
      </w:r>
    </w:p>
    <w:p>
      <w:pPr>
        <w:spacing w:after="0" w:line="16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2.</w:t>
        <w:tab/>
        <w:t>Purchase, Sale and Delivery of the Securities.</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140" w:hanging="437"/>
        <w:spacing w:after="0"/>
        <w:tabs>
          <w:tab w:leader="none" w:pos="114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The Company agrees to issue and sell to the</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right="33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several Initial Purchasers, severally and not jointly, all of the Securities upon the terms herein set forth. On the basis of the representations, warranties and agreements herein contained, and upon the terms but subject to the conditions herein set forth, the Initial Purchasers agree, severally and not jointly, to purchase</w:t>
      </w:r>
    </w:p>
    <w:p>
      <w:pPr>
        <w:spacing w:after="0" w:line="2" w:lineRule="exact"/>
        <w:rPr>
          <w:sz w:val="20"/>
          <w:szCs w:val="20"/>
          <w:color w:val="auto"/>
        </w:rPr>
      </w:pPr>
    </w:p>
    <w:p>
      <w:pPr>
        <w:ind w:left="1140" w:right="3459"/>
        <w:spacing w:after="0" w:line="252" w:lineRule="auto"/>
        <w:rPr>
          <w:sz w:val="20"/>
          <w:szCs w:val="20"/>
          <w:color w:val="auto"/>
        </w:rPr>
      </w:pPr>
      <w:r>
        <w:rPr>
          <w:rFonts w:ascii="Courier New" w:cs="Courier New" w:eastAsia="Courier New" w:hAnsi="Courier New"/>
          <w:sz w:val="14"/>
          <w:szCs w:val="14"/>
          <w:color w:val="auto"/>
        </w:rPr>
        <w:t>from the Company the aggregate principal amount of Securities set forth opposite their names on Schedule I, at a purchase</w:t>
      </w:r>
    </w:p>
    <w:p>
      <w:pPr>
        <w:spacing w:after="0" w:line="1"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140" w:right="3719"/>
        <w:spacing w:after="0" w:line="258" w:lineRule="auto"/>
        <w:rPr>
          <w:sz w:val="20"/>
          <w:szCs w:val="20"/>
          <w:color w:val="auto"/>
        </w:rPr>
      </w:pPr>
      <w:r>
        <w:rPr>
          <w:rFonts w:ascii="Courier New" w:cs="Courier New" w:eastAsia="Courier New" w:hAnsi="Courier New"/>
          <w:sz w:val="14"/>
          <w:szCs w:val="14"/>
          <w:color w:val="auto"/>
        </w:rPr>
        <w:t>price of 97.25% of the principal amount thereof payable on the Closing Date.</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246" w:name="page247"/>
    <w:bookmarkEnd w:id="246"/>
    <w:p>
      <w:pPr>
        <w:ind w:left="1140" w:hanging="437"/>
        <w:spacing w:after="0"/>
        <w:tabs>
          <w:tab w:leader="none" w:pos="114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Date.  Delivery of certificates for the Securities in</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right="33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form to be purchased by the Initial Purchasers and payment therefor shall be made at the offices of Latham &amp; Watkins, 555 Eleventh Street, Washington, D.C. (or such other place as may be agreed to by the Company and the Initial Purchasers) at 9:00 a.m. East Coast time, on May 18, 2001 or such other time and date as the Initial Purchasers shall designate by notice to the Company (the time and date of such closing are called the "Closing Date").</w:t>
      </w:r>
    </w:p>
    <w:p>
      <w:pPr>
        <w:spacing w:after="0" w:line="3"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140" w:right="3279"/>
        <w:spacing w:after="0" w:line="253" w:lineRule="auto"/>
        <w:rPr>
          <w:sz w:val="20"/>
          <w:szCs w:val="20"/>
          <w:color w:val="auto"/>
        </w:rPr>
      </w:pPr>
      <w:r>
        <w:rPr>
          <w:rFonts w:ascii="Courier New" w:cs="Courier New" w:eastAsia="Courier New" w:hAnsi="Courier New"/>
          <w:sz w:val="14"/>
          <w:szCs w:val="14"/>
          <w:color w:val="auto"/>
        </w:rPr>
        <w:t>The Company hereby acknowledges that circumstances under which the Initial Purchasers may provide notice to postpone the Closing Date as originally scheduled include, but are in no way limited to, any determination by the Company or the Initial Purchasers to recirculate to investors copies of an amended or supplemented Offering Memorandum or a delay as contemplated by the provisions of Section 17.</w:t>
      </w:r>
    </w:p>
    <w:p>
      <w:pPr>
        <w:spacing w:after="0" w:line="332" w:lineRule="exact"/>
        <w:rPr>
          <w:sz w:val="20"/>
          <w:szCs w:val="20"/>
          <w:color w:val="auto"/>
        </w:rPr>
      </w:pPr>
    </w:p>
    <w:p>
      <w:pPr>
        <w:ind w:left="1140" w:hanging="437"/>
        <w:spacing w:after="0"/>
        <w:tabs>
          <w:tab w:leader="none" w:pos="114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the Securities.  The Company shall deliver, or</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cause to be delivered, to Banc of America Securities LLC for the accounts of the several Initial Purchasers certificates for the Securities at the Closing Date against the irrevocable release of a wire transfer of immediately available funds for the amount of the purchase price therefor. The certificates for the Securities shall be in such denominations and registered in the name of Cede &amp; Co., as nominee of the Depository, and shall be made available for inspection on the business day preceding the Closing Date at a location in New York City, as the Initial Purchasers may designate. Time shall be of the essence, and delivery at the time and place specified in this Agreement is a further condition to the obligations of the Initial Purchasers.</w:t>
      </w:r>
    </w:p>
    <w:p>
      <w:pPr>
        <w:spacing w:after="0" w:line="163" w:lineRule="exact"/>
        <w:rPr>
          <w:rFonts w:ascii="Courier New" w:cs="Courier New" w:eastAsia="Courier New" w:hAnsi="Courier New"/>
          <w:sz w:val="14"/>
          <w:szCs w:val="14"/>
          <w:color w:val="auto"/>
        </w:rPr>
      </w:pPr>
    </w:p>
    <w:p>
      <w:pPr>
        <w:ind w:left="1140" w:hanging="437"/>
        <w:spacing w:after="0"/>
        <w:tabs>
          <w:tab w:leader="none" w:pos="114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Offering Memorandum to the Initial Purchasers.  Not</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later than 12:00 noon on the fourth business day following the date of this Agreement, the Company shall deliver or cause to be delivered copies of the Offering Memorandum in such quantities and at such places as the Initial Purchasers shall reasonably request.</w:t>
      </w:r>
    </w:p>
    <w:p>
      <w:pPr>
        <w:spacing w:after="0" w:line="163" w:lineRule="exact"/>
        <w:rPr>
          <w:rFonts w:ascii="Courier New" w:cs="Courier New" w:eastAsia="Courier New" w:hAnsi="Courier New"/>
          <w:sz w:val="14"/>
          <w:szCs w:val="14"/>
          <w:color w:val="auto"/>
        </w:rPr>
      </w:pPr>
    </w:p>
    <w:p>
      <w:pPr>
        <w:ind w:left="1140" w:hanging="437"/>
        <w:spacing w:after="0"/>
        <w:tabs>
          <w:tab w:leader="none" w:pos="114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Purchasers as Qualified Institutional Buyers.  Each</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Purchaser severally and not jointly represents and warrants to, and agrees with, the Company that it is a "qualified institutional buyer" within the meaning of Rule 144A (a "Qualified</w:t>
      </w:r>
    </w:p>
    <w:p>
      <w:pPr>
        <w:spacing w:after="0" w:line="1"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Institutional Buyer") and an "accredited investor" within the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meaning of Rule 501 under the Securities Act (an "Accredited</w:t>
      </w:r>
    </w:p>
    <w:p>
      <w:pPr>
        <w:spacing w:after="0" w:line="8"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Investor").</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140" w:hanging="437"/>
        <w:spacing w:after="0"/>
        <w:tabs>
          <w:tab w:leader="none" w:pos="114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Resale of Securities.  Each Initial Purchaser severally and not</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right="36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jointly represents and warrants to, and agrees with the Company that such Initial Purchaser will make offers of the Securities purchased hereunder on the terms set forth in the Offering Memorandum solely to (i) persons whom such Initial Purchaser reasonably believes to be Qualified Institutional Buyers, and</w:t>
      </w:r>
    </w:p>
    <w:p>
      <w:pPr>
        <w:spacing w:after="0" w:line="1" w:lineRule="exact"/>
        <w:rPr>
          <w:rFonts w:ascii="Courier New" w:cs="Courier New" w:eastAsia="Courier New" w:hAnsi="Courier New"/>
          <w:sz w:val="14"/>
          <w:szCs w:val="14"/>
          <w:color w:val="auto"/>
        </w:rPr>
      </w:pPr>
    </w:p>
    <w:p>
      <w:pPr>
        <w:ind w:left="1140" w:right="3279" w:hanging="3"/>
        <w:spacing w:after="0" w:line="254" w:lineRule="auto"/>
        <w:tabs>
          <w:tab w:leader="none" w:pos="1574" w:val="left"/>
        </w:tabs>
        <w:numPr>
          <w:ilvl w:val="1"/>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permitted to purchase the Securities in offshore transactions in reliance upon Regulation S under the Securities Act (such persons specified in clauses (i) and (ii) are the Subsequent Purchasers referred to herein).</w:t>
      </w:r>
    </w:p>
    <w:p>
      <w:pPr>
        <w:spacing w:after="0" w:line="163" w:lineRule="exact"/>
        <w:rPr>
          <w:sz w:val="20"/>
          <w:szCs w:val="20"/>
          <w:color w:val="auto"/>
        </w:rPr>
      </w:pPr>
    </w:p>
    <w:p>
      <w:pPr>
        <w:spacing w:after="0"/>
        <w:tabs>
          <w:tab w:leader="none" w:pos="1040" w:val="left"/>
          <w:tab w:leader="none" w:pos="3020" w:val="left"/>
        </w:tabs>
        <w:rPr>
          <w:sz w:val="20"/>
          <w:szCs w:val="20"/>
          <w:color w:val="auto"/>
        </w:rPr>
      </w:pPr>
      <w:r>
        <w:rPr>
          <w:rFonts w:ascii="Courier New" w:cs="Courier New" w:eastAsia="Courier New" w:hAnsi="Courier New"/>
          <w:sz w:val="14"/>
          <w:szCs w:val="14"/>
          <w:color w:val="auto"/>
        </w:rPr>
        <w:t>SECTION 3.</w:t>
        <w:tab/>
        <w:t>Additional Covenants.</w:t>
        <w:tab/>
        <w:t>The Company and the Guarantors, jointly and</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severally, further covenant and agree with each Initial Purchaser as follows:</w:t>
      </w:r>
    </w:p>
    <w:p>
      <w:pPr>
        <w:spacing w:after="0" w:line="175" w:lineRule="exact"/>
        <w:rPr>
          <w:sz w:val="20"/>
          <w:szCs w:val="20"/>
          <w:color w:val="auto"/>
        </w:rPr>
      </w:pPr>
    </w:p>
    <w:p>
      <w:pPr>
        <w:ind w:left="1140" w:hanging="437"/>
        <w:spacing w:after="0"/>
        <w:tabs>
          <w:tab w:leader="none" w:pos="1140"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Purchasers' Review of Proposed Amendments and Supplements.</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right="34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amending or supplementing the Offering Memorandum, the Company shall furnish to the Initial Purchasers for review a copy of each such proposed amendment or supplement, and the Company shall not use any such proposed amendment or supplement to which the Initial Purchasers reasonably object.</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247" w:name="page248"/>
    <w:bookmarkEnd w:id="247"/>
    <w:p>
      <w:pPr>
        <w:ind w:left="440" w:hanging="437"/>
        <w:spacing w:after="0"/>
        <w:tabs>
          <w:tab w:leader="none" w:pos="440"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Supplements to the Offering Memorandum and Other</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Act Matters.  If, prior to the completion of the</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placement of the Securities by the Initial Purchasers with the Subsequent Purchasers, any event shall occur or condition exist as a result of which it is necessary to amend or supplement the Offering Memorandum in order to make the statements therein, in the light of the circumstances when the Offering Memorandum is delivered to a purchaser, not misleading, or if in the opinion of the Initial Purchasers or counsel for the Initial Purchasers it is otherwise necessary to amend or supplement the Offering Memorandum to comply with law, the Company agrees to promptly prepare (subject to Section 3 hereof), and furnish at its own expense to the Initial Purchasers, amendments or supplements to the Offering Memorandum so that the statements in the Offering Memorandum as so amended or supplemented will not, in the light of the circumstances when the Offering Memorandum is delivered to a purchaser, be misleading or so that the Offering Memorandum, as amended or supplemented, will comply with law.</w:t>
      </w:r>
    </w:p>
    <w:p>
      <w:pPr>
        <w:spacing w:after="0" w:line="17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Following the consummation of the Exchange Offer or the effectiveness of an applicable shelf registration statement and for so long as the Securities are outstanding if, in the reasonable judgment of the Initial Purchasers, the Initial Purchasers or any of their affiliates (as such term is defined in the rules and regulations under the Securities Act) are required to deliver a prospectus in connection with sales of, or market-making activities with respect to, such securities, to periodically amend the applicable registration statement so that the information contained therein complies with the requirements of Section 10 of the Securities Act, to amend the applicable registration statement or supplement the related prospectus or the documents incorporated therein when necessary to reflect any material changes in the information provided therein so that the registration statement and the prospectus will not contain any untrue statement of a material fact or omit to state any material fact necessary in order to make the statements therein, in the light of the circumstances existing as of the date the prospectus is so delivered, not misleading and to provide the Initial Purchasers with copies of each amendment or supplement filed and the information required to be provided to the Trustee pursuant to the Indenture.</w:t>
      </w:r>
    </w:p>
    <w:p>
      <w:pPr>
        <w:spacing w:after="0" w:line="341"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Company and Guarantors hereby expressly acknowledge that the indemnification and contribution provisions of Sections 8 and 9 hereof are specifically applicable and relate to each offering memorandum, registration statement, prospectus, amendment or supplement referred to in this Section 3.</w:t>
      </w:r>
    </w:p>
    <w:p>
      <w:pPr>
        <w:spacing w:after="0" w:line="162" w:lineRule="exact"/>
        <w:rPr>
          <w:sz w:val="20"/>
          <w:szCs w:val="20"/>
          <w:color w:val="auto"/>
        </w:rPr>
      </w:pPr>
    </w:p>
    <w:p>
      <w:pPr>
        <w:ind w:left="440" w:hanging="437"/>
        <w:spacing w:after="0"/>
        <w:tabs>
          <w:tab w:leader="none" w:pos="44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the Offering Memorandum.  The Company agrees to furnish</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Purchasers, without charge, as many copies of the Offering Memorandum and any amendments and supplements thereto as they shall have reasonably requested.</w:t>
      </w:r>
    </w:p>
    <w:p>
      <w:pPr>
        <w:spacing w:after="0" w:line="162" w:lineRule="exact"/>
        <w:rPr>
          <w:rFonts w:ascii="Courier New" w:cs="Courier New" w:eastAsia="Courier New" w:hAnsi="Courier New"/>
          <w:sz w:val="14"/>
          <w:szCs w:val="14"/>
          <w:color w:val="auto"/>
        </w:rPr>
      </w:pPr>
    </w:p>
    <w:p>
      <w:pPr>
        <w:ind w:left="440" w:hanging="437"/>
        <w:spacing w:after="0"/>
        <w:tabs>
          <w:tab w:leader="none" w:pos="44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 Sky Compliance.  The Company shall cooperate with the</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Purchasers and counsel for the Initial Purchasers to qualify or register the Securities for sale under (or obtain exemptions from the application of) the Blue Sky or state securities laws of those jurisdictions designated by the Initial Purchasers, shall comply with such laws and shall continue such qualifications, registrations and exemptions in effect so long as required for the distribution of the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Initial Purchasers promptly of the suspension of the qualification or registration of (or any such exemption relating to) the Securities for offering, sale or trading in any jurisdiction or any initiation or threat of any proceeding for any such</w:t>
      </w:r>
    </w:p>
    <w:p>
      <w:pPr>
        <w:spacing w:after="0" w:line="33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539"/>
          </w:cols>
          <w:pgMar w:left="920" w:top="620" w:right="1440" w:bottom="1440" w:gutter="0" w:footer="0" w:header="0"/>
        </w:sectPr>
      </w:pPr>
    </w:p>
    <w:bookmarkStart w:id="248" w:name="page249"/>
    <w:bookmarkEnd w:id="248"/>
    <w:p>
      <w:pPr>
        <w:ind w:left="437" w:right="3459"/>
        <w:spacing w:after="0" w:line="254" w:lineRule="auto"/>
        <w:rPr>
          <w:sz w:val="20"/>
          <w:szCs w:val="20"/>
          <w:color w:val="auto"/>
        </w:rPr>
      </w:pPr>
      <w:r>
        <w:rPr>
          <w:rFonts w:ascii="Courier New" w:cs="Courier New" w:eastAsia="Courier New" w:hAnsi="Courier New"/>
          <w:sz w:val="14"/>
          <w:szCs w:val="14"/>
          <w:color w:val="auto"/>
        </w:rPr>
        <w:t>purpose, and in the event of the issuance of any order suspending such qualification, registration or exemption, the Company shall use its best efforts to obtain the withdrawal thereof at the earliest possible moment.</w:t>
      </w:r>
    </w:p>
    <w:p>
      <w:pPr>
        <w:spacing w:after="0" w:line="163" w:lineRule="exact"/>
        <w:rPr>
          <w:sz w:val="20"/>
          <w:szCs w:val="20"/>
          <w:color w:val="auto"/>
        </w:rPr>
      </w:pPr>
    </w:p>
    <w:p>
      <w:pPr>
        <w:ind w:left="437" w:hanging="437"/>
        <w:spacing w:after="0"/>
        <w:tabs>
          <w:tab w:leader="none" w:pos="437"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The Company shall apply the net proceeds from</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Securities sold by it in the manner described under the caption "Use of Proceeds" in the Offering Memorandum.</w:t>
      </w:r>
    </w:p>
    <w:p>
      <w:pPr>
        <w:spacing w:after="0" w:line="159" w:lineRule="exact"/>
        <w:rPr>
          <w:rFonts w:ascii="Courier New" w:cs="Courier New" w:eastAsia="Courier New" w:hAnsi="Courier New"/>
          <w:sz w:val="14"/>
          <w:szCs w:val="14"/>
          <w:color w:val="auto"/>
        </w:rPr>
      </w:pPr>
    </w:p>
    <w:p>
      <w:pPr>
        <w:ind w:left="437" w:hanging="437"/>
        <w:spacing w:after="0"/>
        <w:tabs>
          <w:tab w:leader="none" w:pos="437"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Depositary.  The Company will cooperate with the Initial</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Purchasers and use its best efforts to permit the Securities to be eligible for clearance and settlement through the facilities of the Depositary.</w:t>
      </w:r>
    </w:p>
    <w:p>
      <w:pPr>
        <w:spacing w:after="0" w:line="162" w:lineRule="exact"/>
        <w:rPr>
          <w:rFonts w:ascii="Courier New" w:cs="Courier New" w:eastAsia="Courier New" w:hAnsi="Courier New"/>
          <w:sz w:val="14"/>
          <w:szCs w:val="14"/>
          <w:color w:val="auto"/>
        </w:rPr>
      </w:pPr>
    </w:p>
    <w:p>
      <w:pPr>
        <w:ind w:left="437" w:hanging="437"/>
        <w:spacing w:after="0"/>
        <w:tabs>
          <w:tab w:leader="none" w:pos="437"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Issuer Information.  At any time when the Company is</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7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 subject to Section 13 or 15 of the Exchange Act, for the benefit of holders and beneficial owners from time to time of Securities, the Company shall furnish, at its expense, upon request, to holders and beneficial owners of Securities and prospective purchasers of Securities information ("Additional</w:t>
      </w:r>
    </w:p>
    <w:p>
      <w:pPr>
        <w:spacing w:after="0" w:line="2" w:lineRule="exact"/>
        <w:rPr>
          <w:sz w:val="20"/>
          <w:szCs w:val="20"/>
          <w:color w:val="auto"/>
        </w:rPr>
      </w:pPr>
    </w:p>
    <w:p>
      <w:pPr>
        <w:ind w:left="4857"/>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37"/>
        <w:spacing w:after="0"/>
        <w:rPr>
          <w:sz w:val="20"/>
          <w:szCs w:val="20"/>
          <w:color w:val="auto"/>
        </w:rPr>
      </w:pPr>
      <w:r>
        <w:rPr>
          <w:rFonts w:ascii="Courier New" w:cs="Courier New" w:eastAsia="Courier New" w:hAnsi="Courier New"/>
          <w:sz w:val="14"/>
          <w:szCs w:val="14"/>
          <w:color w:val="auto"/>
        </w:rPr>
        <w:t>Issuer Information") satisfying the requirements of subsection</w:t>
      </w:r>
    </w:p>
    <w:p>
      <w:pPr>
        <w:spacing w:after="0" w:line="8" w:lineRule="exact"/>
        <w:rPr>
          <w:sz w:val="20"/>
          <w:szCs w:val="20"/>
          <w:color w:val="auto"/>
        </w:rPr>
      </w:pPr>
    </w:p>
    <w:p>
      <w:pPr>
        <w:ind w:left="437"/>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37"/>
        <w:spacing w:after="0"/>
        <w:rPr>
          <w:sz w:val="20"/>
          <w:szCs w:val="20"/>
          <w:color w:val="auto"/>
        </w:rPr>
      </w:pPr>
      <w:r>
        <w:rPr>
          <w:rFonts w:ascii="Courier New" w:cs="Courier New" w:eastAsia="Courier New" w:hAnsi="Courier New"/>
          <w:sz w:val="14"/>
          <w:szCs w:val="14"/>
          <w:color w:val="auto"/>
        </w:rPr>
        <w:t>of Rule 144A.</w:t>
      </w:r>
    </w:p>
    <w:p>
      <w:pPr>
        <w:spacing w:after="0" w:line="175" w:lineRule="exact"/>
        <w:rPr>
          <w:sz w:val="20"/>
          <w:szCs w:val="20"/>
          <w:color w:val="auto"/>
        </w:rPr>
      </w:pPr>
    </w:p>
    <w:p>
      <w:pPr>
        <w:ind w:left="437" w:hanging="437"/>
        <w:spacing w:after="0"/>
        <w:tabs>
          <w:tab w:leader="none" w:pos="437"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Future Reports to the Initial Purchasers.  For so long as any</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or Exchange Securities remain outstanding, the Company will make available to Banc of America Securities LLC (i) as soon as practicable after the end of each fiscal year, copies of the Annual Report of the Company containing the consolidated balance sheet of the Company and its subsidiaries as of the close of such fiscal year and consolidated statements of income, stockholders' equity and cash flows for the year then ended and the opinion thereon of the Company's and its subsidiaries independent public or certified public accountants; (ii) as soon as practicable after the filing thereof, copies of each proxy statement, Annual Report on Form 10-K, Quarterly Report on Form 10-Q, Current Report on</w:t>
      </w:r>
    </w:p>
    <w:p>
      <w:pPr>
        <w:spacing w:after="0" w:line="4" w:lineRule="exact"/>
        <w:rPr>
          <w:rFonts w:ascii="Courier New" w:cs="Courier New" w:eastAsia="Courier New" w:hAnsi="Courier New"/>
          <w:sz w:val="14"/>
          <w:szCs w:val="14"/>
          <w:color w:val="auto"/>
        </w:rPr>
      </w:pPr>
    </w:p>
    <w:p>
      <w:pPr>
        <w:ind w:left="437" w:right="33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Form 8-K or other report filed by the Company and its subsidiaries with the Commission, the NASD or any securities exchange; and</w:t>
      </w:r>
    </w:p>
    <w:p>
      <w:pPr>
        <w:ind w:left="437" w:right="3379" w:hanging="3"/>
        <w:spacing w:after="0" w:line="255" w:lineRule="auto"/>
        <w:tabs>
          <w:tab w:leader="none" w:pos="957" w:val="left"/>
        </w:tabs>
        <w:numPr>
          <w:ilvl w:val="1"/>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copies of any report or communication of the Company mailed generally to holders of its capital stock or debt securities (including the holders of the Securities).</w:t>
      </w:r>
    </w:p>
    <w:p>
      <w:pPr>
        <w:spacing w:after="0" w:line="162" w:lineRule="exact"/>
        <w:rPr>
          <w:rFonts w:ascii="Courier New" w:cs="Courier New" w:eastAsia="Courier New" w:hAnsi="Courier New"/>
          <w:sz w:val="14"/>
          <w:szCs w:val="14"/>
          <w:color w:val="auto"/>
        </w:rPr>
      </w:pPr>
    </w:p>
    <w:p>
      <w:pPr>
        <w:ind w:left="437" w:hanging="437"/>
        <w:spacing w:after="0"/>
        <w:tabs>
          <w:tab w:leader="none" w:pos="437"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Integration.  The Company agrees that it will not and will</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cause its Affiliates not to make any offer or sale of securities of the Company of any class if, as a result of the doctrine of "integration" referred to in Rule 502 under the Securities Act, such offer or sale would render invalid (for the purpose of the sale of the Securities by the Company to the Initial Purchasers,</w:t>
      </w:r>
    </w:p>
    <w:p>
      <w:pPr>
        <w:spacing w:after="0" w:line="1" w:lineRule="exact"/>
        <w:rPr>
          <w:rFonts w:ascii="Courier New" w:cs="Courier New" w:eastAsia="Courier New" w:hAnsi="Courier New"/>
          <w:sz w:val="14"/>
          <w:szCs w:val="14"/>
          <w:color w:val="auto"/>
        </w:rPr>
      </w:pPr>
    </w:p>
    <w:p>
      <w:pPr>
        <w:ind w:left="437" w:right="3379" w:hanging="3"/>
        <w:spacing w:after="0" w:line="254" w:lineRule="auto"/>
        <w:tabs>
          <w:tab w:leader="none" w:pos="784" w:val="left"/>
        </w:tabs>
        <w:numPr>
          <w:ilvl w:val="1"/>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resale of the Securities by the Initial Purchasers to Subsequent Purchasers or (ii) the resale of the Securities by such Subsequent Purchasers to others) the exemption from the registration requirements of the Securities Act provided by Section 4 thereof or by Rule 144A or by Regulation S thereunder or otherwise.</w:t>
      </w:r>
    </w:p>
    <w:p>
      <w:pPr>
        <w:spacing w:after="0" w:line="329" w:lineRule="exact"/>
        <w:rPr>
          <w:rFonts w:ascii="Courier New" w:cs="Courier New" w:eastAsia="Courier New" w:hAnsi="Courier New"/>
          <w:sz w:val="14"/>
          <w:szCs w:val="14"/>
          <w:color w:val="auto"/>
        </w:rPr>
      </w:pPr>
    </w:p>
    <w:p>
      <w:pPr>
        <w:ind w:left="437" w:hanging="437"/>
        <w:spacing w:after="0"/>
        <w:tabs>
          <w:tab w:leader="none" w:pos="437"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Legended Securities.  Each certificate for a Note will bear the</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legend contained in "Notice to Investors" in the Offering Memorandum for the time period and upon the other terms stated in the Offering Memorandum.</w:t>
      </w:r>
    </w:p>
    <w:p>
      <w:pPr>
        <w:spacing w:after="0" w:line="329" w:lineRule="exact"/>
        <w:rPr>
          <w:rFonts w:ascii="Courier New" w:cs="Courier New" w:eastAsia="Courier New" w:hAnsi="Courier New"/>
          <w:sz w:val="14"/>
          <w:szCs w:val="14"/>
          <w:color w:val="auto"/>
        </w:rPr>
      </w:pPr>
    </w:p>
    <w:p>
      <w:pPr>
        <w:ind w:left="437" w:hanging="437"/>
        <w:spacing w:after="0"/>
        <w:tabs>
          <w:tab w:leader="none" w:pos="437"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PORTAL.  The Company will use its best efforts to cause such</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6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be eligible for the National Association of Securities Dealers, Inc. PORTAL market (the "PORTAL market").</w:t>
      </w:r>
    </w:p>
    <w:p>
      <w:pPr>
        <w:spacing w:after="0" w:line="1" w:lineRule="exact"/>
        <w:rPr>
          <w:sz w:val="20"/>
          <w:szCs w:val="20"/>
          <w:color w:val="auto"/>
        </w:rPr>
      </w:pPr>
    </w:p>
    <w:p>
      <w:pPr>
        <w:ind w:left="3377"/>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37" w:hanging="437"/>
        <w:spacing w:after="0"/>
        <w:tabs>
          <w:tab w:leader="none" w:pos="437"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Comfort Letter.</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597"/>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536"/>
          </w:cols>
          <w:pgMar w:left="923" w:top="620" w:right="1440" w:bottom="1440" w:gutter="0" w:footer="0" w:header="0"/>
        </w:sectPr>
      </w:pPr>
    </w:p>
    <w:bookmarkStart w:id="249" w:name="page250"/>
    <w:bookmarkEnd w:id="249"/>
    <w:tbl>
      <w:tblPr>
        <w:tblLayout w:type="fixed"/>
        <w:tblInd w:w="1140" w:type="dxa"/>
        <w:tblCellMar>
          <w:top w:w="0" w:type="dxa"/>
          <w:left w:w="0" w:type="dxa"/>
          <w:bottom w:w="0" w:type="dxa"/>
          <w:right w:w="0" w:type="dxa"/>
        </w:tblCellMar>
      </w:tblPr>
      <w:tr>
        <w:trPr>
          <w:trHeight w:val="162"/>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The Company shall cause Arthur Andersen</w:t>
            </w:r>
          </w:p>
        </w:tc>
        <w:tc>
          <w:tcPr>
            <w:tcW w:w="2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LLP, independent public</w:t>
            </w:r>
          </w:p>
        </w:tc>
      </w:tr>
      <w:tr>
        <w:trPr>
          <w:trHeight w:val="167"/>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accountants for the Company, to deliver</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to the Initial</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Purchasers a</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letter dated</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as of the same date as 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final Offering</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Memorandum</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addressed to</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the Initial Purchasers, in</w:t>
            </w:r>
          </w:p>
        </w:tc>
        <w:tc>
          <w:tcPr>
            <w:tcW w:w="2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form and substance</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satisfactory</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to the Initial Purchasers,</w:t>
            </w:r>
          </w:p>
        </w:tc>
        <w:tc>
          <w:tcPr>
            <w:tcW w:w="2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containing statements and</w:t>
            </w:r>
          </w:p>
        </w:tc>
      </w:tr>
      <w:tr>
        <w:trPr>
          <w:trHeight w:val="167"/>
        </w:trPr>
        <w:tc>
          <w:tcPr>
            <w:tcW w:w="5820" w:type="dxa"/>
            <w:vAlign w:val="bottom"/>
            <w:gridSpan w:val="4"/>
          </w:tcPr>
          <w:p>
            <w:pPr>
              <w:spacing w:after="0"/>
              <w:rPr>
                <w:sz w:val="20"/>
                <w:szCs w:val="20"/>
                <w:color w:val="auto"/>
              </w:rPr>
            </w:pPr>
            <w:r>
              <w:rPr>
                <w:rFonts w:ascii="Courier New" w:cs="Courier New" w:eastAsia="Courier New" w:hAnsi="Courier New"/>
                <w:sz w:val="14"/>
                <w:szCs w:val="14"/>
                <w:color w:val="auto"/>
              </w:rPr>
              <w:t>information of the type ordinarily included in accountant's</w:t>
            </w:r>
          </w:p>
        </w:tc>
      </w:tr>
      <w:tr>
        <w:trPr>
          <w:trHeight w:val="167"/>
        </w:trPr>
        <w:tc>
          <w:tcPr>
            <w:tcW w:w="5820" w:type="dxa"/>
            <w:vAlign w:val="bottom"/>
            <w:gridSpan w:val="4"/>
          </w:tcPr>
          <w:p>
            <w:pPr>
              <w:spacing w:after="0"/>
              <w:rPr>
                <w:sz w:val="20"/>
                <w:szCs w:val="20"/>
                <w:color w:val="auto"/>
              </w:rPr>
            </w:pPr>
            <w:r>
              <w:rPr>
                <w:rFonts w:ascii="Courier New" w:cs="Courier New" w:eastAsia="Courier New" w:hAnsi="Courier New"/>
                <w:sz w:val="14"/>
                <w:szCs w:val="14"/>
                <w:color w:val="auto"/>
              </w:rPr>
              <w:t>"comfort letters" to Initial Purchasers, delivered according to</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Statement of</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Auditing Standards Nos. 72</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and 76 (or any</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successor</w:t>
            </w:r>
          </w:p>
        </w:tc>
      </w:tr>
      <w:tr>
        <w:trPr>
          <w:trHeight w:val="167"/>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bulletins), with respect to the audited</w:t>
            </w:r>
          </w:p>
        </w:tc>
        <w:tc>
          <w:tcPr>
            <w:tcW w:w="2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unaudited financial</w:t>
            </w:r>
          </w:p>
        </w:tc>
      </w:tr>
      <w:tr>
        <w:trPr>
          <w:trHeight w:val="167"/>
        </w:trPr>
        <w:tc>
          <w:tcPr>
            <w:tcW w:w="4720" w:type="dxa"/>
            <w:vAlign w:val="bottom"/>
            <w:gridSpan w:val="3"/>
          </w:tcPr>
          <w:p>
            <w:pPr>
              <w:spacing w:after="0"/>
              <w:rPr>
                <w:sz w:val="20"/>
                <w:szCs w:val="20"/>
                <w:color w:val="auto"/>
              </w:rPr>
            </w:pPr>
            <w:r>
              <w:rPr>
                <w:rFonts w:ascii="Courier New" w:cs="Courier New" w:eastAsia="Courier New" w:hAnsi="Courier New"/>
                <w:sz w:val="14"/>
                <w:szCs w:val="14"/>
                <w:color w:val="auto"/>
              </w:rPr>
              <w:t>statements and certain financial information contained</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the Offering</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Memorandum.</w:t>
            </w:r>
          </w:p>
        </w:tc>
        <w:tc>
          <w:tcPr>
            <w:tcW w:w="2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71"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Banc of America Securities LLC, on behalf of the several Initial Purchasers, may, in its sole discretion, waive in writing the performance by the Company or any Guarantor of any one or more of the foregoing covenants or extend the time for their performance.</w:t>
      </w:r>
    </w:p>
    <w:p>
      <w:pPr>
        <w:spacing w:after="0" w:line="163" w:lineRule="exact"/>
        <w:rPr>
          <w:sz w:val="20"/>
          <w:szCs w:val="20"/>
          <w:color w:val="auto"/>
        </w:rPr>
      </w:pPr>
    </w:p>
    <w:p>
      <w:pPr>
        <w:spacing w:after="0"/>
        <w:tabs>
          <w:tab w:leader="none" w:pos="1040" w:val="left"/>
          <w:tab w:leader="none" w:pos="2940" w:val="left"/>
        </w:tabs>
        <w:rPr>
          <w:sz w:val="20"/>
          <w:szCs w:val="20"/>
          <w:color w:val="auto"/>
        </w:rPr>
      </w:pPr>
      <w:r>
        <w:rPr>
          <w:rFonts w:ascii="Courier New" w:cs="Courier New" w:eastAsia="Courier New" w:hAnsi="Courier New"/>
          <w:sz w:val="14"/>
          <w:szCs w:val="14"/>
          <w:color w:val="auto"/>
        </w:rPr>
        <w:t>SECTION 4.</w:t>
        <w:tab/>
        <w:t>Payment of Expenses.</w:t>
        <w:tab/>
        <w:t>The Company agrees to pay (i) all costs,</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fees and expenses incurred in connection with the performance of its obligations hereunder and in connection with the transactions contemplated hereby, including without limitation all expenses incident to the issuance and delivery of the Securities (including all printing and engraving costs), (ii) all necessary issue, transfer and other stamp taxes in connection with the issuance and sale of the Securities to the Initial Purchasers, (iii) all fees and expenses of the Company's and the Guarantors' counsel, independent public or certified public accountants and other advisors, (iv) all costs and expenses incurred in connection with the preparation, printing, filing, shipping and distribution of each Preliminary Offering Memorandum and the Offering Memorandum (including financial statements and exhibits), and all amendments and supplements thereto, this Agreement, the Registration Rights Agreement, the Indenture and the Notes and the Guarantees, (v) all filing fees, attorneys' fees and expenses incurred by the Company or the Initial Purchasers in connection with qualifying or registering (or obtaining exemptions from the qualification or registration of) all or any part of the Securities for offer and sale under the Blue Sky laws and, if requested by the Initial Purchasers, preparing and printing a "Blue Sky Survey" or memorandum, and any supplements thereto, advising the Initial Purchasers of such qualifications, registrations and exemptions, (vi) the fees and expenses of the Trustee, including the fees and disbursements of counsel for the Trustee in connection with the Indenture, the Securities and the Exchange Securities, (vii) any fees payable in connection with the rating of the Securities or the Exchange Securities with the ratings agencies and the listing of the Securities with the PORTAL market, (viii) any filing fees incident to the review by the National Association of Securities Dealers, Inc., if any, of the terms of the sale of the Securities or the Exchange Securities, (ix) all fees and expenses (including reasonable fees and expenses of counsel) of the Company and the Guarantors in connection with approval of the Securities by DTC for "book-entry" transfer, and the performance by the Company and the Guarantors of their respective obligations under this Agreement. Except as provided in this Section 4, Section 6, Section 8 and Section 9 hereof, the Initial Purchasers shall pay their own expenses, including the fees and disbursements of their counsel.</w:t>
      </w:r>
    </w:p>
    <w:p>
      <w:pPr>
        <w:spacing w:after="0" w:line="346" w:lineRule="exact"/>
        <w:rPr>
          <w:sz w:val="20"/>
          <w:szCs w:val="20"/>
          <w:color w:val="auto"/>
        </w:rPr>
      </w:pPr>
    </w:p>
    <w:p>
      <w:pPr>
        <w:spacing w:after="0"/>
        <w:tabs>
          <w:tab w:leader="none" w:pos="1040" w:val="left"/>
          <w:tab w:leader="none" w:pos="6060" w:val="left"/>
        </w:tabs>
        <w:rPr>
          <w:sz w:val="20"/>
          <w:szCs w:val="20"/>
          <w:color w:val="auto"/>
        </w:rPr>
      </w:pPr>
      <w:r>
        <w:rPr>
          <w:rFonts w:ascii="Courier New" w:cs="Courier New" w:eastAsia="Courier New" w:hAnsi="Courier New"/>
          <w:sz w:val="14"/>
          <w:szCs w:val="14"/>
          <w:color w:val="auto"/>
        </w:rPr>
        <w:t>SECTION 5.</w:t>
        <w:tab/>
        <w:t>Conditions of the Obligations of the Initial Purchasers.</w:t>
        <w:tab/>
        <w:t>The</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obligations of the several Initial Purchasers to purchase and pay for the Securities as provided herein on the Closing Date shall be subject to the accuracy of the representations and warranties on the part of the Company and Guarantors set forth in Section 1 hereof as of the date hereof and as of the Closing Date as though then made and to the timely performance by the Company and Guarantors of its covenants and other obligations hereunder, and to each of the following additional conditions:</w:t>
      </w:r>
    </w:p>
    <w:p>
      <w:pPr>
        <w:spacing w:after="0" w:line="165" w:lineRule="exact"/>
        <w:rPr>
          <w:sz w:val="20"/>
          <w:szCs w:val="20"/>
          <w:color w:val="auto"/>
        </w:rPr>
      </w:pPr>
    </w:p>
    <w:p>
      <w:pPr>
        <w:ind w:left="1140" w:hanging="437"/>
        <w:spacing w:after="0"/>
        <w:tabs>
          <w:tab w:leader="none" w:pos="1140"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Accountants' Comfort Letter.  The Initial Purchasers shall have</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received from Arthur Andersen LLP, independent public accountants for the Company, a letter dated the date of the Offering Memorandum addressed to the Initial Purchasers, in form and substance satisfactory to the Initial Purchasers, containing statements and</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250" w:name="page251"/>
    <w:bookmarkEnd w:id="250"/>
    <w:p>
      <w:pPr>
        <w:ind w:left="437" w:right="3539"/>
        <w:spacing w:after="0" w:line="253" w:lineRule="auto"/>
        <w:rPr>
          <w:sz w:val="20"/>
          <w:szCs w:val="20"/>
          <w:color w:val="auto"/>
        </w:rPr>
      </w:pPr>
      <w:r>
        <w:rPr>
          <w:rFonts w:ascii="Courier New" w:cs="Courier New" w:eastAsia="Courier New" w:hAnsi="Courier New"/>
          <w:sz w:val="14"/>
          <w:szCs w:val="14"/>
          <w:color w:val="auto"/>
        </w:rPr>
        <w:t>information of the type ordinarily included in accountant's "comfort letters" to Initial Purchasers, delivered according to Statement of Auditing Standards Nos. 72 and 76 (or any successor bulletins), with respect to the audited and unaudited financial statements and certain financial information contained in the Registration Statement and the Offering Memorandum.</w:t>
      </w:r>
    </w:p>
    <w:p>
      <w:pPr>
        <w:spacing w:after="0" w:line="165" w:lineRule="exact"/>
        <w:rPr>
          <w:sz w:val="20"/>
          <w:szCs w:val="20"/>
          <w:color w:val="auto"/>
        </w:rPr>
      </w:pPr>
    </w:p>
    <w:p>
      <w:pPr>
        <w:ind w:left="437" w:hanging="437"/>
        <w:spacing w:after="0"/>
        <w:tabs>
          <w:tab w:leader="none" w:pos="437"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Change or Ratings Agency Change.  For the</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7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period from and after the date of this Agreement and prior to the Closing Date:</w:t>
      </w:r>
    </w:p>
    <w:p>
      <w:pPr>
        <w:spacing w:after="0" w:line="159" w:lineRule="exact"/>
        <w:rPr>
          <w:rFonts w:ascii="Courier New" w:cs="Courier New" w:eastAsia="Courier New" w:hAnsi="Courier New"/>
          <w:sz w:val="14"/>
          <w:szCs w:val="14"/>
          <w:color w:val="auto"/>
        </w:rPr>
      </w:pPr>
    </w:p>
    <w:p>
      <w:pPr>
        <w:ind w:left="1557" w:right="3459" w:hanging="515"/>
        <w:spacing w:after="0" w:line="255" w:lineRule="auto"/>
        <w:tabs>
          <w:tab w:leader="none" w:pos="1557" w:val="left"/>
        </w:tabs>
        <w:numPr>
          <w:ilvl w:val="1"/>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reasonable judgment of the Initial Purchasers there shall not have occurred any Material Adverse Change; and</w:t>
      </w:r>
    </w:p>
    <w:p>
      <w:pPr>
        <w:spacing w:after="0" w:line="162" w:lineRule="exact"/>
        <w:rPr>
          <w:rFonts w:ascii="Courier New" w:cs="Courier New" w:eastAsia="Courier New" w:hAnsi="Courier New"/>
          <w:sz w:val="14"/>
          <w:szCs w:val="14"/>
          <w:color w:val="auto"/>
        </w:rPr>
      </w:pPr>
    </w:p>
    <w:p>
      <w:pPr>
        <w:ind w:left="1557" w:hanging="515"/>
        <w:spacing w:after="0"/>
        <w:tabs>
          <w:tab w:leader="none" w:pos="1557" w:val="left"/>
        </w:tabs>
        <w:numPr>
          <w:ilvl w:val="1"/>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any downgrading,</w:t>
      </w:r>
    </w:p>
    <w:p>
      <w:pPr>
        <w:spacing w:after="0" w:line="8" w:lineRule="exact"/>
        <w:rPr>
          <w:rFonts w:ascii="Courier New" w:cs="Courier New" w:eastAsia="Courier New" w:hAnsi="Courier New"/>
          <w:sz w:val="14"/>
          <w:szCs w:val="14"/>
          <w:color w:val="auto"/>
        </w:rPr>
      </w:pPr>
    </w:p>
    <w:p>
      <w:pPr>
        <w:ind w:left="1557"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such term is defined for purposes of Rule 436 under the Securities Act.</w:t>
      </w:r>
    </w:p>
    <w:p>
      <w:pPr>
        <w:spacing w:after="0" w:line="164" w:lineRule="exact"/>
        <w:rPr>
          <w:rFonts w:ascii="Courier New" w:cs="Courier New" w:eastAsia="Courier New" w:hAnsi="Courier New"/>
          <w:sz w:val="14"/>
          <w:szCs w:val="14"/>
          <w:color w:val="auto"/>
        </w:rPr>
      </w:pPr>
    </w:p>
    <w:p>
      <w:pPr>
        <w:ind w:left="437" w:hanging="437"/>
        <w:spacing w:after="0"/>
        <w:tabs>
          <w:tab w:leader="none" w:pos="437"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Counsel for the Company.  On the Closing Date, the</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6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Purchasers shall have received the favorable opinion of Kirkland &amp; Ellis, counsel for the Company and certain of the Guarantors, dated as of such Closing Date, the form of which is attached as Exhibit A.</w:t>
      </w:r>
    </w:p>
    <w:p>
      <w:pPr>
        <w:spacing w:after="0" w:line="1" w:lineRule="exact"/>
        <w:rPr>
          <w:rFonts w:ascii="Courier New" w:cs="Courier New" w:eastAsia="Courier New" w:hAnsi="Courier New"/>
          <w:sz w:val="14"/>
          <w:szCs w:val="14"/>
          <w:color w:val="auto"/>
        </w:rPr>
      </w:pPr>
    </w:p>
    <w:p>
      <w:pPr>
        <w:ind w:left="147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37" w:hanging="437"/>
        <w:spacing w:after="0"/>
        <w:tabs>
          <w:tab w:leader="none" w:pos="437"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Regulatory Counsel for the Company.  On the Closing</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4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Date, the Initial Purchasers shall have received the favorable opinion of Davis Wright Tremaine LLP, special regulatory counsel for the Company, dated as of such Closing Date, the form of which</w:t>
      </w:r>
    </w:p>
    <w:p>
      <w:pPr>
        <w:spacing w:after="0" w:line="1" w:lineRule="exact"/>
        <w:rPr>
          <w:sz w:val="20"/>
          <w:szCs w:val="20"/>
          <w:color w:val="auto"/>
        </w:rPr>
      </w:pPr>
    </w:p>
    <w:p>
      <w:pPr>
        <w:ind w:left="437"/>
        <w:spacing w:after="0"/>
        <w:rPr>
          <w:sz w:val="20"/>
          <w:szCs w:val="20"/>
          <w:color w:val="auto"/>
        </w:rPr>
      </w:pPr>
      <w:r>
        <w:rPr>
          <w:rFonts w:ascii="Courier New" w:cs="Courier New" w:eastAsia="Courier New" w:hAnsi="Courier New"/>
          <w:sz w:val="14"/>
          <w:szCs w:val="14"/>
          <w:color w:val="auto"/>
        </w:rPr>
        <w:t>is attached as Exhibit B.</w:t>
      </w:r>
    </w:p>
    <w:p>
      <w:pPr>
        <w:spacing w:after="0" w:line="8" w:lineRule="exact"/>
        <w:rPr>
          <w:sz w:val="20"/>
          <w:szCs w:val="20"/>
          <w:color w:val="auto"/>
        </w:rPr>
      </w:pPr>
    </w:p>
    <w:p>
      <w:pPr>
        <w:ind w:left="1737"/>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37" w:hanging="437"/>
        <w:spacing w:after="0"/>
        <w:tabs>
          <w:tab w:leader="none" w:pos="437"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Counsel for the Initial Purchasers.  On the Closing</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Date the Initial Purchasers shall have received the favorable opinion of Latham &amp; Watkins, counsel for the Initial Purchasers, dated as of such Closing Date, with respect to such matters as may be reasonably requested by the Initial Purchasers.</w:t>
      </w:r>
    </w:p>
    <w:p>
      <w:pPr>
        <w:spacing w:after="0" w:line="163" w:lineRule="exact"/>
        <w:rPr>
          <w:rFonts w:ascii="Courier New" w:cs="Courier New" w:eastAsia="Courier New" w:hAnsi="Courier New"/>
          <w:sz w:val="14"/>
          <w:szCs w:val="14"/>
          <w:color w:val="auto"/>
        </w:rPr>
      </w:pPr>
    </w:p>
    <w:p>
      <w:pPr>
        <w:ind w:left="437" w:hanging="437"/>
        <w:spacing w:after="0"/>
        <w:tabs>
          <w:tab w:leader="none" w:pos="437"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Certificate.  On the Closing Date the Initial</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Purchasers shall have received a written certificate executed by the Chairman of the Board, Chief Executive Officer, President, or Chief Financial Officer of the Company, and one additional executive officer of the Company and each Guarantor, dated as of the Closing Date, to the effect set forth in subsection b (ii) of this Section 5, and further to the effect that:</w:t>
      </w:r>
    </w:p>
    <w:p>
      <w:pPr>
        <w:spacing w:after="0" w:line="165" w:lineRule="exact"/>
        <w:rPr>
          <w:rFonts w:ascii="Courier New" w:cs="Courier New" w:eastAsia="Courier New" w:hAnsi="Courier New"/>
          <w:sz w:val="14"/>
          <w:szCs w:val="14"/>
          <w:color w:val="auto"/>
        </w:rPr>
      </w:pPr>
    </w:p>
    <w:p>
      <w:pPr>
        <w:ind w:left="877" w:right="3459" w:hanging="9"/>
        <w:spacing w:after="0" w:line="255" w:lineRule="auto"/>
        <w:tabs>
          <w:tab w:leader="none" w:pos="1224" w:val="left"/>
        </w:tabs>
        <w:numPr>
          <w:ilvl w:val="1"/>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period from and after the date of this Agreement and prior to the Closing Date there has not occurred any Material Adverse Change;</w:t>
      </w:r>
    </w:p>
    <w:p>
      <w:pPr>
        <w:spacing w:after="0" w:line="162" w:lineRule="exact"/>
        <w:rPr>
          <w:rFonts w:ascii="Courier New" w:cs="Courier New" w:eastAsia="Courier New" w:hAnsi="Courier New"/>
          <w:sz w:val="14"/>
          <w:szCs w:val="14"/>
          <w:color w:val="auto"/>
        </w:rPr>
      </w:pPr>
    </w:p>
    <w:p>
      <w:pPr>
        <w:ind w:left="877" w:right="3279" w:hanging="9"/>
        <w:spacing w:after="0" w:line="254" w:lineRule="auto"/>
        <w:tabs>
          <w:tab w:leader="none" w:pos="1311" w:val="left"/>
        </w:tabs>
        <w:numPr>
          <w:ilvl w:val="1"/>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Company and the Guarantors set forth in Section 1 of this Agreement are true and correct with the same force and effect as though expressly made on and as of the Closing Date; and</w:t>
      </w:r>
    </w:p>
    <w:p>
      <w:pPr>
        <w:spacing w:after="0" w:line="163" w:lineRule="exact"/>
        <w:rPr>
          <w:rFonts w:ascii="Courier New" w:cs="Courier New" w:eastAsia="Courier New" w:hAnsi="Courier New"/>
          <w:sz w:val="14"/>
          <w:szCs w:val="14"/>
          <w:color w:val="auto"/>
        </w:rPr>
      </w:pPr>
    </w:p>
    <w:p>
      <w:pPr>
        <w:ind w:left="877" w:right="3279" w:hanging="9"/>
        <w:spacing w:after="0" w:line="255" w:lineRule="auto"/>
        <w:tabs>
          <w:tab w:leader="none" w:pos="1397" w:val="left"/>
        </w:tabs>
        <w:numPr>
          <w:ilvl w:val="1"/>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Guarantors have complied with all the agreements and satisfied all the conditions on its part to be performed or satisfied at or prior to the Closing Date.</w:t>
      </w:r>
    </w:p>
    <w:p>
      <w:pPr>
        <w:spacing w:after="0" w:line="162" w:lineRule="exact"/>
        <w:rPr>
          <w:sz w:val="20"/>
          <w:szCs w:val="20"/>
          <w:color w:val="auto"/>
        </w:rPr>
      </w:pPr>
    </w:p>
    <w:p>
      <w:pPr>
        <w:ind w:left="2597"/>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536"/>
          </w:cols>
          <w:pgMar w:left="923" w:top="620" w:right="1440" w:bottom="1440" w:gutter="0" w:footer="0" w:header="0"/>
        </w:sectPr>
      </w:pPr>
    </w:p>
    <w:bookmarkStart w:id="251" w:name="page252"/>
    <w:bookmarkEnd w:id="251"/>
    <w:p>
      <w:pPr>
        <w:ind w:left="1140" w:hanging="437"/>
        <w:spacing w:after="0"/>
        <w:tabs>
          <w:tab w:leader="none" w:pos="1140"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Bring-down Comfort Letter.  On the Closing Date, the Initial</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Purchasers shall have received from Arthur Andersen LLP, independent public or certified public accountants for the Company, a letter dated such date, in form and substance satisfactory to the Initial Purchasers, to the effect that they reaffirm the statements made in the letter furnished by them pursuant to subsection (a) of this Section 5, except that the specified date referred to therein for the carrying out of procedures shall be no more than three business days prior to the Closing Date.</w:t>
      </w:r>
    </w:p>
    <w:p>
      <w:pPr>
        <w:spacing w:after="0" w:line="164" w:lineRule="exact"/>
        <w:rPr>
          <w:rFonts w:ascii="Courier New" w:cs="Courier New" w:eastAsia="Courier New" w:hAnsi="Courier New"/>
          <w:sz w:val="14"/>
          <w:szCs w:val="14"/>
          <w:color w:val="auto"/>
        </w:rPr>
      </w:pPr>
    </w:p>
    <w:p>
      <w:pPr>
        <w:ind w:left="1140" w:hanging="437"/>
        <w:spacing w:after="0"/>
        <w:tabs>
          <w:tab w:leader="none" w:pos="1140"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PORTAL Listing.  At the Closing Date the Notes shall have been</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for trading on the PORTAL market.</w:t>
      </w:r>
    </w:p>
    <w:p>
      <w:pPr>
        <w:spacing w:after="0" w:line="175" w:lineRule="exact"/>
        <w:rPr>
          <w:rFonts w:ascii="Courier New" w:cs="Courier New" w:eastAsia="Courier New" w:hAnsi="Courier New"/>
          <w:sz w:val="14"/>
          <w:szCs w:val="14"/>
          <w:color w:val="auto"/>
        </w:rPr>
      </w:pPr>
    </w:p>
    <w:p>
      <w:pPr>
        <w:ind w:left="1140" w:hanging="437"/>
        <w:spacing w:after="0"/>
        <w:tabs>
          <w:tab w:leader="none" w:pos="1140"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Agreement.  The Company and each Guarantor</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have entered into the Registration Rights Agreement and the Initial Purchasers shall have received executed counterparts thereof.</w:t>
      </w:r>
    </w:p>
    <w:p>
      <w:pPr>
        <w:spacing w:after="0" w:line="162" w:lineRule="exact"/>
        <w:rPr>
          <w:rFonts w:ascii="Courier New" w:cs="Courier New" w:eastAsia="Courier New" w:hAnsi="Courier New"/>
          <w:sz w:val="14"/>
          <w:szCs w:val="14"/>
          <w:color w:val="auto"/>
        </w:rPr>
      </w:pPr>
    </w:p>
    <w:p>
      <w:pPr>
        <w:ind w:left="1140" w:hanging="437"/>
        <w:spacing w:after="0"/>
        <w:tabs>
          <w:tab w:leader="none" w:pos="1140"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The Company, each Guarantor and the Trustee shall have</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right="35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entered into the Indenture and the Initial Purchasers shall have received an executed copy thereof.</w:t>
      </w:r>
    </w:p>
    <w:p>
      <w:pPr>
        <w:spacing w:after="0" w:line="159" w:lineRule="exact"/>
        <w:rPr>
          <w:rFonts w:ascii="Courier New" w:cs="Courier New" w:eastAsia="Courier New" w:hAnsi="Courier New"/>
          <w:sz w:val="14"/>
          <w:szCs w:val="14"/>
          <w:color w:val="auto"/>
        </w:rPr>
      </w:pPr>
    </w:p>
    <w:p>
      <w:pPr>
        <w:ind w:left="1140" w:hanging="437"/>
        <w:spacing w:after="0"/>
        <w:tabs>
          <w:tab w:leader="none" w:pos="1140"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Documents.  On or before the Closing Date, the Initial</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Purchasers and counsel for the Initial Purchasers shall have received such information, documents and opinions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spacing w:after="0" w:line="165"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If any condition specified in this Section 5 is not satisfied when and as required to be satisfied, this Agreement may be terminated by the Initial Purchasers by notice to the Company at any time on or prior to the Closing Date, which termination shall be without liability on the part of any party to any other party, except that Section 4, Section 6, Section 8 and Section 9 shall at all times be effective and shall survive such termination.</w:t>
      </w:r>
    </w:p>
    <w:p>
      <w:pPr>
        <w:spacing w:after="0" w:line="165" w:lineRule="exact"/>
        <w:rPr>
          <w:sz w:val="20"/>
          <w:szCs w:val="20"/>
          <w:color w:val="auto"/>
        </w:rPr>
      </w:pPr>
    </w:p>
    <w:p>
      <w:pPr>
        <w:spacing w:after="0"/>
        <w:tabs>
          <w:tab w:leader="none" w:pos="1040" w:val="left"/>
          <w:tab w:leader="none" w:pos="5200" w:val="left"/>
        </w:tabs>
        <w:rPr>
          <w:sz w:val="20"/>
          <w:szCs w:val="20"/>
          <w:color w:val="auto"/>
        </w:rPr>
      </w:pPr>
      <w:r>
        <w:rPr>
          <w:rFonts w:ascii="Courier New" w:cs="Courier New" w:eastAsia="Courier New" w:hAnsi="Courier New"/>
          <w:sz w:val="14"/>
          <w:szCs w:val="14"/>
          <w:color w:val="auto"/>
        </w:rPr>
        <w:t>SECTION 6.</w:t>
        <w:tab/>
        <w:t>Reimbursement of Initial Purchasers' Expenses.</w:t>
        <w:tab/>
        <w:t>If this Agreement</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is terminated by the Initial Purchasers pursuant to Section 5, or if the sale to the Initial Purchasers of the Securities on the Closing Date is not consummated because of any refusal, inability or failure on the part of the Company or the Guarantors to perform any agreement herein or to comply with any provision hereof, each of the Company and Guarantors agrees, jointly and severally, to reimburse the Initial Purchasers (or such Initial Purchasers as have terminated this Agreement with respect to themselves), severally, upon demand for all out-of-pocket expenses that shall have been reasonably incurred by the Initial Purchasers in connection with the proposed purchase and the offering and sale of the Securities, including but not limited to fees and disbursements of counsel, printing expenses, travel expenses, postage, facsimile and telephone charges.</w:t>
      </w:r>
    </w:p>
    <w:p>
      <w:pPr>
        <w:spacing w:after="0" w:line="164" w:lineRule="exact"/>
        <w:rPr>
          <w:sz w:val="20"/>
          <w:szCs w:val="20"/>
          <w:color w:val="auto"/>
        </w:rPr>
      </w:pPr>
    </w:p>
    <w:p>
      <w:pPr>
        <w:spacing w:after="0"/>
        <w:tabs>
          <w:tab w:leader="none" w:pos="1040" w:val="left"/>
          <w:tab w:leader="none" w:pos="4160" w:val="left"/>
        </w:tabs>
        <w:rPr>
          <w:sz w:val="20"/>
          <w:szCs w:val="20"/>
          <w:color w:val="auto"/>
        </w:rPr>
      </w:pPr>
      <w:r>
        <w:rPr>
          <w:rFonts w:ascii="Courier New" w:cs="Courier New" w:eastAsia="Courier New" w:hAnsi="Courier New"/>
          <w:sz w:val="14"/>
          <w:szCs w:val="14"/>
          <w:color w:val="auto"/>
        </w:rPr>
        <w:t>SECTION 7.</w:t>
        <w:tab/>
        <w:t>Offer, Sale and Resale Procedures.</w:t>
        <w:tab/>
        <w:t>Each of the Initial Purchasers,</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on the one hand, and the Company and each of the Guarantors, on the other hand, hereby establish and agree to observe the following procedures in connection with the offer and sale of the Securities:</w:t>
      </w:r>
    </w:p>
    <w:p>
      <w:pPr>
        <w:spacing w:after="0" w:line="162" w:lineRule="exact"/>
        <w:rPr>
          <w:sz w:val="20"/>
          <w:szCs w:val="20"/>
          <w:color w:val="auto"/>
        </w:rPr>
      </w:pPr>
    </w:p>
    <w:p>
      <w:pPr>
        <w:ind w:right="3279" w:firstLine="1051"/>
        <w:spacing w:after="0" w:line="253" w:lineRule="auto"/>
        <w:tabs>
          <w:tab w:leader="none" w:pos="1475"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Offers and sales of the Securities will be made only by the Initial Purchasers or Affiliates thereof qualified to do so in the jurisdictions in which such offers or sales are made. Each such offer or sale shall only be made to persons whom the offeror or seller reasonably believes to be qualified institutional buyers (as defined in Rule 144A under the Securities Act) or non-U.S. persons outside the United States to whom the offeror or seller reasonably believes offers and sales of the Securities may be made in reliance upon Regulation S under the Securities</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252" w:name="page253"/>
    <w:bookmarkEnd w:id="252"/>
    <w:p>
      <w:pPr>
        <w:spacing w:after="0"/>
        <w:rPr>
          <w:sz w:val="20"/>
          <w:szCs w:val="20"/>
          <w:color w:val="auto"/>
        </w:rPr>
      </w:pPr>
      <w:r>
        <w:rPr>
          <w:rFonts w:ascii="Courier New" w:cs="Courier New" w:eastAsia="Courier New" w:hAnsi="Courier New"/>
          <w:sz w:val="14"/>
          <w:szCs w:val="14"/>
          <w:color w:val="auto"/>
        </w:rPr>
        <w:t>Act, upon the terms and conditions set forth in Annex I hereto, which Annex I</w:t>
      </w:r>
    </w:p>
    <w:p>
      <w:pPr>
        <w:spacing w:after="0" w:line="8" w:lineRule="exact"/>
        <w:rPr>
          <w:sz w:val="20"/>
          <w:szCs w:val="20"/>
          <w:color w:val="auto"/>
        </w:rPr>
      </w:pPr>
    </w:p>
    <w:p>
      <w:pPr>
        <w:ind w:left="4180"/>
        <w:spacing w:after="0"/>
        <w:tabs>
          <w:tab w:leader="none" w:pos="60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hereby expressly made a part hereof.</w:t>
      </w:r>
    </w:p>
    <w:p>
      <w:pPr>
        <w:spacing w:after="0" w:line="342" w:lineRule="exact"/>
        <w:rPr>
          <w:sz w:val="20"/>
          <w:szCs w:val="20"/>
          <w:color w:val="auto"/>
        </w:rPr>
      </w:pPr>
    </w:p>
    <w:p>
      <w:pPr>
        <w:ind w:right="3279" w:firstLine="1051"/>
        <w:spacing w:after="0" w:line="254" w:lineRule="auto"/>
        <w:tabs>
          <w:tab w:leader="none" w:pos="1475"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Securities will be offered by approaching prospective Subsequent Purchasers on an individual basis. No general solicitation or general advertising (within the meaning of Rule 502 under the Securities Act) will be used in the United States in connection with the offering of the Securities.</w:t>
      </w:r>
    </w:p>
    <w:p>
      <w:pPr>
        <w:spacing w:after="0" w:line="163" w:lineRule="exact"/>
        <w:rPr>
          <w:rFonts w:ascii="Courier New" w:cs="Courier New" w:eastAsia="Courier New" w:hAnsi="Courier New"/>
          <w:sz w:val="14"/>
          <w:szCs w:val="14"/>
          <w:color w:val="auto"/>
        </w:rPr>
      </w:pPr>
    </w:p>
    <w:p>
      <w:pPr>
        <w:ind w:right="3459" w:firstLine="1051"/>
        <w:spacing w:after="0" w:line="254" w:lineRule="auto"/>
        <w:tabs>
          <w:tab w:leader="none" w:pos="1475"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original issuance by the Company, and until such time as the same is no longer required under the applicable requirements of the Securities Act, the Securities (and all securities issued in exchange therefor or in substitution thereof, other than the Exchange Securities) shall bear the following legend:</w:t>
      </w:r>
    </w:p>
    <w:p>
      <w:pPr>
        <w:spacing w:after="0" w:line="162" w:lineRule="exact"/>
        <w:rPr>
          <w:sz w:val="20"/>
          <w:szCs w:val="20"/>
          <w:color w:val="auto"/>
        </w:rPr>
      </w:pPr>
    </w:p>
    <w:p>
      <w:pPr>
        <w:ind w:right="3279" w:firstLine="1475"/>
        <w:spacing w:after="0" w:line="252" w:lineRule="auto"/>
        <w:rPr>
          <w:sz w:val="20"/>
          <w:szCs w:val="20"/>
          <w:color w:val="auto"/>
        </w:rPr>
      </w:pPr>
      <w:r>
        <w:rPr>
          <w:rFonts w:ascii="Courier New" w:cs="Courier New" w:eastAsia="Courier New" w:hAnsi="Courier New"/>
          <w:sz w:val="14"/>
          <w:szCs w:val="14"/>
          <w:color w:val="auto"/>
        </w:rPr>
        <w:t>"THE SECURITY (OR ITS PREDECESSOR) EVIDENCED HEREBY WAS ORIGINALLY ISSUED IN A TRANSACTION EXEMPT FROM REGISTRATION UNDER SECTION 5 OF THE UNITED STATES SECURITIES ACT OF 1933, AS AMENDED (THE "SECURITIES ACT"), AND THE SECURITY EVIDENCED HEREBY MAY NOT BE OFFERED, SOLD OR OTHERWISE TRANSFERRED IN THE ABSENCE OF SUCH REGISTRATION OR AN APPLICABLE EXEMPTION THEREFROM. EACH PURCHASER OF THE SECURITY EVIDENCED HEREBY IS HEREBY NOTIFIED THAT THE SELLER MAY BE RELYING ON THE EXEMPTION FROM THE PROVISIONS OF SECTION 5 OF THE SECURITIES ACT PROVIDED BY RULE 144A THEREUNDER. THE HOLDER OF THE SECURITY EVIDENCED HEREBY AGREES FOR THE BENEFIT OF THE ISSUER THAT (A) SUCH SECURITY MAY BE RESOLD, PLEDGED OR OTHERWISE TRANSFERRED ONLY (i) (a) TO A PERSON WHO IS A QUALIFIED INSTITUTIONAL BUYER (AS DEFINED IN RULE 144A UNDER THE SECURITIES ACT) IN A TRANSACTION MEETING THE REQUIREMENTS OF RULE 144A, (b) IN A TRANSACTION MEETING THE REQUIREMENTS OF RULE 144 UNDER THE SECURITIES ACT, (c) OUTSIDE THE UNITED STATES TO A FOREIGN PERSON IN A TRANSACTION MEETING THE REQUIREMENTS OF RULE 904 UNDER THE SECURITIES ACT, (d) TO AN INSTITUTIONAL "ACCREDITED INVESTOR" (AS DEFINED IN RULE 501(a)(1), (2), (3) OR (7) OF THE SECURITIES ACT (AN</w:t>
      </w:r>
    </w:p>
    <w:p>
      <w:pPr>
        <w:spacing w:after="0" w:line="6"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"INSTITUTIONAL ACCREDITED INVESTOR")) THAT, PRIOR TO SUCH TRANSFER, FURNISHES THE TRUSTEE A SIGNED LETTER CONTAINING CERTAIN REPRESENTATIONS AND AGREEMENTS (THE FORM OF WHICH CAN BE OBTAINED FROM THE TRUSTEE) AND, IF SUCH TRANSFER IS IN RESPECT OF AN AGGREGATE PRINCIPAL AMOUNT OF NOTES LESS THAN $250,000, AN OPINION OF COUNSEL ACCEPTABLE TO THE ISSUER THAT SUCH TRANSFER IS IN COMPLIANCE WITH THE SECURITIES ACT, OR (e) IN ACCORDANCE WITH ANOTHER EXEMPTION FROM THE REGISTRATION REQUIREMENTS OF THE SECURITIES ACT (AND BASED UPON AN OPINION OF COUNSEL IF THE ISSUER SO REQUESTS), (ii) TO THE ISSUER, OR (iii) PURSUANT TO AN EFFECTIVE REGISTRATION STATEMENT AND, IN EACH CASE, IN ACCORDANCE WITH ANY APPLICABLE SECURITIES LAWS OF ANY STATE OF THE UNITED STATES OR ANY OTHER APPLICABLE JURISDICTION AND (B) THE HOLDER WILL, AND EACH SUBSEQUENT HOLDER IS REQUIRED TO, NOTIFY ANY PURCHASER FROM IT OF THE SECURITY EVIDENCED HEREBY OF THE RESALE RESTRICTIONS SET FORTH IN (A) ABOVE."</w:t>
      </w:r>
    </w:p>
    <w:p>
      <w:pPr>
        <w:spacing w:after="0" w:line="163" w:lineRule="exact"/>
        <w:rPr>
          <w:sz w:val="20"/>
          <w:szCs w:val="20"/>
          <w:color w:val="auto"/>
        </w:rPr>
      </w:pPr>
    </w:p>
    <w:p>
      <w:pPr>
        <w:ind w:right="3379" w:firstLine="1475"/>
        <w:spacing w:after="0" w:line="253" w:lineRule="auto"/>
        <w:rPr>
          <w:sz w:val="20"/>
          <w:szCs w:val="20"/>
          <w:color w:val="auto"/>
        </w:rPr>
      </w:pPr>
      <w:r>
        <w:rPr>
          <w:rFonts w:ascii="Courier New" w:cs="Courier New" w:eastAsia="Courier New" w:hAnsi="Courier New"/>
          <w:sz w:val="14"/>
          <w:szCs w:val="14"/>
          <w:color w:val="auto"/>
        </w:rPr>
        <w:t>Following the sale of the Securities by the Initial Purchasers to Subsequent Purchasers pursuant to the terms hereof, the Initial Purchasers shall not be liable or responsible to the Company for any losses, damages or liabilities suffered or incurred by the Company, including any losses, damages or liabilities under the Securities Act, arising from or relating to any resale or transfer of any Security by any non-Affiliates of the Initial Purchasers.</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8.</w:t>
      </w:r>
      <w:r>
        <w:rPr>
          <w:sz w:val="20"/>
          <w:szCs w:val="20"/>
          <w:color w:val="auto"/>
        </w:rPr>
        <w:tab/>
      </w:r>
      <w:r>
        <w:rPr>
          <w:rFonts w:ascii="Courier New" w:cs="Courier New" w:eastAsia="Courier New" w:hAnsi="Courier New"/>
          <w:sz w:val="14"/>
          <w:szCs w:val="14"/>
          <w:color w:val="auto"/>
        </w:rPr>
        <w:t>Indemnification.</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253" w:name="page254"/>
    <w:bookmarkEnd w:id="253"/>
    <w:p>
      <w:pPr>
        <w:ind w:left="437" w:hanging="437"/>
        <w:spacing w:after="0"/>
        <w:tabs>
          <w:tab w:leader="none" w:pos="437"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of the Initial Purchasers.  The Company and the</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Guarantors, jointly and severally, agree to indemnify and hold harmless each Initial Purchaser, its directors, officers and employees, and each person, if any, who controls any Initial Purchaser within the meaning of the Securities Act and the Exchange Act against any loss, claim, damage, liability or expense, as incurred, to which such Initial Purchaser or such controlling person may become subject, under the Securities Act, the Exchange Act or other federal or state statutory law or regulation, or at common law or otherwise (including in settlement of any litigation, if such settlement is effected with the written consent of the Company), insofar as such loss, claim, damage, liability or expense (or actions in respect thereof as contemplated below) arises out of or is based (i) upon any untrue statement or alleged untrue statement of a material fact contained in the Preliminary Offering Memorandum or the Offering Memorandum (or any amendment or supplement thereto), or the omission or alleged omission therefrom of a material fact necessary in order to make the statements therein, in the light of the circumstances under which they were made, not misleading; or (ii) in whole or in part upon any failure of the Company or the Guarantors to perform its obligations hereunder or under law; or (iii) any act or failure to act or any alleged act or failure to act by any Initial Purchaser in connection with, or relating in any manner to, the offering contemplated hereby, and which is included as part of or referred to in any loss, claim, damage, liability or action arising out of or based upon any matter covered by clause (i) above, provided that the Company and the Guarantors shall not be liable under this clause (iii) to the extent that a court of competent jurisdiction shall have determined by a final judgment that such loss, claim, damage, liability or action resulted directly from any such acts or failures to act undertaken or omitted to be taken by such Initial Purchaser through its gross negligence or willful misconduct; and to reimburse each Initial Purchaser and each such controlling person for reasonable expenses (including the reasonable fees and disbursements of counsel chosen by Banc of America Securities LLC) as such expenses are reasonably incurred by such Initial Purchaser or such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Initial Purchasers for use in any Preliminary Offering Memorandum or the Offering Memorandum (or any amendment or supplement thereto). The indemnity agreement set forth in this Section 8 shall be in addition to any liabilities that the Company or the Guarantors may otherwise have.</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left="437" w:hanging="437"/>
        <w:spacing w:after="0"/>
        <w:tabs>
          <w:tab w:leader="none" w:pos="437"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of the Company, its Directors and Officers.  Each</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3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Purchaser agrees, severally and not jointly, to indemnify and hold harmless the Company and each of its directors and each person, if any, who controls the Company within the meaning of the Securities Act or the Exchange Act, against any loss, claim, damage, liability or expense, as incurred, to which the Company or any such director, or controlling person may become subject, under the Securities Act, the Exchange Act, or other federal or state statutory law or regulation, or at common law or otherwise (including in settlement of any litigation, if such settlement is effected with the written consent of such Initial Purchaser), insofar as such loss, claim, damage, liability or expense (or actions in respect thereof as contemplated below) arises out of or is based upon any untrue or alleged untrue statement of a material fact contained in any Preliminary Offering Memorandum or the Offering Memorandum (or any</w:t>
      </w:r>
    </w:p>
    <w:p>
      <w:pPr>
        <w:spacing w:after="0" w:line="173" w:lineRule="exact"/>
        <w:rPr>
          <w:sz w:val="20"/>
          <w:szCs w:val="20"/>
          <w:color w:val="auto"/>
        </w:rPr>
      </w:pPr>
    </w:p>
    <w:p>
      <w:pPr>
        <w:ind w:left="2597"/>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536"/>
          </w:cols>
          <w:pgMar w:left="923" w:top="620" w:right="1440" w:bottom="1440" w:gutter="0" w:footer="0" w:header="0"/>
        </w:sectPr>
      </w:pPr>
    </w:p>
    <w:bookmarkStart w:id="254" w:name="page255"/>
    <w:bookmarkEnd w:id="254"/>
    <w:p>
      <w:pPr>
        <w:ind w:left="437" w:right="3279"/>
        <w:spacing w:after="0" w:line="252" w:lineRule="auto"/>
        <w:rPr>
          <w:sz w:val="20"/>
          <w:szCs w:val="20"/>
          <w:color w:val="auto"/>
        </w:rPr>
      </w:pPr>
      <w:r>
        <w:rPr>
          <w:rFonts w:ascii="Courier New" w:cs="Courier New" w:eastAsia="Courier New" w:hAnsi="Courier New"/>
          <w:sz w:val="14"/>
          <w:szCs w:val="14"/>
          <w:color w:val="auto"/>
        </w:rPr>
        <w:t>amendment or supplement thereto), or arises out of or is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Offering Memorandum or the Offering Memorandum (or any amendment or supplement thereto), in reliance upon and in conformity with written information furnished to the Company by the Initial Purchasers expressly for use therein; and to reimburse the Company or any such director or controlling person for any legal and other expenses reasonably incurred by the Company or any such director or controlling person in connection with investigating, defending, settling, compromising or paying any such loss, claim, damage, liability, expense or action. The Company hereby acknowledges that the only information that the Initial Purchasers have furnished to the Company expressly for use in any Preliminary Offering Memorandum or the Offering Memorandum (or any amendment or supplement thereto) are the statements set forth as the fifth paragraph on page ii of the Offering Memorandum concerning stabilization by the Initial Purchasers and in the last sentence of the third paragraph, the second sentence of the fourth paragraph and in the fifth paragraph under the caption "Plan of Distribution" in the Offering Memorandum; and the Initial Purchasers confirm that such statements are correct. The indemnity agreement set forth in this Section 8 shall be in addition to any liabilities that each Initial Purchaser may otherwise have.</w:t>
      </w:r>
    </w:p>
    <w:p>
      <w:pPr>
        <w:spacing w:after="0" w:line="344" w:lineRule="exact"/>
        <w:rPr>
          <w:sz w:val="20"/>
          <w:szCs w:val="20"/>
          <w:color w:val="auto"/>
        </w:rPr>
      </w:pPr>
    </w:p>
    <w:p>
      <w:pPr>
        <w:ind w:left="437" w:hanging="437"/>
        <w:spacing w:after="0"/>
        <w:tabs>
          <w:tab w:leader="none" w:pos="437"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Notifications and Other Indemnification Procedures.  Promptly after</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an indemnified party under this Section 8 of notice of the commencement of any action, such indemnified party will, if a claim in respect thereof is to be made against an indemnifying party under this Section 8,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Section 8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 the indemnified party shall have employed separate counsel in accordance with the proviso to the next preceding sentence (it being understood, however, that the</w:t>
      </w:r>
    </w:p>
    <w:p>
      <w:pPr>
        <w:spacing w:after="0" w:line="348" w:lineRule="exact"/>
        <w:rPr>
          <w:sz w:val="20"/>
          <w:szCs w:val="20"/>
          <w:color w:val="auto"/>
        </w:rPr>
      </w:pPr>
    </w:p>
    <w:p>
      <w:pPr>
        <w:ind w:left="2597"/>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536"/>
          </w:cols>
          <w:pgMar w:left="923" w:top="620" w:right="1440" w:bottom="1440" w:gutter="0" w:footer="0" w:header="0"/>
        </w:sectPr>
      </w:pPr>
    </w:p>
    <w:bookmarkStart w:id="255" w:name="page256"/>
    <w:bookmarkEnd w:id="255"/>
    <w:p>
      <w:pPr>
        <w:ind w:left="1140" w:right="3279"/>
        <w:spacing w:after="0" w:line="253" w:lineRule="auto"/>
        <w:rPr>
          <w:sz w:val="20"/>
          <w:szCs w:val="20"/>
          <w:color w:val="auto"/>
        </w:rPr>
      </w:pPr>
      <w:r>
        <w:rPr>
          <w:rFonts w:ascii="Courier New" w:cs="Courier New" w:eastAsia="Courier New" w:hAnsi="Courier New"/>
          <w:sz w:val="14"/>
          <w:szCs w:val="14"/>
          <w:color w:val="auto"/>
        </w:rPr>
        <w:t>indemnifying party shall not be liable for the expenses of more than one separate counsel (together with local counsel), approved by the indemnifying party (Banc of America Securities LLC in the case of Section 8 and Section 9), representing the indemnified parties who are parties to such action) or (ii) the indemnifying party shall not have employed counsel satisfactory to the indemnified party to represent the indemnified party within a reasonable time after notice of commencement of the action, in each of which cases the fees and expenses of counsel shall be at the expense of the indemnifying party.</w:t>
      </w:r>
    </w:p>
    <w:p>
      <w:pPr>
        <w:spacing w:after="0" w:line="164" w:lineRule="exact"/>
        <w:rPr>
          <w:sz w:val="20"/>
          <w:szCs w:val="20"/>
          <w:color w:val="auto"/>
        </w:rPr>
      </w:pPr>
    </w:p>
    <w:p>
      <w:pPr>
        <w:ind w:left="1140" w:hanging="437"/>
        <w:spacing w:after="0"/>
        <w:tabs>
          <w:tab w:leader="none" w:pos="1140"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Settlements.  The indemnifying party under this Section 8 shall</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8 hereof, the indemnifying party agrees that it shall be liable for any settlement of any proceeding effected without its written consent if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343" w:lineRule="exact"/>
        <w:rPr>
          <w:sz w:val="20"/>
          <w:szCs w:val="20"/>
          <w:color w:val="auto"/>
        </w:rPr>
      </w:pPr>
    </w:p>
    <w:p>
      <w:pPr>
        <w:spacing w:after="0"/>
        <w:tabs>
          <w:tab w:leader="none" w:pos="1040" w:val="left"/>
          <w:tab w:leader="none" w:pos="2340" w:val="left"/>
        </w:tabs>
        <w:rPr>
          <w:sz w:val="20"/>
          <w:szCs w:val="20"/>
          <w:color w:val="auto"/>
        </w:rPr>
      </w:pPr>
      <w:r>
        <w:rPr>
          <w:rFonts w:ascii="Courier New" w:cs="Courier New" w:eastAsia="Courier New" w:hAnsi="Courier New"/>
          <w:sz w:val="14"/>
          <w:szCs w:val="14"/>
          <w:color w:val="auto"/>
        </w:rPr>
        <w:t>SECTION 9.</w:t>
        <w:tab/>
        <w:t>Contribution.</w:t>
        <w:tab/>
        <w:t>If the indemnification provided for in Section 8 is</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Initial Purchasers, on the other hand, from the offering of the Securities pursuant to this Agreement or (ii) if the allocation provided by clause above is not permitted by applicable law, in such proportion as is appropriate to reflect not only the relative benefits referred to in clause above but also the relative fault of the Company or the Guarantors, on the one hand, and the Initial Purchasers, on the other hand, in connection with the statements or omissions or inaccuracies in the representations and warranties herein which resulted in such losses, claims, damages, liabilities or expenses, as well as any other relevant equitable considerations. The relative benefits received by the Company, on the one hand, and the Initial Purchasers,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the total discount received by the Initial Purchasers bear to the aggregate initial offering price of the Securities. The relative fault of the Company, on the one hand, and the Initial Purchasers, on the other hand, shall be determined by reference to, among other things, whether any such untrue or alleged untrue statement of a material fact or omission or alleged omission to state a material fact or any such inaccurate or alleged inaccurate</w:t>
      </w:r>
    </w:p>
    <w:p>
      <w:pPr>
        <w:spacing w:after="0" w:line="17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56" w:name="page257"/>
    <w:bookmarkEnd w:id="256"/>
    <w:p>
      <w:pPr>
        <w:ind w:right="3379"/>
        <w:spacing w:after="0" w:line="254" w:lineRule="auto"/>
        <w:rPr>
          <w:sz w:val="20"/>
          <w:szCs w:val="20"/>
          <w:color w:val="auto"/>
        </w:rPr>
      </w:pPr>
      <w:r>
        <w:rPr>
          <w:rFonts w:ascii="Courier New" w:cs="Courier New" w:eastAsia="Courier New" w:hAnsi="Courier New"/>
          <w:sz w:val="14"/>
          <w:szCs w:val="14"/>
          <w:color w:val="auto"/>
        </w:rPr>
        <w:t>representation or warranty relates to information supplied by the Company, on the one hand, or the Initial Purchasers, on the other hand, and the parties' relative intent, knowledge, access to information and opportunity to correct or prevent such statement or omission.</w:t>
      </w:r>
    </w:p>
    <w:p>
      <w:pPr>
        <w:spacing w:after="0" w:line="163"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The amount paid or payable by a party as a result of the losses, claims, damages, liabilities and expenses referred to above shall be deemed to include, subject to the limitations set forth in Section 8, any legal or other fees or expenses reasonably incurred by such party in connection with investigating or defending any action or claim. The provisions set forth in Section 8 with respect to notice of commencement of any action shall apply if a claim for contribution is to be made under this Section 9; provided, however, that no additional notice shall be required with respect to any action for which notice has been given under Section 8 for purposes of indemnification.</w:t>
      </w:r>
    </w:p>
    <w:p>
      <w:pPr>
        <w:spacing w:after="0" w:line="164"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The Company and the Initial Purchasers agree that it would not be just and equitable if contribution pursuant to this Section 9 were determined by pro rata allocation (even if the Initial Purchasers were treated as one entity for such purpose) or by any other method of allocation which does not take account of the equitable considerations referred to in this Section 9.</w:t>
      </w:r>
    </w:p>
    <w:p>
      <w:pPr>
        <w:spacing w:after="0" w:line="162" w:lineRule="exact"/>
        <w:rPr>
          <w:sz w:val="20"/>
          <w:szCs w:val="20"/>
          <w:color w:val="auto"/>
        </w:rPr>
      </w:pPr>
    </w:p>
    <w:p>
      <w:pPr>
        <w:ind w:right="3279" w:firstLine="868"/>
        <w:spacing w:after="0" w:line="252" w:lineRule="auto"/>
        <w:rPr>
          <w:sz w:val="20"/>
          <w:szCs w:val="20"/>
          <w:color w:val="auto"/>
        </w:rPr>
      </w:pPr>
      <w:r>
        <w:rPr>
          <w:rFonts w:ascii="Courier New" w:cs="Courier New" w:eastAsia="Courier New" w:hAnsi="Courier New"/>
          <w:sz w:val="14"/>
          <w:szCs w:val="14"/>
          <w:color w:val="auto"/>
        </w:rPr>
        <w:t>Notwithstanding the provisions of this Section 9, no Initial Purchaser shall be required to contribute any amount in excess of the discount received by such Initial Purchaser in connection with the Securities distributed by it. No person guilty of fraudulent misrepresentation (within the meaning of Section 11 of the Securities Act) shall be entitled to contribution from any person who was not guilty of such fraudulent misrepresentation. The Initial Purchasers' obligations to contribute pursuant to this Section 9 are several, and not joint, in proportion to their respective commitments as set forth opposite their names in Schedule I. For purposes of this Section 9, each director, officer and</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employee of an Initial Purchaser and each person, if any, who controls an Initial Purchaser within the meaning of the Securities Act and the Exchange Act shall have the same rights to contribution as such Initial Purchaser, and each director of the Company, and each person, if any, who controls the Company with the meaning of the Securities Act and the Exchange Act shall have the same rights to contribution as the Company.</w:t>
      </w:r>
    </w:p>
    <w:p>
      <w:pPr>
        <w:spacing w:after="0" w:line="165" w:lineRule="exact"/>
        <w:rPr>
          <w:sz w:val="20"/>
          <w:szCs w:val="20"/>
          <w:color w:val="auto"/>
        </w:rPr>
      </w:pPr>
    </w:p>
    <w:p>
      <w:pPr>
        <w:spacing w:after="0"/>
        <w:tabs>
          <w:tab w:leader="none" w:pos="1120" w:val="left"/>
          <w:tab w:leader="none" w:pos="3900" w:val="left"/>
        </w:tabs>
        <w:rPr>
          <w:sz w:val="20"/>
          <w:szCs w:val="20"/>
          <w:color w:val="auto"/>
        </w:rPr>
      </w:pPr>
      <w:r>
        <w:rPr>
          <w:rFonts w:ascii="Courier New" w:cs="Courier New" w:eastAsia="Courier New" w:hAnsi="Courier New"/>
          <w:sz w:val="14"/>
          <w:szCs w:val="14"/>
          <w:color w:val="auto"/>
        </w:rPr>
        <w:t>SECTION 10.</w:t>
        <w:tab/>
        <w:t>Termination of this Agreement.</w:t>
        <w:tab/>
        <w:t>Prior to the Closing Date, this</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Agreement may be terminated by the Initial Purchasers by notice given to the Company if at any time (i) trading or quotation in any of the Company's securities shall have been suspended or limited by the Commission, or trading in securities generally on the Nasdaq Stock Market or the New York Stock Exchange shall have been suspended or limited or minimum or maximum prices shall have been generally established on any such stock exchanges by the Commission or the NASD; (ii) a general banking moratorium shall have been declared by any of federal, New York, Delaware or California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reasonable judgment of the Initial Purchasers is material and adverse and makes it impracticable to market the Securities in the manner and on the terms described in the Offering Memorandum or to enforce contracts for the sale of securities; (iv) in the reasonable judgment of the Initial Purchasers there shall have occurred any Material Adverse Change; or the Company or its subsidiaries shall have sustained a loss by strike, fire, flood, earthquake, accident or other calamity of such character as in the reasonable judgment of the Initial Purchasers may interfere materially with the conduct of the business and operations of the Company or its subsidiaries regardless of whether or not such loss shall have been insured.</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Any termination pursuant to this Section 10 shall be without liability on the part of the Company and the Guarantors to any Initial Purchaser, except that the Company and the Guarantors shall be obligated to reimburse the expenses of the Initial Purchasers pursuant to Section 4 and in the case of clause (iv) above,</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57" w:name="page258"/>
    <w:bookmarkEnd w:id="257"/>
    <w:p>
      <w:pPr>
        <w:jc w:val="both"/>
        <w:ind w:right="3459"/>
        <w:spacing w:after="0" w:line="255" w:lineRule="auto"/>
        <w:rPr>
          <w:sz w:val="20"/>
          <w:szCs w:val="20"/>
          <w:color w:val="auto"/>
        </w:rPr>
      </w:pPr>
      <w:r>
        <w:rPr>
          <w:rFonts w:ascii="Courier New" w:cs="Courier New" w:eastAsia="Courier New" w:hAnsi="Courier New"/>
          <w:sz w:val="14"/>
          <w:szCs w:val="14"/>
          <w:color w:val="auto"/>
        </w:rPr>
        <w:t>Section 6 hereof, any Initial Purchaser to the Company, or of any party hereto to any other party except that the provisions of Section 8 and Section 9 shall at all times be effective and shall survive such termination.</w:t>
      </w:r>
    </w:p>
    <w:p>
      <w:pPr>
        <w:spacing w:after="0" w:line="162" w:lineRule="exact"/>
        <w:rPr>
          <w:sz w:val="20"/>
          <w:szCs w:val="20"/>
          <w:color w:val="auto"/>
        </w:rPr>
      </w:pPr>
    </w:p>
    <w:p>
      <w:pPr>
        <w:spacing w:after="0"/>
        <w:tabs>
          <w:tab w:leader="none" w:pos="1120" w:val="left"/>
          <w:tab w:leader="none" w:pos="5800" w:val="left"/>
        </w:tabs>
        <w:rPr>
          <w:sz w:val="20"/>
          <w:szCs w:val="20"/>
          <w:color w:val="auto"/>
        </w:rPr>
      </w:pPr>
      <w:r>
        <w:rPr>
          <w:rFonts w:ascii="Courier New" w:cs="Courier New" w:eastAsia="Courier New" w:hAnsi="Courier New"/>
          <w:sz w:val="14"/>
          <w:szCs w:val="14"/>
          <w:color w:val="auto"/>
        </w:rPr>
        <w:t>SECTION 11.</w:t>
        <w:tab/>
        <w:t>Representations and Indemnities to Survive Delivery.</w:t>
        <w:tab/>
        <w:t>The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respective indemnities, agreements, representations, warranties and other statements of the Company and the Guarantors, of their respective officers and of the several Initial Purchasers set forth in or made pursuant to this Agreement will remain in full force and effect, regardless of any investigation made by or on behalf of any Initial Purchaser, the Company the Guarantors or any of their partners, officers or directors or any controlling person, as the case may be, and will survive delivery of and payment for the Securities sold hereunder and any termination of this Agreement.</w:t>
      </w:r>
    </w:p>
    <w:p>
      <w:pPr>
        <w:spacing w:after="0" w:line="165" w:lineRule="exact"/>
        <w:rPr>
          <w:sz w:val="20"/>
          <w:szCs w:val="20"/>
          <w:color w:val="auto"/>
        </w:rPr>
      </w:pPr>
    </w:p>
    <w:p>
      <w:pPr>
        <w:spacing w:after="0"/>
        <w:tabs>
          <w:tab w:leader="none" w:pos="1120" w:val="left"/>
          <w:tab w:leader="none" w:pos="1980" w:val="left"/>
        </w:tabs>
        <w:rPr>
          <w:sz w:val="20"/>
          <w:szCs w:val="20"/>
          <w:color w:val="auto"/>
        </w:rPr>
      </w:pPr>
      <w:r>
        <w:rPr>
          <w:rFonts w:ascii="Courier New" w:cs="Courier New" w:eastAsia="Courier New" w:hAnsi="Courier New"/>
          <w:sz w:val="14"/>
          <w:szCs w:val="14"/>
          <w:color w:val="auto"/>
        </w:rPr>
        <w:t>SECTION 12.</w:t>
        <w:tab/>
        <w:t>Notices.</w:t>
        <w:tab/>
        <w:t>All communications hereunder shall be in writing and</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shall be mailed, hand delivered or telecopied and confirmed to the parties hereto as follows: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the Initial Purchasers: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Banc of America Securities LLC</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9 West 57th Street, 31st Floor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York, NY 10019</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Facsimile: (212) 847-5036</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Attention: High Yield Capital Markets</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Latham &amp; Watkins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885 Third Avenue, Suite 1000</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York, NY 10022</w:t>
      </w:r>
    </w:p>
    <w:p>
      <w:pPr>
        <w:spacing w:after="0" w:line="175"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Facsimile:</w:t>
        <w:tab/>
        <w:t>212-751-4864</w:t>
      </w:r>
    </w:p>
    <w:p>
      <w:pPr>
        <w:spacing w:after="0" w:line="8"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Attention:</w:t>
        <w:tab/>
        <w:t>Gregory A. Ezring, Esq.</w:t>
      </w:r>
    </w:p>
    <w:p>
      <w:pPr>
        <w:spacing w:after="0" w:line="175"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4"/>
          <w:szCs w:val="14"/>
          <w:color w:val="auto"/>
        </w:rPr>
        <w:t>If to the Company or any Guarantor</w:t>
        <w:tab/>
        <w:t>hereto:</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Radio One, Inc.</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5900 Princess Garden Parkway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8th Floor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Lanham, MD 20706</w:t>
      </w:r>
    </w:p>
    <w:p>
      <w:pPr>
        <w:spacing w:after="0" w:line="175"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Facsimile:</w:t>
        <w:tab/>
        <w:t>301-306--9638</w:t>
      </w:r>
    </w:p>
    <w:p>
      <w:pPr>
        <w:spacing w:after="0" w:line="8"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Attention:</w:t>
        <w:tab/>
        <w:t>Linda J. Eckard Vilardo, Esq.</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to:</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58" w:name="page259"/>
    <w:bookmarkEnd w:id="258"/>
    <w:p>
      <w:pPr>
        <w:ind w:left="440"/>
        <w:spacing w:after="0"/>
        <w:rPr>
          <w:sz w:val="20"/>
          <w:szCs w:val="20"/>
          <w:color w:val="auto"/>
        </w:rPr>
      </w:pPr>
      <w:r>
        <w:rPr>
          <w:rFonts w:ascii="Courier New" w:cs="Courier New" w:eastAsia="Courier New" w:hAnsi="Courier New"/>
          <w:sz w:val="14"/>
          <w:szCs w:val="14"/>
          <w:color w:val="auto"/>
        </w:rPr>
        <w:t>Kirkland &amp; Ellis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655 Fifteenth Street, N.W.</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Suite 1200</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Washington, D.C. 20005</w:t>
      </w:r>
    </w:p>
    <w:p>
      <w:pPr>
        <w:spacing w:after="0" w:line="175"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Facsimile:</w:t>
        <w:tab/>
        <w:t>202-879-5200</w:t>
      </w:r>
    </w:p>
    <w:p>
      <w:pPr>
        <w:spacing w:after="0" w:line="8"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Attention:</w:t>
        <w:tab/>
        <w:t>Terrance L. Bessey, Esq.</w:t>
      </w:r>
    </w:p>
    <w:p>
      <w:pPr>
        <w:spacing w:after="0" w:line="200" w:lineRule="exact"/>
        <w:rPr>
          <w:sz w:val="20"/>
          <w:szCs w:val="20"/>
          <w:color w:val="auto"/>
        </w:rPr>
      </w:pPr>
    </w:p>
    <w:p>
      <w:pPr>
        <w:spacing w:after="0" w:line="309"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Any party hereto may change the address for receipt of communications by giving written notice to the others.</w:t>
      </w:r>
    </w:p>
    <w:p>
      <w:pPr>
        <w:spacing w:after="0" w:line="327" w:lineRule="exact"/>
        <w:rPr>
          <w:sz w:val="20"/>
          <w:szCs w:val="20"/>
          <w:color w:val="auto"/>
        </w:rPr>
      </w:pPr>
    </w:p>
    <w:p>
      <w:pPr>
        <w:spacing w:after="0"/>
        <w:tabs>
          <w:tab w:leader="none" w:pos="1120" w:val="left"/>
          <w:tab w:leader="none" w:pos="2240" w:val="left"/>
        </w:tabs>
        <w:rPr>
          <w:sz w:val="20"/>
          <w:szCs w:val="20"/>
          <w:color w:val="auto"/>
        </w:rPr>
      </w:pPr>
      <w:r>
        <w:rPr>
          <w:rFonts w:ascii="Courier New" w:cs="Courier New" w:eastAsia="Courier New" w:hAnsi="Courier New"/>
          <w:sz w:val="14"/>
          <w:szCs w:val="14"/>
          <w:color w:val="auto"/>
        </w:rPr>
        <w:t>SECTION 13.</w:t>
        <w:tab/>
        <w:t>Successors.</w:t>
        <w:tab/>
        <w:t>This Agreement will inure to the benefit of and be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binding upon the parties hereto, including any substitute Initial Purchasers pursuant to Section 17 hereof, and to the benefit of the employees, officers and directors and controlling persons referred to in Section 8 and Section 9, and in each case their respective successors, and no other person will have any right or obligation hereunder. The term "successors" shall not include any purchaser of the Securities as such from any of the Initial Purchasers merely by reason of such purchase.</w:t>
      </w:r>
    </w:p>
    <w:p>
      <w:pPr>
        <w:spacing w:after="0" w:line="165" w:lineRule="exact"/>
        <w:rPr>
          <w:sz w:val="20"/>
          <w:szCs w:val="20"/>
          <w:color w:val="auto"/>
        </w:rPr>
      </w:pPr>
    </w:p>
    <w:p>
      <w:pPr>
        <w:spacing w:after="0"/>
        <w:tabs>
          <w:tab w:leader="none" w:pos="1120" w:val="left"/>
          <w:tab w:leader="none" w:pos="3460" w:val="left"/>
        </w:tabs>
        <w:rPr>
          <w:sz w:val="20"/>
          <w:szCs w:val="20"/>
          <w:color w:val="auto"/>
        </w:rPr>
      </w:pPr>
      <w:r>
        <w:rPr>
          <w:rFonts w:ascii="Courier New" w:cs="Courier New" w:eastAsia="Courier New" w:hAnsi="Courier New"/>
          <w:sz w:val="14"/>
          <w:szCs w:val="14"/>
          <w:color w:val="auto"/>
        </w:rPr>
        <w:t>SECTION 14.</w:t>
        <w:tab/>
        <w:t>Partial Unenforceability.</w:t>
        <w:tab/>
        <w:t>The invalidity or unenforceability of</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65" w:lineRule="exact"/>
        <w:rPr>
          <w:sz w:val="20"/>
          <w:szCs w:val="20"/>
          <w:color w:val="auto"/>
        </w:rPr>
      </w:pPr>
    </w:p>
    <w:p>
      <w:pPr>
        <w:spacing w:after="0"/>
        <w:tabs>
          <w:tab w:leader="none" w:pos="1120" w:val="left"/>
          <w:tab w:leader="none" w:pos="3460" w:val="left"/>
        </w:tabs>
        <w:rPr>
          <w:sz w:val="20"/>
          <w:szCs w:val="20"/>
          <w:color w:val="auto"/>
        </w:rPr>
      </w:pPr>
      <w:r>
        <w:rPr>
          <w:rFonts w:ascii="Courier New" w:cs="Courier New" w:eastAsia="Courier New" w:hAnsi="Courier New"/>
          <w:sz w:val="14"/>
          <w:szCs w:val="14"/>
          <w:color w:val="auto"/>
        </w:rPr>
        <w:t>SECTION 15.</w:t>
        <w:tab/>
        <w:t>Governing Law Provisions.</w:t>
        <w:tab/>
        <w:t>THIS AGREEMENT SHALL BE GOVERNED BY</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AND CONSTRUED IN ACCORDANCE WITH THE INTERNAL LAWS OF THE STATE OF NEW YORK APPLICABLE TO AGREEMENTS MADE AND TO BE PERFORMED IN SUCH STATE.</w:t>
      </w:r>
    </w:p>
    <w:p>
      <w:pPr>
        <w:spacing w:after="0" w:line="160" w:lineRule="exact"/>
        <w:rPr>
          <w:sz w:val="20"/>
          <w:szCs w:val="20"/>
          <w:color w:val="auto"/>
        </w:rPr>
      </w:pPr>
    </w:p>
    <w:p>
      <w:pPr>
        <w:spacing w:after="0"/>
        <w:tabs>
          <w:tab w:leader="none" w:pos="1120" w:val="left"/>
          <w:tab w:leader="none" w:pos="3380" w:val="left"/>
        </w:tabs>
        <w:rPr>
          <w:sz w:val="20"/>
          <w:szCs w:val="20"/>
          <w:color w:val="auto"/>
        </w:rPr>
      </w:pPr>
      <w:r>
        <w:rPr>
          <w:rFonts w:ascii="Courier New" w:cs="Courier New" w:eastAsia="Courier New" w:hAnsi="Courier New"/>
          <w:sz w:val="14"/>
          <w:szCs w:val="14"/>
          <w:color w:val="auto"/>
        </w:rPr>
        <w:t>SECTION 16.</w:t>
        <w:tab/>
        <w:t>Consent to Jurisdiction.</w:t>
        <w:tab/>
        <w:t>Any legal suit, action or proceeding</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arising out of or based upon this Agreement or the transactions contemplated hereby ("Related Proceedings") may be instituted in the federal courts of the</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United States of America located in the City and County of New York or the courts of the State of New York in each case located in the City and County of New York (collectively, the "Specified Courts"), and each party irrevocably</w:t>
      </w:r>
    </w:p>
    <w:p>
      <w:pPr>
        <w:spacing w:after="0" w:line="1"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submits to the non-exclusive jurisdiction (except for proceedings instituted in regard to the enforcement of a judgment of any such court (a "Related</w:t>
      </w:r>
    </w:p>
    <w:p>
      <w:pPr>
        <w:spacing w:after="0" w:line="1"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Judgment"), as to which such jurisdiction is non-exclusive) of such courts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5" w:lineRule="exact"/>
        <w:rPr>
          <w:sz w:val="20"/>
          <w:szCs w:val="20"/>
          <w:color w:val="auto"/>
        </w:rPr>
      </w:pPr>
    </w:p>
    <w:p>
      <w:pPr>
        <w:spacing w:after="0"/>
        <w:tabs>
          <w:tab w:leader="none" w:pos="1120" w:val="left"/>
          <w:tab w:leader="none" w:pos="6240" w:val="left"/>
        </w:tabs>
        <w:rPr>
          <w:sz w:val="20"/>
          <w:szCs w:val="20"/>
          <w:color w:val="auto"/>
        </w:rPr>
      </w:pPr>
      <w:r>
        <w:rPr>
          <w:rFonts w:ascii="Courier New" w:cs="Courier New" w:eastAsia="Courier New" w:hAnsi="Courier New"/>
          <w:sz w:val="14"/>
          <w:szCs w:val="14"/>
          <w:color w:val="auto"/>
        </w:rPr>
        <w:t>SECTION 17.</w:t>
        <w:tab/>
        <w:t>Default of One or More of the Several Initial Purchasers.</w:t>
        <w:tab/>
        <w:t>If any</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one or more of the several Initial Purchasers shall fail or refuse to purchase Securities that it or they have agreed to purchase hereunder on the Closing Date, and the aggregate number of Securities which such defaulting Initial Purchaser or Initial Purchasers agreed but failed or refused to purchase does not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259" w:name="page260"/>
    <w:bookmarkEnd w:id="259"/>
    <w:p>
      <w:pPr>
        <w:ind w:right="3539"/>
        <w:spacing w:after="0" w:line="252" w:lineRule="auto"/>
        <w:rPr>
          <w:sz w:val="20"/>
          <w:szCs w:val="20"/>
          <w:color w:val="auto"/>
        </w:rPr>
      </w:pPr>
      <w:r>
        <w:rPr>
          <w:rFonts w:ascii="Courier New" w:cs="Courier New" w:eastAsia="Courier New" w:hAnsi="Courier New"/>
          <w:sz w:val="14"/>
          <w:szCs w:val="14"/>
          <w:color w:val="auto"/>
        </w:rPr>
        <w:t>exceed 10% of the aggregate number of the Securities to be purchased on such date, the other Initial Purchasers shall be obligated, severally, in the proportions that the number of Securities set forth opposite their respective names on Schedule I bears to the aggregate number of Securities set forth</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opposite the names of all such non-defaulting Initial Purchasers, or</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such other proportions as may be specified by the Initial Purchasers with the consent of the non-defaulting Initial Purchasers, to purchase the Securities which such defaulting Initial Purchaser or Initial Purchasers agreed but failed or refused to purchase on such date. If any one or more of the Initial Purchasers shall fail or refuse to purchase Securities and the aggregate number of Securities with respect to which such default occurs exceeds 10% of the aggregate number of Securities to be purchased on the Closing Date, and arrangements satisfactory to the Initial Purchasers and the Company for the purchase of such Securities are not made within 48 hours after such default, this Agreement shall terminate without liability of any party to any other party except that the provisions of Section 4, Section 8 and Section 9 shall at all times be effective and shall survive such termination. In any such case either the Initial Purchasers or the Company shall have the right to postpone the Closing Date, as the case may be, but in no event for longer than seven days in order that the required changes, if any, to the Offering Memorandum or any other documents or arrangements may be effected.</w:t>
      </w:r>
    </w:p>
    <w:p>
      <w:pPr>
        <w:spacing w:after="0" w:line="330"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As used in this Agreement, the term "Initial Purchaser" shall be deemed to include any person substituted for a defaulting Initial Purchaser under this Section 17. Any action taken under this Section 17 shall not relieve any defaulting Initial Purchaser from liability in respect of any default of such Initial Purchaser under this Agreement.</w:t>
      </w:r>
    </w:p>
    <w:p>
      <w:pPr>
        <w:spacing w:after="0" w:line="162" w:lineRule="exact"/>
        <w:rPr>
          <w:sz w:val="20"/>
          <w:szCs w:val="20"/>
          <w:color w:val="auto"/>
        </w:rPr>
      </w:pPr>
    </w:p>
    <w:p>
      <w:pPr>
        <w:spacing w:after="0"/>
        <w:tabs>
          <w:tab w:leader="none" w:pos="1120" w:val="left"/>
          <w:tab w:leader="none" w:pos="2940" w:val="left"/>
        </w:tabs>
        <w:rPr>
          <w:sz w:val="20"/>
          <w:szCs w:val="20"/>
          <w:color w:val="auto"/>
        </w:rPr>
      </w:pPr>
      <w:r>
        <w:rPr>
          <w:rFonts w:ascii="Courier New" w:cs="Courier New" w:eastAsia="Courier New" w:hAnsi="Courier New"/>
          <w:sz w:val="14"/>
          <w:szCs w:val="14"/>
          <w:color w:val="auto"/>
        </w:rPr>
        <w:t>SECTION 18.</w:t>
        <w:tab/>
        <w:t>General Provisions.</w:t>
        <w:tab/>
        <w:t>This Agreement constitutes the entire</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Table of Contents and the section headings herein are for the convenience of the parties only and shall not affect the construction or interpretation of this Agreement.</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260" w:name="page261"/>
    <w:bookmarkEnd w:id="260"/>
    <w:p>
      <w:pPr>
        <w:ind w:right="3539" w:firstLine="868"/>
        <w:spacing w:after="0" w:line="254" w:lineRule="auto"/>
        <w:rPr>
          <w:sz w:val="20"/>
          <w:szCs w:val="20"/>
          <w:color w:val="auto"/>
        </w:rPr>
      </w:pPr>
      <w:r>
        <w:rPr>
          <w:rFonts w:ascii="Courier New" w:cs="Courier New" w:eastAsia="Courier New" w:hAnsi="Courier New"/>
          <w:sz w:val="14"/>
          <w:szCs w:val="14"/>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RADIO ONE, INC.</w:t>
      </w:r>
    </w:p>
    <w:p>
      <w:pPr>
        <w:spacing w:after="0" w:line="175" w:lineRule="exact"/>
        <w:rPr>
          <w:sz w:val="20"/>
          <w:szCs w:val="20"/>
          <w:color w:val="auto"/>
        </w:rPr>
      </w:pPr>
    </w:p>
    <w:tbl>
      <w:tblPr>
        <w:tblLayout w:type="fixed"/>
        <w:tblInd w:w="236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60" w:type="dxa"/>
            <w:vAlign w:val="bottom"/>
          </w:tcPr>
          <w:p>
            <w:pPr>
              <w:spacing w:after="0"/>
              <w:rPr>
                <w:sz w:val="14"/>
                <w:szCs w:val="14"/>
                <w:color w:val="auto"/>
              </w:rPr>
            </w:pPr>
          </w:p>
        </w:tc>
        <w:tc>
          <w:tcPr>
            <w:tcW w:w="3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 Scott R. Royster</w:t>
            </w:r>
          </w:p>
        </w:tc>
      </w:tr>
      <w:tr>
        <w:trPr>
          <w:trHeight w:val="167"/>
        </w:trPr>
        <w:tc>
          <w:tcPr>
            <w:tcW w:w="424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Scott</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R. Royster</w:t>
            </w:r>
          </w:p>
        </w:tc>
      </w:tr>
      <w:tr>
        <w:trPr>
          <w:trHeight w:val="167"/>
        </w:trPr>
        <w:tc>
          <w:tcPr>
            <w:tcW w:w="4240" w:type="dxa"/>
            <w:vAlign w:val="bottom"/>
            <w:gridSpan w:val="4"/>
          </w:tcPr>
          <w:p>
            <w:pPr>
              <w:spacing w:after="0"/>
              <w:rPr>
                <w:sz w:val="20"/>
                <w:szCs w:val="20"/>
                <w:color w:val="auto"/>
              </w:rPr>
            </w:pPr>
            <w:r>
              <w:rPr>
                <w:rFonts w:ascii="Courier New" w:cs="Courier New" w:eastAsia="Courier New" w:hAnsi="Courier New"/>
                <w:sz w:val="14"/>
                <w:szCs w:val="14"/>
                <w:color w:val="auto"/>
              </w:rPr>
              <w:t>Title: Executive Vice President and</w:t>
            </w:r>
          </w:p>
        </w:tc>
      </w:tr>
      <w:tr>
        <w:trPr>
          <w:trHeight w:val="167"/>
        </w:trPr>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Chief Executive Officer</w:t>
            </w:r>
          </w:p>
        </w:tc>
      </w:tr>
      <w:tr>
        <w:trPr>
          <w:trHeight w:val="501"/>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RADIO ONE</w:t>
            </w:r>
          </w:p>
        </w:tc>
        <w:tc>
          <w:tcPr>
            <w:tcW w:w="3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LICENSES, INC.</w:t>
            </w:r>
          </w:p>
        </w:tc>
      </w:tr>
      <w:tr>
        <w:trPr>
          <w:trHeight w:val="167"/>
        </w:trPr>
        <w:tc>
          <w:tcPr>
            <w:tcW w:w="4240" w:type="dxa"/>
            <w:vAlign w:val="bottom"/>
            <w:gridSpan w:val="4"/>
          </w:tcPr>
          <w:p>
            <w:pPr>
              <w:spacing w:after="0"/>
              <w:rPr>
                <w:sz w:val="20"/>
                <w:szCs w:val="20"/>
                <w:color w:val="auto"/>
              </w:rPr>
            </w:pPr>
            <w:r>
              <w:rPr>
                <w:rFonts w:ascii="Courier New" w:cs="Courier New" w:eastAsia="Courier New" w:hAnsi="Courier New"/>
                <w:sz w:val="14"/>
                <w:szCs w:val="14"/>
                <w:color w:val="auto"/>
              </w:rPr>
              <w:t>WYCB ACQUISITION CORPORATION</w:t>
            </w:r>
          </w:p>
        </w:tc>
      </w:tr>
      <w:tr>
        <w:trPr>
          <w:trHeight w:val="167"/>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BROADCAST</w:t>
            </w:r>
          </w:p>
        </w:tc>
        <w:tc>
          <w:tcPr>
            <w:tcW w:w="3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HOLDINGS, INC.</w:t>
            </w:r>
          </w:p>
        </w:tc>
      </w:tr>
      <w:tr>
        <w:trPr>
          <w:trHeight w:val="167"/>
        </w:trPr>
        <w:tc>
          <w:tcPr>
            <w:tcW w:w="4240" w:type="dxa"/>
            <w:vAlign w:val="bottom"/>
            <w:gridSpan w:val="4"/>
          </w:tcPr>
          <w:p>
            <w:pPr>
              <w:spacing w:after="0"/>
              <w:rPr>
                <w:sz w:val="20"/>
                <w:szCs w:val="20"/>
                <w:color w:val="auto"/>
              </w:rPr>
            </w:pPr>
            <w:r>
              <w:rPr>
                <w:rFonts w:ascii="Courier New" w:cs="Courier New" w:eastAsia="Courier New" w:hAnsi="Courier New"/>
                <w:sz w:val="14"/>
                <w:szCs w:val="14"/>
                <w:color w:val="auto"/>
              </w:rPr>
              <w:t>BELL BROADCASTING COMPANY</w:t>
            </w:r>
          </w:p>
        </w:tc>
      </w:tr>
      <w:tr>
        <w:trPr>
          <w:trHeight w:val="167"/>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RADIO ONE</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DETROIT, INC.</w:t>
            </w:r>
          </w:p>
        </w:tc>
      </w:tr>
      <w:tr>
        <w:trPr>
          <w:trHeight w:val="167"/>
        </w:trPr>
        <w:tc>
          <w:tcPr>
            <w:tcW w:w="4240" w:type="dxa"/>
            <w:vAlign w:val="bottom"/>
            <w:gridSpan w:val="4"/>
          </w:tcPr>
          <w:p>
            <w:pPr>
              <w:spacing w:after="0"/>
              <w:rPr>
                <w:sz w:val="20"/>
                <w:szCs w:val="20"/>
                <w:color w:val="auto"/>
              </w:rPr>
            </w:pPr>
            <w:r>
              <w:rPr>
                <w:rFonts w:ascii="Courier New" w:cs="Courier New" w:eastAsia="Courier New" w:hAnsi="Courier New"/>
                <w:sz w:val="14"/>
                <w:szCs w:val="14"/>
                <w:color w:val="auto"/>
              </w:rPr>
              <w:t>ALLUR-DETROIT, INC.</w:t>
            </w:r>
          </w:p>
        </w:tc>
      </w:tr>
      <w:tr>
        <w:trPr>
          <w:trHeight w:val="167"/>
        </w:trPr>
        <w:tc>
          <w:tcPr>
            <w:tcW w:w="4240" w:type="dxa"/>
            <w:vAlign w:val="bottom"/>
            <w:gridSpan w:val="4"/>
          </w:tcPr>
          <w:p>
            <w:pPr>
              <w:spacing w:after="0"/>
              <w:rPr>
                <w:sz w:val="20"/>
                <w:szCs w:val="20"/>
                <w:color w:val="auto"/>
              </w:rPr>
            </w:pPr>
            <w:r>
              <w:rPr>
                <w:rFonts w:ascii="Courier New" w:cs="Courier New" w:eastAsia="Courier New" w:hAnsi="Courier New"/>
                <w:sz w:val="14"/>
                <w:szCs w:val="14"/>
                <w:color w:val="auto"/>
              </w:rPr>
              <w:t>ALLUR LICENSES, INC.</w:t>
            </w:r>
          </w:p>
        </w:tc>
      </w:tr>
      <w:tr>
        <w:trPr>
          <w:trHeight w:val="167"/>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RADIO ONE</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ATLANTA, INC.</w:t>
            </w:r>
          </w:p>
        </w:tc>
      </w:tr>
      <w:tr>
        <w:trPr>
          <w:trHeight w:val="167"/>
        </w:trPr>
        <w:tc>
          <w:tcPr>
            <w:tcW w:w="4240" w:type="dxa"/>
            <w:vAlign w:val="bottom"/>
            <w:gridSpan w:val="4"/>
          </w:tcPr>
          <w:p>
            <w:pPr>
              <w:spacing w:after="0"/>
              <w:rPr>
                <w:sz w:val="20"/>
                <w:szCs w:val="20"/>
                <w:color w:val="auto"/>
              </w:rPr>
            </w:pPr>
            <w:r>
              <w:rPr>
                <w:rFonts w:ascii="Courier New" w:cs="Courier New" w:eastAsia="Courier New" w:hAnsi="Courier New"/>
                <w:sz w:val="14"/>
                <w:szCs w:val="14"/>
                <w:color w:val="auto"/>
              </w:rPr>
              <w:t>ROA LICENSES, INC.</w:t>
            </w:r>
          </w:p>
        </w:tc>
      </w:tr>
      <w:tr>
        <w:trPr>
          <w:trHeight w:val="167"/>
        </w:trPr>
        <w:tc>
          <w:tcPr>
            <w:tcW w:w="4240" w:type="dxa"/>
            <w:vAlign w:val="bottom"/>
            <w:gridSpan w:val="4"/>
          </w:tcPr>
          <w:p>
            <w:pPr>
              <w:spacing w:after="0"/>
              <w:rPr>
                <w:sz w:val="20"/>
                <w:szCs w:val="20"/>
                <w:color w:val="auto"/>
              </w:rPr>
            </w:pPr>
            <w:r>
              <w:rPr>
                <w:rFonts w:ascii="Courier New" w:cs="Courier New" w:eastAsia="Courier New" w:hAnsi="Courier New"/>
                <w:sz w:val="14"/>
                <w:szCs w:val="14"/>
                <w:color w:val="auto"/>
              </w:rPr>
              <w:t>DOGWOOD COMMUNICATIONS, INC.</w:t>
            </w:r>
          </w:p>
        </w:tc>
      </w:tr>
      <w:tr>
        <w:trPr>
          <w:trHeight w:val="167"/>
        </w:trPr>
        <w:tc>
          <w:tcPr>
            <w:tcW w:w="4240" w:type="dxa"/>
            <w:vAlign w:val="bottom"/>
            <w:gridSpan w:val="4"/>
          </w:tcPr>
          <w:p>
            <w:pPr>
              <w:spacing w:after="0"/>
              <w:rPr>
                <w:sz w:val="20"/>
                <w:szCs w:val="20"/>
                <w:color w:val="auto"/>
              </w:rPr>
            </w:pPr>
            <w:r>
              <w:rPr>
                <w:rFonts w:ascii="Courier New" w:cs="Courier New" w:eastAsia="Courier New" w:hAnsi="Courier New"/>
                <w:sz w:val="14"/>
                <w:szCs w:val="14"/>
                <w:color w:val="auto"/>
              </w:rPr>
              <w:t>DOGWOOD LICENSES, INC.</w:t>
            </w:r>
          </w:p>
        </w:tc>
      </w:tr>
      <w:tr>
        <w:trPr>
          <w:trHeight w:val="167"/>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RADIO ONE</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CHARLOTTE, LLC,</w:t>
            </w:r>
          </w:p>
        </w:tc>
      </w:tr>
      <w:tr>
        <w:trPr>
          <w:trHeight w:val="167"/>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RADIO ONE</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AUGUSTA, INC.</w:t>
            </w:r>
          </w:p>
        </w:tc>
      </w:tr>
      <w:tr>
        <w:trPr>
          <w:trHeight w:val="167"/>
        </w:trPr>
        <w:tc>
          <w:tcPr>
            <w:tcW w:w="4240" w:type="dxa"/>
            <w:vAlign w:val="bottom"/>
            <w:gridSpan w:val="4"/>
          </w:tcPr>
          <w:p>
            <w:pPr>
              <w:spacing w:after="0"/>
              <w:rPr>
                <w:sz w:val="20"/>
                <w:szCs w:val="20"/>
                <w:color w:val="auto"/>
              </w:rPr>
            </w:pPr>
            <w:r>
              <w:rPr>
                <w:rFonts w:ascii="Courier New" w:cs="Courier New" w:eastAsia="Courier New" w:hAnsi="Courier New"/>
                <w:sz w:val="14"/>
                <w:szCs w:val="14"/>
                <w:color w:val="auto"/>
              </w:rPr>
              <w:t>DAVIS BROADCASTING OF CHARLOTTE, INC.</w:t>
            </w:r>
          </w:p>
        </w:tc>
      </w:tr>
      <w:tr>
        <w:trPr>
          <w:trHeight w:val="167"/>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RADIO ONE</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NORTH CAROLINA, INC.</w:t>
            </w:r>
          </w:p>
        </w:tc>
      </w:tr>
      <w:tr>
        <w:trPr>
          <w:trHeight w:val="167"/>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RADIO ONE</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BOSTON, INC.</w:t>
            </w:r>
          </w:p>
        </w:tc>
      </w:tr>
      <w:tr>
        <w:trPr>
          <w:trHeight w:val="167"/>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RADIO ONE</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BOSTON LICENSES, INC.</w:t>
            </w:r>
          </w:p>
        </w:tc>
      </w:tr>
      <w:tr>
        <w:trPr>
          <w:trHeight w:val="167"/>
        </w:trPr>
        <w:tc>
          <w:tcPr>
            <w:tcW w:w="780" w:type="dxa"/>
            <w:vAlign w:val="bottom"/>
            <w:gridSpan w:val="2"/>
          </w:tcPr>
          <w:p>
            <w:pPr>
              <w:spacing w:after="0"/>
              <w:rPr>
                <w:sz w:val="20"/>
                <w:szCs w:val="20"/>
                <w:color w:val="auto"/>
              </w:rPr>
            </w:pPr>
            <w:r>
              <w:rPr>
                <w:rFonts w:ascii="Courier New" w:cs="Courier New" w:eastAsia="Courier New" w:hAnsi="Courier New"/>
                <w:sz w:val="14"/>
                <w:szCs w:val="14"/>
                <w:color w:val="auto"/>
              </w:rPr>
              <w:t>BLUE CHIP</w:t>
            </w:r>
          </w:p>
        </w:tc>
        <w:tc>
          <w:tcPr>
            <w:tcW w:w="3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MERGER SUBSIDIARY, INC.</w:t>
            </w:r>
          </w:p>
        </w:tc>
      </w:tr>
      <w:tr>
        <w:trPr>
          <w:trHeight w:val="668"/>
        </w:trPr>
        <w:tc>
          <w:tcPr>
            <w:tcW w:w="52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260" w:type="dxa"/>
            <w:vAlign w:val="bottom"/>
          </w:tcPr>
          <w:p>
            <w:pPr>
              <w:spacing w:after="0"/>
              <w:rPr>
                <w:sz w:val="24"/>
                <w:szCs w:val="24"/>
                <w:color w:val="auto"/>
              </w:rPr>
            </w:pPr>
          </w:p>
        </w:tc>
        <w:tc>
          <w:tcPr>
            <w:tcW w:w="3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 Scott R. Royster</w:t>
            </w:r>
          </w:p>
        </w:tc>
      </w:tr>
      <w:tr>
        <w:trPr>
          <w:trHeight w:val="167"/>
        </w:trPr>
        <w:tc>
          <w:tcPr>
            <w:tcW w:w="424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Scott</w:t>
            </w:r>
          </w:p>
        </w:tc>
        <w:tc>
          <w:tcPr>
            <w:tcW w:w="3160" w:type="dxa"/>
            <w:vAlign w:val="bottom"/>
          </w:tcPr>
          <w:p>
            <w:pPr>
              <w:ind w:left="40"/>
              <w:spacing w:after="0"/>
              <w:rPr>
                <w:sz w:val="20"/>
                <w:szCs w:val="20"/>
                <w:color w:val="auto"/>
              </w:rPr>
            </w:pPr>
            <w:r>
              <w:rPr>
                <w:rFonts w:ascii="Courier New" w:cs="Courier New" w:eastAsia="Courier New" w:hAnsi="Courier New"/>
                <w:sz w:val="14"/>
                <w:szCs w:val="14"/>
                <w:color w:val="auto"/>
              </w:rPr>
              <w:t>R. Royster</w:t>
            </w:r>
          </w:p>
        </w:tc>
      </w:tr>
    </w:tbl>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Title: Executive Vice President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Chief Executive Officer</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261" w:name="page262"/>
    <w:bookmarkEnd w:id="261"/>
    <w:p>
      <w:pPr>
        <w:ind w:right="3459" w:firstLine="868"/>
        <w:spacing w:after="0" w:line="258" w:lineRule="auto"/>
        <w:rPr>
          <w:sz w:val="20"/>
          <w:szCs w:val="20"/>
          <w:color w:val="auto"/>
        </w:rPr>
      </w:pPr>
      <w:r>
        <w:rPr>
          <w:rFonts w:ascii="Courier New" w:cs="Courier New" w:eastAsia="Courier New" w:hAnsi="Courier New"/>
          <w:sz w:val="14"/>
          <w:szCs w:val="14"/>
          <w:color w:val="auto"/>
        </w:rPr>
        <w:t>The foregoing Purchase Agreement is hereby confirmed and accepted by the Initial Purchasers as of the date first above written.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 OF AMERICA SECURITIES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SUISSE FIRST BOSTON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DEUTSCHE BANK ALEX. BROWN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BLAYLOCK &amp; PARTNERS,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UNION SECURITIES,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STANLEY &amp; CO. INCORPORATED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TD SECURITIES (USA)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representatives of the several initial purchasers</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BANC OF AMERICA SECURITIES LLC</w:t>
      </w:r>
    </w:p>
    <w:p>
      <w:pPr>
        <w:spacing w:after="0" w:line="200" w:lineRule="exact"/>
        <w:rPr>
          <w:sz w:val="20"/>
          <w:szCs w:val="20"/>
          <w:color w:val="auto"/>
        </w:rPr>
      </w:pPr>
    </w:p>
    <w:p>
      <w:pPr>
        <w:spacing w:after="0" w:line="309" w:lineRule="exact"/>
        <w:rPr>
          <w:sz w:val="20"/>
          <w:szCs w:val="20"/>
          <w:color w:val="auto"/>
        </w:rPr>
      </w:pPr>
    </w:p>
    <w:p>
      <w:pPr>
        <w:spacing w:after="0"/>
        <w:tabs>
          <w:tab w:leader="none" w:pos="680" w:val="left"/>
          <w:tab w:leader="none" w:pos="11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tab/>
        <w:t>Christopher R. Mitchell</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Christopher R. Mitchell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Vice President</w:t>
      </w:r>
    </w:p>
    <w:p>
      <w:pPr>
        <w:sectPr>
          <w:pgSz w:w="11900" w:h="16838" w:orient="portrait"/>
          <w:cols w:equalWidth="0" w:num="1">
            <w:col w:w="10239"/>
          </w:cols>
          <w:pgMar w:left="220" w:top="620" w:right="1440" w:bottom="1440" w:gutter="0" w:footer="0" w:header="0"/>
        </w:sectPr>
      </w:pPr>
    </w:p>
    <w:bookmarkStart w:id="262" w:name="page263"/>
    <w:bookmarkEnd w:id="262"/>
    <w:p>
      <w:pPr>
        <w:jc w:val="right"/>
        <w:ind w:right="3279"/>
        <w:spacing w:after="0"/>
        <w:rPr>
          <w:sz w:val="20"/>
          <w:szCs w:val="20"/>
          <w:color w:val="auto"/>
        </w:rPr>
      </w:pPr>
      <w:r>
        <w:rPr>
          <w:rFonts w:ascii="Courier New" w:cs="Courier New" w:eastAsia="Courier New" w:hAnsi="Courier New"/>
          <w:sz w:val="14"/>
          <w:szCs w:val="14"/>
          <w:color w:val="auto"/>
        </w:rPr>
        <w:t>EXHIBIT 21.1</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SUBSIDIARIES OF RADIO ONE, INC.</w:t>
      </w:r>
    </w:p>
    <w:p>
      <w:pPr>
        <w:spacing w:after="0" w:line="175" w:lineRule="exact"/>
        <w:rPr>
          <w:sz w:val="20"/>
          <w:szCs w:val="20"/>
          <w:color w:val="auto"/>
        </w:rPr>
      </w:pPr>
    </w:p>
    <w:p>
      <w:pPr>
        <w:ind w:right="3979" w:firstLine="434"/>
        <w:spacing w:after="0" w:line="255" w:lineRule="auto"/>
        <w:rPr>
          <w:sz w:val="20"/>
          <w:szCs w:val="20"/>
          <w:color w:val="auto"/>
        </w:rPr>
      </w:pPr>
      <w:r>
        <w:rPr>
          <w:rFonts w:ascii="Courier New" w:cs="Courier New" w:eastAsia="Courier New" w:hAnsi="Courier New"/>
          <w:sz w:val="14"/>
          <w:szCs w:val="14"/>
          <w:color w:val="auto"/>
        </w:rPr>
        <w:t>Radio One Licenses, Inc., a Delaware corporation, is a restricted subsidiary of Radio One, Inc. and does business under the following call letters: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WKYS-FM</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WVCG(AM)</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WFUN-FM</w:t>
            </w:r>
          </w:p>
        </w:tc>
        <w:tc>
          <w:tcPr>
            <w:tcW w:w="8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WFXK-FM</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WMMJ-FM</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WERQ-FM</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WBOT-FM</w:t>
            </w:r>
          </w:p>
        </w:tc>
        <w:tc>
          <w:tcPr>
            <w:tcW w:w="8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WFXC-FM</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WOL(AM)</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WWIN-FM</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WENZ-FM</w:t>
            </w:r>
          </w:p>
        </w:tc>
        <w:tc>
          <w:tcPr>
            <w:tcW w:w="8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WNNL-FM</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KKBT-FM</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WOLB(AM)</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WERE(AM)</w:t>
            </w:r>
          </w:p>
        </w:tc>
        <w:tc>
          <w:tcPr>
            <w:tcW w:w="8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WHHH-FM</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WPHI-FM</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WWIN(AM)</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WZAK-FM</w:t>
            </w:r>
          </w:p>
        </w:tc>
        <w:tc>
          <w:tcPr>
            <w:tcW w:w="8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WTLC-FM</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WPLY-FM</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KBFB-FM</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WJMO(AM)</w:t>
            </w:r>
          </w:p>
        </w:tc>
        <w:tc>
          <w:tcPr>
            <w:tcW w:w="8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WYJZ-FM</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KMJQ-FM</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KTXQ-FM</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WKJS-FM</w:t>
            </w:r>
          </w:p>
        </w:tc>
        <w:tc>
          <w:tcPr>
            <w:tcW w:w="8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W53AV</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KBXX-FM</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KJOI(AM)</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WQOK-FM</w:t>
            </w:r>
          </w:p>
        </w:tc>
        <w:tc>
          <w:tcPr>
            <w:tcW w:w="860" w:type="dxa"/>
            <w:vAlign w:val="bottom"/>
          </w:tcPr>
          <w:p>
            <w:pPr>
              <w:spacing w:after="0"/>
              <w:rPr>
                <w:sz w:val="24"/>
                <w:szCs w:val="24"/>
                <w:color w:val="auto"/>
              </w:rPr>
            </w:pPr>
          </w:p>
        </w:tc>
      </w:tr>
    </w:tbl>
    <w:p>
      <w:pPr>
        <w:spacing w:after="0" w:line="171"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WYCB Acquisition Corporation, a Delaware corporation, and Broadcast Holdings, Inc., a District of Columbia corporation, are restricted subsidiaries of Radio One, Inc., and do business under the following call letters: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WYCB(AM)</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Bell Broadcasting Company ("Bell"), a Michigan corporation, is a restricted subsidiary of Radio One, Inc. Radio One of Detroit, Inc. ("Radio One of Detroit"), a Delaware corporation, is a restricted subsidiary of Bell. Bell and Radio One of Detroit do business under the following call letters: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WDTJ-FM</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WCHB(AM)</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WJZZ(AM)</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Allur-Detroit, Inc. ("Allur-Detroit"), a Delaware corporation, is a restricted subsidiary of Radio One, Inc. Allur Licenses, Inc. ("Allur Licenses"), a Delaware corporation, is a restricted subsidiary of Allur-Detroit. Allur-Detroit and Allur Licenses do business under the following call letters: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WDMK-FM</w:t>
      </w:r>
    </w:p>
    <w:p>
      <w:pPr>
        <w:sectPr>
          <w:pgSz w:w="11900" w:h="16838" w:orient="portrait"/>
          <w:cols w:equalWidth="0" w:num="1">
            <w:col w:w="10239"/>
          </w:cols>
          <w:pgMar w:left="220" w:top="475" w:right="1440" w:bottom="1440" w:gutter="0" w:footer="0" w:header="0"/>
        </w:sectPr>
      </w:pPr>
    </w:p>
    <w:bookmarkStart w:id="263" w:name="page264"/>
    <w:bookmarkEnd w:id="263"/>
    <w:p>
      <w:pPr>
        <w:ind w:right="3279" w:firstLine="434"/>
        <w:spacing w:after="0" w:line="254" w:lineRule="auto"/>
        <w:rPr>
          <w:sz w:val="20"/>
          <w:szCs w:val="20"/>
          <w:color w:val="auto"/>
        </w:rPr>
      </w:pPr>
      <w:r>
        <w:rPr>
          <w:rFonts w:ascii="Courier New" w:cs="Courier New" w:eastAsia="Courier New" w:hAnsi="Courier New"/>
          <w:sz w:val="14"/>
          <w:szCs w:val="14"/>
          <w:color w:val="auto"/>
        </w:rPr>
        <w:t>Radio One of Atlanta, Inc. ("ROA"), a Delaware corporation, is a restricted subsidiary of Radio One, Inc. ROA Licenses, Inc. ("ROA Licenses"), a Delaware corporation, is a restricted subsidiary of ROA. ROA and ROA Licenses do business under the following call letters: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WHTA-FM</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Dogwood Communications, Inc. ("DC"), a Delaware corporation, is a restricted subsidiary of ROA. Dogwood Licenses, Inc. ("DL"), a Delaware corporation, is a restricted subsidiary of DC. DC and DL do business under the following call letters: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WAMJ-FM</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Radio One of Charlotte, LLC ("Radio One of Charlotte"), a Delaware limited liability company of which Radio One, Inc. is the sole member is a restricted subsidiary of Radio One, Inc.</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Radio One of Augusta, Inc. ("Radio One of Augusta"), a Delaware corporation, is a restricted subsidiary of Radio One of Charlotte. Radio One of Charlotte and Radio One of Augusta do business under the following call letters: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WAEG-FM</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WAEJ-FM</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WAKB-FM</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WFXA-FM</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WTHB(AM)</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Davis Broadcasting of Charlotte, Inc. ("David Broadcasting"), a Delaware corporation, is a restricted subsidiary of Radio One of Charlotte. Radio One of North Carolina, Inc. ("Radio One of North Carolina"), a Delaware corporation, is a restricted subsidiary of Davis Broadcasting. Davis Broadcasting and Radio One of North Carolina do business under the following call letters: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WCCJ-FM</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Radio One of Boston, Inc. ("Radio One of Boston"), a Delaware corporation, is a restricted subsidiary of Radio One, Inc. Radio One of Boston Licenses, Inc. ("Boston Licenses"), a Delaware corporation, is a restricted subsidiary of Radio One of Boston. Radio One of Boston and Boston Licenses do business under the following call letters: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WILD(AM)</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Blue Chip Merger Subsidiary, Inc., a Delaware corporation, is a restricted subsidiary of Radio One, Inc.</w:t>
      </w:r>
    </w:p>
    <w:p>
      <w:pPr>
        <w:spacing w:after="0" w:line="160" w:lineRule="exact"/>
        <w:rPr>
          <w:sz w:val="20"/>
          <w:szCs w:val="20"/>
          <w:color w:val="auto"/>
        </w:rPr>
      </w:pPr>
    </w:p>
    <w:p>
      <w:pPr>
        <w:ind w:right="4059" w:firstLine="434"/>
        <w:spacing w:after="0" w:line="258" w:lineRule="auto"/>
        <w:rPr>
          <w:sz w:val="20"/>
          <w:szCs w:val="20"/>
          <w:color w:val="auto"/>
        </w:rPr>
      </w:pPr>
      <w:r>
        <w:rPr>
          <w:rFonts w:ascii="Courier New" w:cs="Courier New" w:eastAsia="Courier New" w:hAnsi="Courier New"/>
          <w:sz w:val="14"/>
          <w:szCs w:val="14"/>
          <w:color w:val="auto"/>
        </w:rPr>
        <w:t>Satellite One, L.L.C., a Delaware limited liability company, is an unrestricted subsidiary of Radio One, Inc.</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64" w:name="page265"/>
    <w:bookmarkEnd w:id="264"/>
    <w:p>
      <w:pPr>
        <w:jc w:val="right"/>
        <w:ind w:right="3279"/>
        <w:spacing w:after="0"/>
        <w:rPr>
          <w:sz w:val="20"/>
          <w:szCs w:val="20"/>
          <w:color w:val="auto"/>
        </w:rPr>
      </w:pPr>
      <w:r>
        <w:rPr>
          <w:rFonts w:ascii="Courier New" w:cs="Courier New" w:eastAsia="Courier New" w:hAnsi="Courier New"/>
          <w:sz w:val="14"/>
          <w:szCs w:val="14"/>
          <w:color w:val="auto"/>
        </w:rPr>
        <w:t>Exhibit 23.1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in this registration statement of our report dated February 7, 2001 in Radio One's Form 10-K for the year ended December 31, 2000, and to all references to our Firm in this registration statement.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Arthur Andersen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Baltimore, Maryland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17, 2001</w:t>
      </w:r>
    </w:p>
    <w:p>
      <w:pPr>
        <w:sectPr>
          <w:pgSz w:w="11900" w:h="16838" w:orient="portrait"/>
          <w:cols w:equalWidth="0" w:num="1">
            <w:col w:w="10239"/>
          </w:cols>
          <w:pgMar w:left="220" w:top="476" w:right="1440" w:bottom="1440" w:gutter="0" w:footer="0" w:header="0"/>
        </w:sectPr>
      </w:pPr>
    </w:p>
    <w:bookmarkStart w:id="265" w:name="page266"/>
    <w:bookmarkEnd w:id="265"/>
    <w:p>
      <w:pPr>
        <w:jc w:val="right"/>
        <w:ind w:right="3279"/>
        <w:spacing w:after="0"/>
        <w:rPr>
          <w:sz w:val="20"/>
          <w:szCs w:val="20"/>
          <w:color w:val="auto"/>
        </w:rPr>
      </w:pPr>
      <w:r>
        <w:rPr>
          <w:rFonts w:ascii="Courier New" w:cs="Courier New" w:eastAsia="Courier New" w:hAnsi="Courier New"/>
          <w:sz w:val="14"/>
          <w:szCs w:val="14"/>
          <w:color w:val="auto"/>
        </w:rPr>
        <w:t>Exhibit 23.2</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We hereby consent to the incorporation by reference in this Registration Statement on Form S-4 of Radio One, Inc. of our report dated March 8, 2001 except for Note 2, as to which the date is March 16, 2001 relating to the financial statements of Blue Chip Broadcasting, Inc., which appears in the Current Report on Form 8-K of Radio One, Inc. dated April 9, 2001.</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Cincinnati, Ohio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17, 2001</w:t>
      </w:r>
    </w:p>
    <w:p>
      <w:pPr>
        <w:sectPr>
          <w:pgSz w:w="11900" w:h="16838" w:orient="portrait"/>
          <w:cols w:equalWidth="0" w:num="1">
            <w:col w:w="10239"/>
          </w:cols>
          <w:pgMar w:left="220" w:top="475" w:right="1440" w:bottom="1440" w:gutter="0" w:footer="0" w:header="0"/>
        </w:sectPr>
      </w:pPr>
    </w:p>
    <w:bookmarkStart w:id="266" w:name="page267"/>
    <w:bookmarkEnd w:id="266"/>
    <w:p>
      <w:pPr>
        <w:jc w:val="right"/>
        <w:ind w:right="3279"/>
        <w:spacing w:after="0"/>
        <w:rPr>
          <w:sz w:val="20"/>
          <w:szCs w:val="20"/>
          <w:color w:val="auto"/>
        </w:rPr>
      </w:pPr>
      <w:r>
        <w:rPr>
          <w:rFonts w:ascii="Courier New" w:cs="Courier New" w:eastAsia="Courier New" w:hAnsi="Courier New"/>
          <w:sz w:val="14"/>
          <w:szCs w:val="14"/>
          <w:color w:val="auto"/>
        </w:rPr>
        <w:t>Exhibit 23.3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As independent public accountants, we hereby consent to the incorporation in this Registration Statement of Radio One, Inc. and Subsidiaries of our report dated February 1, 1999 relating to the Consolidated Financial Statements of Blue Chip Broadcasting Company and subsidiary as of and for the year ended December 31, 1998, which appears in the Current Report on Form 8-K of Radio One, Inc. dated April 9, 2001.</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Clark, Schaefer, Hackett &amp; Co.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Cincinnati, Ohio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17, 2001</w:t>
      </w:r>
    </w:p>
    <w:p>
      <w:pPr>
        <w:sectPr>
          <w:pgSz w:w="11900" w:h="16838" w:orient="portrait"/>
          <w:cols w:equalWidth="0" w:num="1">
            <w:col w:w="10239"/>
          </w:cols>
          <w:pgMar w:left="220" w:top="476" w:right="1440" w:bottom="1440" w:gutter="0" w:footer="0" w:header="0"/>
        </w:sectPr>
      </w:pPr>
    </w:p>
    <w:bookmarkStart w:id="267" w:name="page268"/>
    <w:bookmarkEnd w:id="267"/>
    <w:p>
      <w:pPr>
        <w:jc w:val="right"/>
        <w:ind w:right="3279"/>
        <w:spacing w:after="0"/>
        <w:rPr>
          <w:sz w:val="20"/>
          <w:szCs w:val="20"/>
          <w:color w:val="auto"/>
        </w:rPr>
      </w:pPr>
      <w:r>
        <w:rPr>
          <w:rFonts w:ascii="Courier New" w:cs="Courier New" w:eastAsia="Courier New" w:hAnsi="Courier New"/>
          <w:sz w:val="14"/>
          <w:szCs w:val="14"/>
          <w:color w:val="auto"/>
        </w:rPr>
        <w:t>Exhibit 25.1</w:t>
      </w:r>
    </w:p>
    <w:p>
      <w:pPr>
        <w:spacing w:after="0" w:line="17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FORM T-1</w:t>
      </w:r>
    </w:p>
    <w:p>
      <w:pPr>
        <w:spacing w:after="0" w:line="8"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STATEMENT OF ELIGIBILITY</w:t>
      </w:r>
    </w:p>
    <w:p>
      <w:pPr>
        <w:spacing w:after="0" w:line="8"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UNDER THE TRUST INDENTURE ACT OF 1939 OF</w:t>
      </w:r>
    </w:p>
    <w:p>
      <w:pPr>
        <w:spacing w:after="0" w:line="8"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A CORPORATION DESIGNATED TO ACT AS TRUSTEE</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CHECK IF AN APPLICATION TO DETERMINE</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ELIGIBILITY OF A TRUSTEE PURSUANT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SECTION 305(B)(2) _______</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UNITED STATES TRUST COMPANY OF NEW YORK (Exact</w:t>
      </w:r>
    </w:p>
    <w:p>
      <w:pPr>
        <w:spacing w:after="0" w:line="8"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name of trustee as specified in its charter)</w:t>
      </w:r>
    </w:p>
    <w:p>
      <w:pPr>
        <w:sectPr>
          <w:pgSz w:w="11900" w:h="16838" w:orient="portrait"/>
          <w:cols w:equalWidth="0" w:num="1">
            <w:col w:w="10239"/>
          </w:cols>
          <w:pgMar w:left="220" w:top="476" w:right="1440" w:bottom="1440" w:gutter="0" w:footer="0" w:header="0"/>
        </w:sectPr>
      </w:pPr>
    </w:p>
    <w:p>
      <w:pPr>
        <w:spacing w:after="0" w:line="34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New York</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(Jurisdiction of incorporation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if not a U.S. national bank)</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13-3818954</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0"/>
          <w:szCs w:val="20"/>
          <w:color w:val="auto"/>
        </w:rPr>
      </w:pPr>
    </w:p>
    <w:p>
      <w:pPr>
        <w:sectPr>
          <w:pgSz w:w="11900" w:h="16838" w:orient="portrait"/>
          <w:cols w:equalWidth="0" w:num="2">
            <w:col w:w="4400" w:space="720"/>
            <w:col w:w="5119"/>
          </w:cols>
          <w:pgMar w:left="220" w:top="476" w:right="1440" w:bottom="1440" w:gutter="0" w:footer="0" w:header="0"/>
          <w:type w:val="continuous"/>
        </w:sectPr>
      </w:pPr>
    </w:p>
    <w:p>
      <w:pPr>
        <w:spacing w:after="0" w:line="1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114 West 47th Street</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New York, NY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(Address of principal</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executive offices)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10036-1532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508" w:lineRule="exact"/>
        <w:rPr>
          <w:sz w:val="20"/>
          <w:szCs w:val="20"/>
          <w:color w:val="auto"/>
        </w:rPr>
      </w:pPr>
    </w:p>
    <w:p>
      <w:pPr>
        <w:sectPr>
          <w:pgSz w:w="11900" w:h="16838" w:orient="portrait"/>
          <w:cols w:equalWidth="0" w:num="2">
            <w:col w:w="4760" w:space="720"/>
            <w:col w:w="4759"/>
          </w:cols>
          <w:pgMar w:left="220" w:top="476" w:right="1440" w:bottom="1440" w:gutter="0" w:footer="0" w:header="0"/>
          <w:type w:val="continuous"/>
        </w:sect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Radio One, Inc.</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(Exact name of obligor as specified in its charter)</w:t>
      </w:r>
    </w:p>
    <w:p>
      <w:pPr>
        <w:sectPr>
          <w:pgSz w:w="11900" w:h="16838" w:orient="portrait"/>
          <w:cols w:equalWidth="0" w:num="1">
            <w:col w:w="10239"/>
          </w:cols>
          <w:pgMar w:left="220" w:top="476" w:right="1440" w:bottom="1440" w:gutter="0" w:footer="0" w:header="0"/>
          <w:type w:val="continuous"/>
        </w:sectPr>
      </w:pPr>
    </w:p>
    <w:p>
      <w:pPr>
        <w:spacing w:after="0" w:line="34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52-1166660</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0"/>
          <w:szCs w:val="20"/>
          <w:color w:val="auto"/>
        </w:rPr>
      </w:pPr>
    </w:p>
    <w:p>
      <w:pPr>
        <w:sectPr>
          <w:pgSz w:w="11900" w:h="16838" w:orient="portrait"/>
          <w:cols w:equalWidth="0" w:num="2">
            <w:col w:w="4500" w:space="720"/>
            <w:col w:w="5019"/>
          </w:cols>
          <w:pgMar w:left="220" w:top="47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5900 Princess Garden Parkway</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7/th/ Floor</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Lanham, MD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20706-2969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8" w:lineRule="exact"/>
        <w:rPr>
          <w:sz w:val="20"/>
          <w:szCs w:val="20"/>
          <w:color w:val="auto"/>
        </w:rPr>
      </w:pPr>
    </w:p>
    <w:p>
      <w:pPr>
        <w:sectPr>
          <w:pgSz w:w="11900" w:h="16838" w:orient="portrait"/>
          <w:cols w:equalWidth="0" w:num="2">
            <w:col w:w="4840" w:space="720"/>
            <w:col w:w="4679"/>
          </w:cols>
          <w:pgMar w:left="220" w:top="47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76" w:right="1440" w:bottom="1440" w:gutter="0" w:footer="0" w:header="0"/>
          <w:type w:val="continuous"/>
        </w:sectPr>
      </w:pPr>
    </w:p>
    <w:bookmarkStart w:id="268" w:name="page269"/>
    <w:bookmarkEnd w:id="268"/>
    <w:p>
      <w:pPr>
        <w:jc w:val="center"/>
        <w:ind w:right="3459"/>
        <w:spacing w:after="0"/>
        <w:rPr>
          <w:sz w:val="20"/>
          <w:szCs w:val="20"/>
          <w:color w:val="auto"/>
        </w:rPr>
      </w:pPr>
      <w:r>
        <w:rPr>
          <w:rFonts w:ascii="Courier New" w:cs="Courier New" w:eastAsia="Courier New" w:hAnsi="Courier New"/>
          <w:sz w:val="14"/>
          <w:szCs w:val="14"/>
          <w:color w:val="auto"/>
        </w:rPr>
        <w:t>Radio One Licenses, Inc.</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ind w:left="960"/>
              <w:spacing w:after="0"/>
              <w:rPr>
                <w:sz w:val="20"/>
                <w:szCs w:val="20"/>
                <w:color w:val="auto"/>
              </w:rPr>
            </w:pPr>
            <w:r>
              <w:rPr>
                <w:rFonts w:ascii="Courier New" w:cs="Courier New" w:eastAsia="Courier New" w:hAnsi="Courier New"/>
                <w:sz w:val="14"/>
                <w:szCs w:val="14"/>
                <w:color w:val="auto"/>
              </w:rPr>
              <w:t>Delaware</w:t>
            </w:r>
          </w:p>
        </w:tc>
        <w:tc>
          <w:tcPr>
            <w:tcW w:w="18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52-2037797</w:t>
            </w:r>
          </w:p>
        </w:tc>
      </w:tr>
      <w:tr>
        <w:trPr>
          <w:trHeight w:val="167"/>
        </w:trPr>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(State or other jurisdiction of</w:t>
            </w:r>
          </w:p>
        </w:tc>
        <w:tc>
          <w:tcPr>
            <w:tcW w:w="18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incorporation or organization)</w:t>
            </w:r>
          </w:p>
        </w:tc>
        <w:tc>
          <w:tcPr>
            <w:tcW w:w="1880" w:type="dxa"/>
            <w:vAlign w:val="bottom"/>
          </w:tcPr>
          <w:p>
            <w:pPr>
              <w:ind w:left="220"/>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5900 Princess Garden Parkway</w:t>
            </w:r>
          </w:p>
        </w:tc>
        <w:tc>
          <w:tcPr>
            <w:tcW w:w="1880" w:type="dxa"/>
            <w:vAlign w:val="bottom"/>
          </w:tcPr>
          <w:p>
            <w:pPr>
              <w:spacing w:after="0"/>
              <w:rPr>
                <w:sz w:val="24"/>
                <w:szCs w:val="24"/>
                <w:color w:val="auto"/>
              </w:rPr>
            </w:pPr>
          </w:p>
        </w:tc>
      </w:tr>
      <w:tr>
        <w:trPr>
          <w:trHeight w:val="167"/>
        </w:trPr>
        <w:tc>
          <w:tcPr>
            <w:tcW w:w="4820" w:type="dxa"/>
            <w:vAlign w:val="bottom"/>
          </w:tcPr>
          <w:p>
            <w:pPr>
              <w:ind w:left="960"/>
              <w:spacing w:after="0"/>
              <w:rPr>
                <w:sz w:val="20"/>
                <w:szCs w:val="20"/>
                <w:color w:val="auto"/>
              </w:rPr>
            </w:pPr>
            <w:r>
              <w:rPr>
                <w:rFonts w:ascii="Courier New" w:cs="Courier New" w:eastAsia="Courier New" w:hAnsi="Courier New"/>
                <w:sz w:val="14"/>
                <w:szCs w:val="14"/>
                <w:color w:val="auto"/>
              </w:rPr>
              <w:t>7/th/ Floor</w:t>
            </w:r>
          </w:p>
        </w:tc>
        <w:tc>
          <w:tcPr>
            <w:tcW w:w="18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4820" w:type="dxa"/>
            <w:vAlign w:val="bottom"/>
          </w:tcPr>
          <w:p>
            <w:pPr>
              <w:ind w:left="960"/>
              <w:spacing w:after="0"/>
              <w:rPr>
                <w:sz w:val="20"/>
                <w:szCs w:val="20"/>
                <w:color w:val="auto"/>
              </w:rPr>
            </w:pPr>
            <w:r>
              <w:rPr>
                <w:rFonts w:ascii="Courier New" w:cs="Courier New" w:eastAsia="Courier New" w:hAnsi="Courier New"/>
                <w:sz w:val="14"/>
                <w:szCs w:val="14"/>
                <w:color w:val="auto"/>
              </w:rPr>
              <w:t>Lanham, MD</w:t>
            </w:r>
          </w:p>
        </w:tc>
        <w:tc>
          <w:tcPr>
            <w:tcW w:w="18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(Zip Code)</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 offices)</w:t>
            </w:r>
          </w:p>
        </w:tc>
        <w:tc>
          <w:tcPr>
            <w:tcW w:w="1880" w:type="dxa"/>
            <w:vAlign w:val="bottom"/>
          </w:tcPr>
          <w:p>
            <w:pPr>
              <w:spacing w:after="0"/>
              <w:rPr>
                <w:sz w:val="14"/>
                <w:szCs w:val="14"/>
                <w:color w:val="auto"/>
              </w:rPr>
            </w:pPr>
          </w:p>
        </w:tc>
      </w:tr>
      <w:tr>
        <w:trPr>
          <w:trHeight w:val="334"/>
        </w:trPr>
        <w:tc>
          <w:tcPr>
            <w:tcW w:w="4820" w:type="dxa"/>
            <w:vAlign w:val="bottom"/>
          </w:tcPr>
          <w:p>
            <w:pPr>
              <w:jc w:val="center"/>
              <w:ind w:left="190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spacing w:after="0"/>
              <w:rPr>
                <w:sz w:val="24"/>
                <w:szCs w:val="24"/>
                <w:color w:val="auto"/>
              </w:rPr>
            </w:pPr>
          </w:p>
        </w:tc>
      </w:tr>
      <w:tr>
        <w:trPr>
          <w:trHeight w:val="334"/>
        </w:trPr>
        <w:tc>
          <w:tcPr>
            <w:tcW w:w="4820" w:type="dxa"/>
            <w:vAlign w:val="bottom"/>
          </w:tcPr>
          <w:p>
            <w:pPr>
              <w:jc w:val="center"/>
              <w:ind w:left="1888"/>
              <w:spacing w:after="0"/>
              <w:rPr>
                <w:sz w:val="20"/>
                <w:szCs w:val="20"/>
                <w:color w:val="auto"/>
              </w:rPr>
            </w:pPr>
            <w:r>
              <w:rPr>
                <w:rFonts w:ascii="Courier New" w:cs="Courier New" w:eastAsia="Courier New" w:hAnsi="Courier New"/>
                <w:sz w:val="14"/>
                <w:szCs w:val="14"/>
                <w:color w:val="auto"/>
              </w:rPr>
              <w:t>WYCB Acquisition Corporation</w:t>
            </w:r>
          </w:p>
        </w:tc>
        <w:tc>
          <w:tcPr>
            <w:tcW w:w="1880" w:type="dxa"/>
            <w:vAlign w:val="bottom"/>
          </w:tcPr>
          <w:p>
            <w:pPr>
              <w:spacing w:after="0"/>
              <w:rPr>
                <w:sz w:val="24"/>
                <w:szCs w:val="24"/>
                <w:color w:val="auto"/>
              </w:rPr>
            </w:pPr>
          </w:p>
        </w:tc>
      </w:tr>
      <w:tr>
        <w:trPr>
          <w:trHeight w:val="167"/>
        </w:trPr>
        <w:tc>
          <w:tcPr>
            <w:tcW w:w="67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(Exact name of registrant as specified in its charter)</w:t>
            </w:r>
          </w:p>
        </w:tc>
      </w:tr>
      <w:tr>
        <w:trPr>
          <w:trHeight w:val="334"/>
        </w:trPr>
        <w:tc>
          <w:tcPr>
            <w:tcW w:w="482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8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52-2091213</w:t>
            </w:r>
          </w:p>
        </w:tc>
      </w:tr>
      <w:tr>
        <w:trPr>
          <w:trHeight w:val="167"/>
        </w:trPr>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(State or other jurisdiction of</w:t>
            </w:r>
          </w:p>
        </w:tc>
        <w:tc>
          <w:tcPr>
            <w:tcW w:w="18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incorporation or organization)</w:t>
            </w:r>
          </w:p>
        </w:tc>
        <w:tc>
          <w:tcPr>
            <w:tcW w:w="1880" w:type="dxa"/>
            <w:vAlign w:val="bottom"/>
          </w:tcPr>
          <w:p>
            <w:pPr>
              <w:ind w:left="220"/>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82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5900 Princess Garden Parkway</w:t>
            </w:r>
          </w:p>
        </w:tc>
        <w:tc>
          <w:tcPr>
            <w:tcW w:w="1880" w:type="dxa"/>
            <w:vAlign w:val="bottom"/>
          </w:tcPr>
          <w:p>
            <w:pPr>
              <w:spacing w:after="0"/>
              <w:rPr>
                <w:sz w:val="24"/>
                <w:szCs w:val="24"/>
                <w:color w:val="auto"/>
              </w:rPr>
            </w:pPr>
          </w:p>
        </w:tc>
      </w:tr>
      <w:tr>
        <w:trPr>
          <w:trHeight w:val="167"/>
        </w:trPr>
        <w:tc>
          <w:tcPr>
            <w:tcW w:w="4820" w:type="dxa"/>
            <w:vAlign w:val="bottom"/>
          </w:tcPr>
          <w:p>
            <w:pPr>
              <w:ind w:left="1140"/>
              <w:spacing w:after="0"/>
              <w:rPr>
                <w:sz w:val="20"/>
                <w:szCs w:val="20"/>
                <w:color w:val="auto"/>
              </w:rPr>
            </w:pPr>
            <w:r>
              <w:rPr>
                <w:rFonts w:ascii="Courier New" w:cs="Courier New" w:eastAsia="Courier New" w:hAnsi="Courier New"/>
                <w:sz w:val="14"/>
                <w:szCs w:val="14"/>
                <w:color w:val="auto"/>
              </w:rPr>
              <w:t>7/th/ Floor</w:t>
            </w:r>
          </w:p>
        </w:tc>
        <w:tc>
          <w:tcPr>
            <w:tcW w:w="18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4820" w:type="dxa"/>
            <w:vAlign w:val="bottom"/>
          </w:tcPr>
          <w:p>
            <w:pPr>
              <w:ind w:left="1140"/>
              <w:spacing w:after="0"/>
              <w:rPr>
                <w:sz w:val="20"/>
                <w:szCs w:val="20"/>
                <w:color w:val="auto"/>
              </w:rPr>
            </w:pPr>
            <w:r>
              <w:rPr>
                <w:rFonts w:ascii="Courier New" w:cs="Courier New" w:eastAsia="Courier New" w:hAnsi="Courier New"/>
                <w:sz w:val="14"/>
                <w:szCs w:val="14"/>
                <w:color w:val="auto"/>
              </w:rPr>
              <w:t>Lanham, MD</w:t>
            </w:r>
          </w:p>
        </w:tc>
        <w:tc>
          <w:tcPr>
            <w:tcW w:w="18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(Zip Code)</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 offices)</w:t>
            </w:r>
          </w:p>
        </w:tc>
        <w:tc>
          <w:tcPr>
            <w:tcW w:w="1880" w:type="dxa"/>
            <w:vAlign w:val="bottom"/>
          </w:tcPr>
          <w:p>
            <w:pPr>
              <w:spacing w:after="0"/>
              <w:rPr>
                <w:sz w:val="14"/>
                <w:szCs w:val="14"/>
                <w:color w:val="auto"/>
              </w:rPr>
            </w:pPr>
          </w:p>
        </w:tc>
      </w:tr>
      <w:tr>
        <w:trPr>
          <w:trHeight w:val="334"/>
        </w:trPr>
        <w:tc>
          <w:tcPr>
            <w:tcW w:w="4820" w:type="dxa"/>
            <w:vAlign w:val="bottom"/>
          </w:tcPr>
          <w:p>
            <w:pPr>
              <w:jc w:val="center"/>
              <w:ind w:left="190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spacing w:after="0"/>
              <w:rPr>
                <w:sz w:val="24"/>
                <w:szCs w:val="24"/>
                <w:color w:val="auto"/>
              </w:rPr>
            </w:pPr>
          </w:p>
        </w:tc>
      </w:tr>
      <w:tr>
        <w:trPr>
          <w:trHeight w:val="334"/>
        </w:trPr>
        <w:tc>
          <w:tcPr>
            <w:tcW w:w="4820" w:type="dxa"/>
            <w:vAlign w:val="bottom"/>
          </w:tcPr>
          <w:p>
            <w:pPr>
              <w:jc w:val="center"/>
              <w:ind w:left="1908"/>
              <w:spacing w:after="0"/>
              <w:rPr>
                <w:sz w:val="20"/>
                <w:szCs w:val="20"/>
                <w:color w:val="auto"/>
              </w:rPr>
            </w:pPr>
            <w:r>
              <w:rPr>
                <w:rFonts w:ascii="Courier New" w:cs="Courier New" w:eastAsia="Courier New" w:hAnsi="Courier New"/>
                <w:sz w:val="14"/>
                <w:szCs w:val="14"/>
                <w:color w:val="auto"/>
              </w:rPr>
              <w:t>Broadcast Holdings, Inc.</w:t>
            </w:r>
          </w:p>
        </w:tc>
        <w:tc>
          <w:tcPr>
            <w:tcW w:w="1880" w:type="dxa"/>
            <w:vAlign w:val="bottom"/>
          </w:tcPr>
          <w:p>
            <w:pPr>
              <w:spacing w:after="0"/>
              <w:rPr>
                <w:sz w:val="24"/>
                <w:szCs w:val="24"/>
                <w:color w:val="auto"/>
              </w:rPr>
            </w:pPr>
          </w:p>
        </w:tc>
      </w:tr>
      <w:tr>
        <w:trPr>
          <w:trHeight w:val="167"/>
        </w:trPr>
        <w:tc>
          <w:tcPr>
            <w:tcW w:w="67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(Exact name of registrant as specified in its charter)</w:t>
            </w:r>
          </w:p>
        </w:tc>
      </w:tr>
      <w:tr>
        <w:trPr>
          <w:trHeight w:val="334"/>
        </w:trPr>
        <w:tc>
          <w:tcPr>
            <w:tcW w:w="4820" w:type="dxa"/>
            <w:vAlign w:val="bottom"/>
          </w:tcPr>
          <w:p>
            <w:pPr>
              <w:ind w:left="520"/>
              <w:spacing w:after="0"/>
              <w:rPr>
                <w:sz w:val="20"/>
                <w:szCs w:val="20"/>
                <w:color w:val="auto"/>
              </w:rPr>
            </w:pPr>
            <w:r>
              <w:rPr>
                <w:rFonts w:ascii="Courier New" w:cs="Courier New" w:eastAsia="Courier New" w:hAnsi="Courier New"/>
                <w:sz w:val="14"/>
                <w:szCs w:val="14"/>
                <w:color w:val="auto"/>
              </w:rPr>
              <w:t>District of Columbia</w:t>
            </w:r>
          </w:p>
        </w:tc>
        <w:tc>
          <w:tcPr>
            <w:tcW w:w="18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52-1672361</w:t>
            </w:r>
          </w:p>
        </w:tc>
      </w:tr>
      <w:tr>
        <w:trPr>
          <w:trHeight w:val="167"/>
        </w:trPr>
        <w:tc>
          <w:tcPr>
            <w:tcW w:w="482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(State or other jurisdiction of</w:t>
            </w:r>
          </w:p>
        </w:tc>
        <w:tc>
          <w:tcPr>
            <w:tcW w:w="18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820" w:type="dxa"/>
            <w:vAlign w:val="bottom"/>
          </w:tcPr>
          <w:p>
            <w:pPr>
              <w:ind w:left="100"/>
              <w:spacing w:after="0"/>
              <w:rPr>
                <w:sz w:val="20"/>
                <w:szCs w:val="20"/>
                <w:color w:val="auto"/>
              </w:rPr>
            </w:pPr>
            <w:r>
              <w:rPr>
                <w:rFonts w:ascii="Courier New" w:cs="Courier New" w:eastAsia="Courier New" w:hAnsi="Courier New"/>
                <w:sz w:val="14"/>
                <w:szCs w:val="14"/>
                <w:color w:val="auto"/>
              </w:rPr>
              <w:t>incorporation or organization)</w:t>
            </w:r>
          </w:p>
        </w:tc>
        <w:tc>
          <w:tcPr>
            <w:tcW w:w="1880" w:type="dxa"/>
            <w:vAlign w:val="bottom"/>
          </w:tcPr>
          <w:p>
            <w:pPr>
              <w:ind w:left="220"/>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5900 Princess Garden Parkway</w:t>
            </w:r>
          </w:p>
        </w:tc>
        <w:tc>
          <w:tcPr>
            <w:tcW w:w="1880" w:type="dxa"/>
            <w:vAlign w:val="bottom"/>
          </w:tcPr>
          <w:p>
            <w:pPr>
              <w:spacing w:after="0"/>
              <w:rPr>
                <w:sz w:val="24"/>
                <w:szCs w:val="24"/>
                <w:color w:val="auto"/>
              </w:rPr>
            </w:pPr>
          </w:p>
        </w:tc>
      </w:tr>
      <w:tr>
        <w:trPr>
          <w:trHeight w:val="167"/>
        </w:trPr>
        <w:tc>
          <w:tcPr>
            <w:tcW w:w="4820" w:type="dxa"/>
            <w:vAlign w:val="bottom"/>
          </w:tcPr>
          <w:p>
            <w:pPr>
              <w:ind w:left="1060"/>
              <w:spacing w:after="0"/>
              <w:rPr>
                <w:sz w:val="20"/>
                <w:szCs w:val="20"/>
                <w:color w:val="auto"/>
              </w:rPr>
            </w:pPr>
            <w:r>
              <w:rPr>
                <w:rFonts w:ascii="Courier New" w:cs="Courier New" w:eastAsia="Courier New" w:hAnsi="Courier New"/>
                <w:sz w:val="14"/>
                <w:szCs w:val="14"/>
                <w:color w:val="auto"/>
              </w:rPr>
              <w:t>7/th/ Floor</w:t>
            </w:r>
          </w:p>
        </w:tc>
        <w:tc>
          <w:tcPr>
            <w:tcW w:w="18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4820" w:type="dxa"/>
            <w:vAlign w:val="bottom"/>
          </w:tcPr>
          <w:p>
            <w:pPr>
              <w:ind w:left="1140"/>
              <w:spacing w:after="0"/>
              <w:rPr>
                <w:sz w:val="20"/>
                <w:szCs w:val="20"/>
                <w:color w:val="auto"/>
              </w:rPr>
            </w:pPr>
            <w:r>
              <w:rPr>
                <w:rFonts w:ascii="Courier New" w:cs="Courier New" w:eastAsia="Courier New" w:hAnsi="Courier New"/>
                <w:sz w:val="14"/>
                <w:szCs w:val="14"/>
                <w:color w:val="auto"/>
              </w:rPr>
              <w:t>Lanham, MD</w:t>
            </w:r>
          </w:p>
        </w:tc>
        <w:tc>
          <w:tcPr>
            <w:tcW w:w="18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(Zip Code)</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 offices)</w:t>
            </w:r>
          </w:p>
        </w:tc>
        <w:tc>
          <w:tcPr>
            <w:tcW w:w="1880" w:type="dxa"/>
            <w:vAlign w:val="bottom"/>
          </w:tcPr>
          <w:p>
            <w:pPr>
              <w:spacing w:after="0"/>
              <w:rPr>
                <w:sz w:val="14"/>
                <w:szCs w:val="14"/>
                <w:color w:val="auto"/>
              </w:rPr>
            </w:pPr>
          </w:p>
        </w:tc>
      </w:tr>
    </w:tbl>
    <w:p>
      <w:pPr>
        <w:spacing w:after="0" w:line="171"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bookmarkStart w:id="269" w:name="page270"/>
    <w:bookmarkEnd w:id="269"/>
    <w:p>
      <w:pPr>
        <w:ind w:left="2360"/>
        <w:spacing w:after="0"/>
        <w:rPr>
          <w:sz w:val="20"/>
          <w:szCs w:val="20"/>
          <w:color w:val="auto"/>
        </w:rPr>
      </w:pPr>
      <w:r>
        <w:rPr>
          <w:rFonts w:ascii="Courier New" w:cs="Courier New" w:eastAsia="Courier New" w:hAnsi="Courier New"/>
          <w:sz w:val="14"/>
          <w:szCs w:val="14"/>
          <w:color w:val="auto"/>
        </w:rPr>
        <w:t>Bell Broadcasting Company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5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(Exact name of registrant as specified in its charter)</w:t>
            </w:r>
          </w:p>
        </w:tc>
      </w:tr>
      <w:tr>
        <w:trPr>
          <w:trHeight w:val="334"/>
        </w:trPr>
        <w:tc>
          <w:tcPr>
            <w:tcW w:w="1000" w:type="dxa"/>
            <w:vAlign w:val="bottom"/>
          </w:tcPr>
          <w:p>
            <w:pPr>
              <w:spacing w:after="0"/>
              <w:rPr>
                <w:sz w:val="24"/>
                <w:szCs w:val="24"/>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4"/>
                <w:szCs w:val="14"/>
                <w:color w:val="auto"/>
              </w:rPr>
              <w:t>Michigan</w:t>
            </w:r>
          </w:p>
        </w:tc>
        <w:tc>
          <w:tcPr>
            <w:tcW w:w="1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38-153-7987</w:t>
            </w:r>
          </w:p>
        </w:tc>
      </w:tr>
      <w:tr>
        <w:trPr>
          <w:trHeight w:val="167"/>
        </w:trPr>
        <w:tc>
          <w:tcPr>
            <w:tcW w:w="4820" w:type="dxa"/>
            <w:vAlign w:val="bottom"/>
            <w:gridSpan w:val="2"/>
          </w:tcPr>
          <w:p>
            <w:pPr>
              <w:jc w:val="right"/>
              <w:ind w:right="1788"/>
              <w:spacing w:after="0"/>
              <w:rPr>
                <w:sz w:val="20"/>
                <w:szCs w:val="20"/>
                <w:color w:val="auto"/>
              </w:rPr>
            </w:pPr>
            <w:r>
              <w:rPr>
                <w:rFonts w:ascii="Courier New" w:cs="Courier New" w:eastAsia="Courier New" w:hAnsi="Courier New"/>
                <w:sz w:val="14"/>
                <w:szCs w:val="14"/>
                <w:color w:val="auto"/>
              </w:rPr>
              <w:t>(State or other jurisdiction of</w:t>
            </w:r>
          </w:p>
        </w:tc>
        <w:tc>
          <w:tcPr>
            <w:tcW w:w="19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820" w:type="dxa"/>
            <w:vAlign w:val="bottom"/>
            <w:gridSpan w:val="2"/>
          </w:tcPr>
          <w:p>
            <w:pPr>
              <w:jc w:val="center"/>
              <w:ind w:right="1608"/>
              <w:spacing w:after="0"/>
              <w:rPr>
                <w:sz w:val="20"/>
                <w:szCs w:val="20"/>
                <w:color w:val="auto"/>
              </w:rPr>
            </w:pPr>
            <w:r>
              <w:rPr>
                <w:rFonts w:ascii="Courier New" w:cs="Courier New" w:eastAsia="Courier New" w:hAnsi="Courier New"/>
                <w:sz w:val="14"/>
                <w:szCs w:val="14"/>
                <w:color w:val="auto"/>
              </w:rPr>
              <w:t>incorporation or organization)</w:t>
            </w:r>
          </w:p>
        </w:tc>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820" w:type="dxa"/>
            <w:vAlign w:val="bottom"/>
            <w:gridSpan w:val="2"/>
          </w:tcPr>
          <w:p>
            <w:pPr>
              <w:jc w:val="center"/>
              <w:ind w:right="1608"/>
              <w:spacing w:after="0"/>
              <w:rPr>
                <w:sz w:val="20"/>
                <w:szCs w:val="20"/>
                <w:color w:val="auto"/>
              </w:rPr>
            </w:pPr>
            <w:r>
              <w:rPr>
                <w:rFonts w:ascii="Courier New" w:cs="Courier New" w:eastAsia="Courier New" w:hAnsi="Courier New"/>
                <w:sz w:val="14"/>
                <w:szCs w:val="14"/>
                <w:color w:val="auto"/>
              </w:rPr>
              <w:t>5900 Princess Garden Parkway</w:t>
            </w:r>
          </w:p>
        </w:tc>
        <w:tc>
          <w:tcPr>
            <w:tcW w:w="1960" w:type="dxa"/>
            <w:vAlign w:val="bottom"/>
          </w:tcPr>
          <w:p>
            <w:pPr>
              <w:spacing w:after="0"/>
              <w:rPr>
                <w:sz w:val="24"/>
                <w:szCs w:val="24"/>
                <w:color w:val="auto"/>
              </w:rPr>
            </w:pPr>
          </w:p>
        </w:tc>
      </w:tr>
      <w:tr>
        <w:trPr>
          <w:trHeight w:val="167"/>
        </w:trPr>
        <w:tc>
          <w:tcPr>
            <w:tcW w:w="1000" w:type="dxa"/>
            <w:vAlign w:val="bottom"/>
          </w:tcPr>
          <w:p>
            <w:pPr>
              <w:spacing w:after="0"/>
              <w:rPr>
                <w:sz w:val="14"/>
                <w:szCs w:val="14"/>
                <w:color w:val="auto"/>
              </w:rPr>
            </w:pP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7/th/ Floor</w:t>
            </w:r>
          </w:p>
        </w:tc>
        <w:tc>
          <w:tcPr>
            <w:tcW w:w="1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1000" w:type="dxa"/>
            <w:vAlign w:val="bottom"/>
          </w:tcPr>
          <w:p>
            <w:pPr>
              <w:spacing w:after="0"/>
              <w:rPr>
                <w:sz w:val="14"/>
                <w:szCs w:val="14"/>
                <w:color w:val="auto"/>
              </w:rPr>
            </w:pP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Lanham, MD</w:t>
            </w:r>
          </w:p>
        </w:tc>
        <w:tc>
          <w:tcPr>
            <w:tcW w:w="1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(Zip Code)</w:t>
            </w: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(Address of</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principal executive offices)</w:t>
            </w:r>
          </w:p>
        </w:tc>
        <w:tc>
          <w:tcPr>
            <w:tcW w:w="1960" w:type="dxa"/>
            <w:vAlign w:val="bottom"/>
          </w:tcPr>
          <w:p>
            <w:pPr>
              <w:spacing w:after="0"/>
              <w:rPr>
                <w:sz w:val="14"/>
                <w:szCs w:val="14"/>
                <w:color w:val="auto"/>
              </w:rPr>
            </w:pPr>
          </w:p>
        </w:tc>
      </w:tr>
      <w:tr>
        <w:trPr>
          <w:trHeight w:val="334"/>
        </w:trPr>
        <w:tc>
          <w:tcPr>
            <w:tcW w:w="1000" w:type="dxa"/>
            <w:vAlign w:val="bottom"/>
          </w:tcPr>
          <w:p>
            <w:pPr>
              <w:spacing w:after="0"/>
              <w:rPr>
                <w:sz w:val="24"/>
                <w:szCs w:val="24"/>
                <w:color w:val="auto"/>
              </w:rPr>
            </w:pPr>
          </w:p>
        </w:tc>
        <w:tc>
          <w:tcPr>
            <w:tcW w:w="3820" w:type="dxa"/>
            <w:vAlign w:val="bottom"/>
          </w:tcPr>
          <w:p>
            <w:pPr>
              <w:ind w:left="1620"/>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spacing w:after="0"/>
              <w:rPr>
                <w:sz w:val="24"/>
                <w:szCs w:val="24"/>
                <w:color w:val="auto"/>
              </w:rPr>
            </w:pPr>
          </w:p>
        </w:tc>
      </w:tr>
      <w:tr>
        <w:trPr>
          <w:trHeight w:val="334"/>
        </w:trPr>
        <w:tc>
          <w:tcPr>
            <w:tcW w:w="1000" w:type="dxa"/>
            <w:vAlign w:val="bottom"/>
          </w:tcPr>
          <w:p>
            <w:pPr>
              <w:spacing w:after="0"/>
              <w:rPr>
                <w:sz w:val="24"/>
                <w:szCs w:val="24"/>
                <w:color w:val="auto"/>
              </w:rPr>
            </w:pPr>
          </w:p>
        </w:tc>
        <w:tc>
          <w:tcPr>
            <w:tcW w:w="3820" w:type="dxa"/>
            <w:vAlign w:val="bottom"/>
          </w:tcPr>
          <w:p>
            <w:pPr>
              <w:ind w:left="1260"/>
              <w:spacing w:after="0"/>
              <w:rPr>
                <w:sz w:val="20"/>
                <w:szCs w:val="20"/>
                <w:color w:val="auto"/>
              </w:rPr>
            </w:pPr>
            <w:r>
              <w:rPr>
                <w:rFonts w:ascii="Courier New" w:cs="Courier New" w:eastAsia="Courier New" w:hAnsi="Courier New"/>
                <w:sz w:val="14"/>
                <w:szCs w:val="14"/>
                <w:color w:val="auto"/>
              </w:rPr>
              <w:t>Radio One of Detroit, Inc.</w:t>
            </w:r>
          </w:p>
        </w:tc>
        <w:tc>
          <w:tcPr>
            <w:tcW w:w="1960" w:type="dxa"/>
            <w:vAlign w:val="bottom"/>
          </w:tcPr>
          <w:p>
            <w:pPr>
              <w:spacing w:after="0"/>
              <w:rPr>
                <w:sz w:val="24"/>
                <w:szCs w:val="24"/>
                <w:color w:val="auto"/>
              </w:rPr>
            </w:pPr>
          </w:p>
        </w:tc>
      </w:tr>
      <w:tr>
        <w:trPr>
          <w:trHeight w:val="167"/>
        </w:trPr>
        <w:tc>
          <w:tcPr>
            <w:tcW w:w="1000" w:type="dxa"/>
            <w:vAlign w:val="bottom"/>
          </w:tcPr>
          <w:p>
            <w:pPr>
              <w:spacing w:after="0"/>
              <w:rPr>
                <w:sz w:val="14"/>
                <w:szCs w:val="14"/>
                <w:color w:val="auto"/>
              </w:rPr>
            </w:pPr>
          </w:p>
        </w:tc>
        <w:tc>
          <w:tcPr>
            <w:tcW w:w="5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(Exact name of registrant as specified in its charter)</w:t>
            </w:r>
          </w:p>
        </w:tc>
      </w:tr>
      <w:tr>
        <w:trPr>
          <w:trHeight w:val="334"/>
        </w:trPr>
        <w:tc>
          <w:tcPr>
            <w:tcW w:w="1000" w:type="dxa"/>
            <w:vAlign w:val="bottom"/>
          </w:tcPr>
          <w:p>
            <w:pPr>
              <w:spacing w:after="0"/>
              <w:rPr>
                <w:sz w:val="24"/>
                <w:szCs w:val="24"/>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4"/>
                <w:szCs w:val="14"/>
                <w:color w:val="auto"/>
              </w:rPr>
              <w:t>Delaware</w:t>
            </w:r>
          </w:p>
        </w:tc>
        <w:tc>
          <w:tcPr>
            <w:tcW w:w="1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52-2107351</w:t>
            </w: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(State or</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other jurisdiction of</w:t>
            </w:r>
          </w:p>
        </w:tc>
        <w:tc>
          <w:tcPr>
            <w:tcW w:w="19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820" w:type="dxa"/>
            <w:vAlign w:val="bottom"/>
            <w:gridSpan w:val="2"/>
          </w:tcPr>
          <w:p>
            <w:pPr>
              <w:jc w:val="center"/>
              <w:ind w:right="1608"/>
              <w:spacing w:after="0"/>
              <w:rPr>
                <w:sz w:val="20"/>
                <w:szCs w:val="20"/>
                <w:color w:val="auto"/>
              </w:rPr>
            </w:pPr>
            <w:r>
              <w:rPr>
                <w:rFonts w:ascii="Courier New" w:cs="Courier New" w:eastAsia="Courier New" w:hAnsi="Courier New"/>
                <w:sz w:val="14"/>
                <w:szCs w:val="14"/>
                <w:color w:val="auto"/>
              </w:rPr>
              <w:t>incorporation or organization)</w:t>
            </w:r>
          </w:p>
        </w:tc>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820" w:type="dxa"/>
            <w:vAlign w:val="bottom"/>
            <w:gridSpan w:val="2"/>
          </w:tcPr>
          <w:p>
            <w:pPr>
              <w:jc w:val="center"/>
              <w:ind w:right="1608"/>
              <w:spacing w:after="0"/>
              <w:rPr>
                <w:sz w:val="20"/>
                <w:szCs w:val="20"/>
                <w:color w:val="auto"/>
              </w:rPr>
            </w:pPr>
            <w:r>
              <w:rPr>
                <w:rFonts w:ascii="Courier New" w:cs="Courier New" w:eastAsia="Courier New" w:hAnsi="Courier New"/>
                <w:sz w:val="14"/>
                <w:szCs w:val="14"/>
                <w:color w:val="auto"/>
              </w:rPr>
              <w:t>5900 Princess Garden Parkway</w:t>
            </w:r>
          </w:p>
        </w:tc>
        <w:tc>
          <w:tcPr>
            <w:tcW w:w="1960" w:type="dxa"/>
            <w:vAlign w:val="bottom"/>
          </w:tcPr>
          <w:p>
            <w:pPr>
              <w:spacing w:after="0"/>
              <w:rPr>
                <w:sz w:val="24"/>
                <w:szCs w:val="24"/>
                <w:color w:val="auto"/>
              </w:rPr>
            </w:pPr>
          </w:p>
        </w:tc>
      </w:tr>
      <w:tr>
        <w:trPr>
          <w:trHeight w:val="167"/>
        </w:trPr>
        <w:tc>
          <w:tcPr>
            <w:tcW w:w="1000" w:type="dxa"/>
            <w:vAlign w:val="bottom"/>
          </w:tcPr>
          <w:p>
            <w:pPr>
              <w:spacing w:after="0"/>
              <w:rPr>
                <w:sz w:val="14"/>
                <w:szCs w:val="14"/>
                <w:color w:val="auto"/>
              </w:rPr>
            </w:pP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7/th/ Floor</w:t>
            </w:r>
          </w:p>
        </w:tc>
        <w:tc>
          <w:tcPr>
            <w:tcW w:w="1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1000" w:type="dxa"/>
            <w:vAlign w:val="bottom"/>
          </w:tcPr>
          <w:p>
            <w:pPr>
              <w:spacing w:after="0"/>
              <w:rPr>
                <w:sz w:val="14"/>
                <w:szCs w:val="14"/>
                <w:color w:val="auto"/>
              </w:rPr>
            </w:pP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Lanham, MD</w:t>
            </w:r>
          </w:p>
        </w:tc>
        <w:tc>
          <w:tcPr>
            <w:tcW w:w="1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(Zip Code)</w:t>
            </w: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(Address of</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principal executive offices)</w:t>
            </w:r>
          </w:p>
        </w:tc>
        <w:tc>
          <w:tcPr>
            <w:tcW w:w="1960" w:type="dxa"/>
            <w:vAlign w:val="bottom"/>
          </w:tcPr>
          <w:p>
            <w:pPr>
              <w:spacing w:after="0"/>
              <w:rPr>
                <w:sz w:val="14"/>
                <w:szCs w:val="14"/>
                <w:color w:val="auto"/>
              </w:rPr>
            </w:pPr>
          </w:p>
        </w:tc>
      </w:tr>
      <w:tr>
        <w:trPr>
          <w:trHeight w:val="334"/>
        </w:trPr>
        <w:tc>
          <w:tcPr>
            <w:tcW w:w="1000" w:type="dxa"/>
            <w:vAlign w:val="bottom"/>
          </w:tcPr>
          <w:p>
            <w:pPr>
              <w:spacing w:after="0"/>
              <w:rPr>
                <w:sz w:val="24"/>
                <w:szCs w:val="24"/>
                <w:color w:val="auto"/>
              </w:rPr>
            </w:pPr>
          </w:p>
        </w:tc>
        <w:tc>
          <w:tcPr>
            <w:tcW w:w="3820" w:type="dxa"/>
            <w:vAlign w:val="bottom"/>
          </w:tcPr>
          <w:p>
            <w:pPr>
              <w:ind w:left="1620"/>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spacing w:after="0"/>
              <w:rPr>
                <w:sz w:val="24"/>
                <w:szCs w:val="24"/>
                <w:color w:val="auto"/>
              </w:rPr>
            </w:pPr>
          </w:p>
        </w:tc>
      </w:tr>
      <w:tr>
        <w:trPr>
          <w:trHeight w:val="334"/>
        </w:trPr>
        <w:tc>
          <w:tcPr>
            <w:tcW w:w="1000" w:type="dxa"/>
            <w:vAlign w:val="bottom"/>
          </w:tcPr>
          <w:p>
            <w:pPr>
              <w:spacing w:after="0"/>
              <w:rPr>
                <w:sz w:val="24"/>
                <w:szCs w:val="24"/>
                <w:color w:val="auto"/>
              </w:rPr>
            </w:pPr>
          </w:p>
        </w:tc>
        <w:tc>
          <w:tcPr>
            <w:tcW w:w="3820" w:type="dxa"/>
            <w:vAlign w:val="bottom"/>
          </w:tcPr>
          <w:p>
            <w:pPr>
              <w:ind w:left="1620"/>
              <w:spacing w:after="0"/>
              <w:rPr>
                <w:sz w:val="20"/>
                <w:szCs w:val="20"/>
                <w:color w:val="auto"/>
              </w:rPr>
            </w:pPr>
            <w:r>
              <w:rPr>
                <w:rFonts w:ascii="Courier New" w:cs="Courier New" w:eastAsia="Courier New" w:hAnsi="Courier New"/>
                <w:sz w:val="14"/>
                <w:szCs w:val="14"/>
                <w:color w:val="auto"/>
              </w:rPr>
              <w:t>Allur-Detroit, Inc.</w:t>
            </w:r>
          </w:p>
        </w:tc>
        <w:tc>
          <w:tcPr>
            <w:tcW w:w="1960" w:type="dxa"/>
            <w:vAlign w:val="bottom"/>
          </w:tcPr>
          <w:p>
            <w:pPr>
              <w:spacing w:after="0"/>
              <w:rPr>
                <w:sz w:val="24"/>
                <w:szCs w:val="24"/>
                <w:color w:val="auto"/>
              </w:rPr>
            </w:pPr>
          </w:p>
        </w:tc>
      </w:tr>
      <w:tr>
        <w:trPr>
          <w:trHeight w:val="167"/>
        </w:trPr>
        <w:tc>
          <w:tcPr>
            <w:tcW w:w="1000" w:type="dxa"/>
            <w:vAlign w:val="bottom"/>
          </w:tcPr>
          <w:p>
            <w:pPr>
              <w:spacing w:after="0"/>
              <w:rPr>
                <w:sz w:val="14"/>
                <w:szCs w:val="14"/>
                <w:color w:val="auto"/>
              </w:rPr>
            </w:pPr>
          </w:p>
        </w:tc>
        <w:tc>
          <w:tcPr>
            <w:tcW w:w="5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(Exact name of registrant as specified in its charter)</w:t>
            </w:r>
          </w:p>
        </w:tc>
      </w:tr>
      <w:tr>
        <w:trPr>
          <w:trHeight w:val="334"/>
        </w:trPr>
        <w:tc>
          <w:tcPr>
            <w:tcW w:w="1000" w:type="dxa"/>
            <w:vAlign w:val="bottom"/>
          </w:tcPr>
          <w:p>
            <w:pPr>
              <w:spacing w:after="0"/>
              <w:rPr>
                <w:sz w:val="24"/>
                <w:szCs w:val="24"/>
                <w:color w:val="auto"/>
              </w:rPr>
            </w:pPr>
          </w:p>
        </w:tc>
        <w:tc>
          <w:tcPr>
            <w:tcW w:w="3820" w:type="dxa"/>
            <w:vAlign w:val="bottom"/>
          </w:tcPr>
          <w:p>
            <w:pPr>
              <w:ind w:left="140"/>
              <w:spacing w:after="0"/>
              <w:rPr>
                <w:sz w:val="20"/>
                <w:szCs w:val="20"/>
                <w:color w:val="auto"/>
              </w:rPr>
            </w:pPr>
            <w:r>
              <w:rPr>
                <w:rFonts w:ascii="Courier New" w:cs="Courier New" w:eastAsia="Courier New" w:hAnsi="Courier New"/>
                <w:sz w:val="14"/>
                <w:szCs w:val="14"/>
                <w:color w:val="auto"/>
              </w:rPr>
              <w:t>Delaware</w:t>
            </w:r>
          </w:p>
        </w:tc>
        <w:tc>
          <w:tcPr>
            <w:tcW w:w="19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23-2701497</w:t>
            </w:r>
          </w:p>
        </w:tc>
      </w:tr>
      <w:tr>
        <w:trPr>
          <w:trHeight w:val="167"/>
        </w:trPr>
        <w:tc>
          <w:tcPr>
            <w:tcW w:w="4820" w:type="dxa"/>
            <w:vAlign w:val="bottom"/>
            <w:gridSpan w:val="2"/>
          </w:tcPr>
          <w:p>
            <w:pPr>
              <w:jc w:val="right"/>
              <w:ind w:right="1788"/>
              <w:spacing w:after="0"/>
              <w:rPr>
                <w:sz w:val="20"/>
                <w:szCs w:val="20"/>
                <w:color w:val="auto"/>
              </w:rPr>
            </w:pPr>
            <w:r>
              <w:rPr>
                <w:rFonts w:ascii="Courier New" w:cs="Courier New" w:eastAsia="Courier New" w:hAnsi="Courier New"/>
                <w:sz w:val="14"/>
                <w:szCs w:val="14"/>
                <w:color w:val="auto"/>
              </w:rPr>
              <w:t>(State or other jurisdiction of</w:t>
            </w:r>
          </w:p>
        </w:tc>
        <w:tc>
          <w:tcPr>
            <w:tcW w:w="19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820" w:type="dxa"/>
            <w:vAlign w:val="bottom"/>
            <w:gridSpan w:val="2"/>
          </w:tcPr>
          <w:p>
            <w:pPr>
              <w:jc w:val="right"/>
              <w:ind w:right="1788"/>
              <w:spacing w:after="0"/>
              <w:rPr>
                <w:sz w:val="20"/>
                <w:szCs w:val="20"/>
                <w:color w:val="auto"/>
              </w:rPr>
            </w:pPr>
            <w:r>
              <w:rPr>
                <w:rFonts w:ascii="Courier New" w:cs="Courier New" w:eastAsia="Courier New" w:hAnsi="Courier New"/>
                <w:sz w:val="14"/>
                <w:szCs w:val="14"/>
                <w:color w:val="auto"/>
              </w:rPr>
              <w:t>incorporation or organization)</w:t>
            </w:r>
          </w:p>
        </w:tc>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820" w:type="dxa"/>
            <w:vAlign w:val="bottom"/>
            <w:gridSpan w:val="2"/>
          </w:tcPr>
          <w:p>
            <w:pPr>
              <w:jc w:val="center"/>
              <w:ind w:right="1608"/>
              <w:spacing w:after="0"/>
              <w:rPr>
                <w:sz w:val="20"/>
                <w:szCs w:val="20"/>
                <w:color w:val="auto"/>
              </w:rPr>
            </w:pPr>
            <w:r>
              <w:rPr>
                <w:rFonts w:ascii="Courier New" w:cs="Courier New" w:eastAsia="Courier New" w:hAnsi="Courier New"/>
                <w:sz w:val="14"/>
                <w:szCs w:val="14"/>
                <w:color w:val="auto"/>
              </w:rPr>
              <w:t>5900 Princess Garden Parkway</w:t>
            </w:r>
          </w:p>
        </w:tc>
        <w:tc>
          <w:tcPr>
            <w:tcW w:w="1960" w:type="dxa"/>
            <w:vAlign w:val="bottom"/>
          </w:tcPr>
          <w:p>
            <w:pPr>
              <w:spacing w:after="0"/>
              <w:rPr>
                <w:sz w:val="24"/>
                <w:szCs w:val="24"/>
                <w:color w:val="auto"/>
              </w:rPr>
            </w:pPr>
          </w:p>
        </w:tc>
      </w:tr>
      <w:tr>
        <w:trPr>
          <w:trHeight w:val="167"/>
        </w:trPr>
        <w:tc>
          <w:tcPr>
            <w:tcW w:w="1000" w:type="dxa"/>
            <w:vAlign w:val="bottom"/>
          </w:tcPr>
          <w:p>
            <w:pPr>
              <w:spacing w:after="0"/>
              <w:rPr>
                <w:sz w:val="14"/>
                <w:szCs w:val="14"/>
                <w:color w:val="auto"/>
              </w:rPr>
            </w:pP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7/th/ Floor</w:t>
            </w:r>
          </w:p>
        </w:tc>
        <w:tc>
          <w:tcPr>
            <w:tcW w:w="1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1000" w:type="dxa"/>
            <w:vAlign w:val="bottom"/>
          </w:tcPr>
          <w:p>
            <w:pPr>
              <w:spacing w:after="0"/>
              <w:rPr>
                <w:sz w:val="14"/>
                <w:szCs w:val="14"/>
                <w:color w:val="auto"/>
              </w:rPr>
            </w:pP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Lanham, MD</w:t>
            </w:r>
          </w:p>
        </w:tc>
        <w:tc>
          <w:tcPr>
            <w:tcW w:w="1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(Zip Code)</w:t>
            </w: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(Address of</w:t>
            </w:r>
          </w:p>
        </w:tc>
        <w:tc>
          <w:tcPr>
            <w:tcW w:w="3820" w:type="dxa"/>
            <w:vAlign w:val="bottom"/>
          </w:tcPr>
          <w:p>
            <w:pPr>
              <w:ind w:left="60"/>
              <w:spacing w:after="0"/>
              <w:rPr>
                <w:sz w:val="20"/>
                <w:szCs w:val="20"/>
                <w:color w:val="auto"/>
              </w:rPr>
            </w:pPr>
            <w:r>
              <w:rPr>
                <w:rFonts w:ascii="Courier New" w:cs="Courier New" w:eastAsia="Courier New" w:hAnsi="Courier New"/>
                <w:sz w:val="14"/>
                <w:szCs w:val="14"/>
                <w:color w:val="auto"/>
              </w:rPr>
              <w:t>principal executive offices)</w:t>
            </w:r>
          </w:p>
        </w:tc>
        <w:tc>
          <w:tcPr>
            <w:tcW w:w="1960" w:type="dxa"/>
            <w:vAlign w:val="bottom"/>
          </w:tcPr>
          <w:p>
            <w:pPr>
              <w:spacing w:after="0"/>
              <w:rPr>
                <w:sz w:val="14"/>
                <w:szCs w:val="14"/>
                <w:color w:val="auto"/>
              </w:rPr>
            </w:pPr>
          </w:p>
        </w:tc>
      </w:tr>
    </w:tbl>
    <w:p>
      <w:pPr>
        <w:spacing w:after="0" w:line="171"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bookmarkStart w:id="270" w:name="page271"/>
    <w:bookmarkEnd w:id="270"/>
    <w:p>
      <w:pPr>
        <w:jc w:val="center"/>
        <w:ind w:right="3459"/>
        <w:spacing w:after="0"/>
        <w:rPr>
          <w:sz w:val="20"/>
          <w:szCs w:val="20"/>
          <w:color w:val="auto"/>
        </w:rPr>
      </w:pPr>
      <w:r>
        <w:rPr>
          <w:rFonts w:ascii="Courier New" w:cs="Courier New" w:eastAsia="Courier New" w:hAnsi="Courier New"/>
          <w:sz w:val="14"/>
          <w:szCs w:val="14"/>
          <w:color w:val="auto"/>
        </w:rPr>
        <w:t>Allur Licenses, Inc.</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720" w:type="dxa"/>
            <w:vAlign w:val="bottom"/>
            <w:gridSpan w:val="2"/>
          </w:tcPr>
          <w:p>
            <w:pPr>
              <w:jc w:val="center"/>
              <w:ind w:right="868"/>
              <w:spacing w:after="0"/>
              <w:rPr>
                <w:sz w:val="20"/>
                <w:szCs w:val="20"/>
                <w:color w:val="auto"/>
              </w:rPr>
            </w:pPr>
            <w:r>
              <w:rPr>
                <w:rFonts w:ascii="Courier New" w:cs="Courier New" w:eastAsia="Courier New" w:hAnsi="Courier New"/>
                <w:sz w:val="14"/>
                <w:szCs w:val="14"/>
                <w:color w:val="auto"/>
              </w:rPr>
              <w:t>Delaware</w:t>
            </w:r>
          </w:p>
        </w:tc>
        <w:tc>
          <w:tcPr>
            <w:tcW w:w="2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52-2135916</w:t>
            </w:r>
          </w:p>
        </w:tc>
      </w:tr>
      <w:tr>
        <w:trPr>
          <w:trHeight w:val="167"/>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(State or other</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jurisdiction of</w:t>
            </w:r>
          </w:p>
        </w:tc>
        <w:tc>
          <w:tcPr>
            <w:tcW w:w="2700" w:type="dxa"/>
            <w:vAlign w:val="bottom"/>
          </w:tcPr>
          <w:p>
            <w:pPr>
              <w:jc w:val="center"/>
              <w:ind w:left="88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3720" w:type="dxa"/>
            <w:vAlign w:val="bottom"/>
            <w:gridSpan w:val="2"/>
          </w:tcPr>
          <w:p>
            <w:pPr>
              <w:jc w:val="center"/>
              <w:ind w:right="888"/>
              <w:spacing w:after="0"/>
              <w:rPr>
                <w:sz w:val="20"/>
                <w:szCs w:val="20"/>
                <w:color w:val="auto"/>
              </w:rPr>
            </w:pPr>
            <w:r>
              <w:rPr>
                <w:rFonts w:ascii="Courier New" w:cs="Courier New" w:eastAsia="Courier New" w:hAnsi="Courier New"/>
                <w:sz w:val="14"/>
                <w:szCs w:val="14"/>
                <w:color w:val="auto"/>
              </w:rPr>
              <w:t>incorporation or organization)</w:t>
            </w:r>
          </w:p>
        </w:tc>
        <w:tc>
          <w:tcPr>
            <w:tcW w:w="2700" w:type="dxa"/>
            <w:vAlign w:val="bottom"/>
          </w:tcPr>
          <w:p>
            <w:pPr>
              <w:ind w:left="1040"/>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5900 Princess</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Garden Parkway</w:t>
            </w:r>
          </w:p>
        </w:tc>
        <w:tc>
          <w:tcPr>
            <w:tcW w:w="2700" w:type="dxa"/>
            <w:vAlign w:val="bottom"/>
          </w:tcPr>
          <w:p>
            <w:pPr>
              <w:spacing w:after="0"/>
              <w:rPr>
                <w:sz w:val="24"/>
                <w:szCs w:val="24"/>
                <w:color w:val="auto"/>
              </w:rPr>
            </w:pPr>
          </w:p>
        </w:tc>
      </w:tr>
      <w:tr>
        <w:trPr>
          <w:trHeight w:val="167"/>
        </w:trPr>
        <w:tc>
          <w:tcPr>
            <w:tcW w:w="37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7/th /Floor</w:t>
            </w:r>
          </w:p>
        </w:tc>
        <w:tc>
          <w:tcPr>
            <w:tcW w:w="2700" w:type="dxa"/>
            <w:vAlign w:val="bottom"/>
          </w:tcPr>
          <w:p>
            <w:pPr>
              <w:ind w:left="1480"/>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Lanham,</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MD</w:t>
            </w:r>
          </w:p>
        </w:tc>
        <w:tc>
          <w:tcPr>
            <w:tcW w:w="2700" w:type="dxa"/>
            <w:vAlign w:val="bottom"/>
          </w:tcPr>
          <w:p>
            <w:pPr>
              <w:ind w:left="1480"/>
              <w:spacing w:after="0"/>
              <w:rPr>
                <w:sz w:val="20"/>
                <w:szCs w:val="20"/>
                <w:color w:val="auto"/>
              </w:rPr>
            </w:pPr>
            <w:r>
              <w:rPr>
                <w:rFonts w:ascii="Courier New" w:cs="Courier New" w:eastAsia="Courier New" w:hAnsi="Courier New"/>
                <w:sz w:val="14"/>
                <w:szCs w:val="14"/>
                <w:color w:val="auto"/>
              </w:rPr>
              <w:t>(Zip Code)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Radio One of Atlanta, Inc.</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jc w:val="center"/>
              <w:ind w:right="1268"/>
              <w:spacing w:after="0"/>
              <w:rPr>
                <w:sz w:val="20"/>
                <w:szCs w:val="20"/>
                <w:color w:val="auto"/>
              </w:rPr>
            </w:pPr>
            <w:r>
              <w:rPr>
                <w:rFonts w:ascii="Courier New" w:cs="Courier New" w:eastAsia="Courier New" w:hAnsi="Courier New"/>
                <w:sz w:val="14"/>
                <w:szCs w:val="14"/>
                <w:color w:val="auto"/>
              </w:rPr>
              <w:t>Delaware</w:t>
            </w:r>
          </w:p>
        </w:tc>
        <w:tc>
          <w:tcPr>
            <w:tcW w:w="212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52-1925992</w:t>
            </w:r>
          </w:p>
        </w:tc>
      </w:tr>
      <w:tr>
        <w:trPr>
          <w:trHeight w:val="167"/>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(State or other jurisdiction of</w:t>
            </w:r>
          </w:p>
        </w:tc>
        <w:tc>
          <w:tcPr>
            <w:tcW w:w="212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660" w:type="dxa"/>
            <w:vAlign w:val="bottom"/>
          </w:tcPr>
          <w:p>
            <w:pPr>
              <w:jc w:val="center"/>
              <w:ind w:right="1268"/>
              <w:spacing w:after="0"/>
              <w:rPr>
                <w:sz w:val="20"/>
                <w:szCs w:val="20"/>
                <w:color w:val="auto"/>
              </w:rPr>
            </w:pPr>
            <w:r>
              <w:rPr>
                <w:rFonts w:ascii="Courier New" w:cs="Courier New" w:eastAsia="Courier New" w:hAnsi="Courier New"/>
                <w:sz w:val="14"/>
                <w:szCs w:val="14"/>
                <w:color w:val="auto"/>
              </w:rPr>
              <w:t>incorporation or organization)</w:t>
            </w:r>
          </w:p>
        </w:tc>
        <w:tc>
          <w:tcPr>
            <w:tcW w:w="2120" w:type="dxa"/>
            <w:vAlign w:val="bottom"/>
          </w:tcPr>
          <w:p>
            <w:pPr>
              <w:ind w:left="460"/>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660" w:type="dxa"/>
            <w:vAlign w:val="bottom"/>
          </w:tcPr>
          <w:p>
            <w:pPr>
              <w:jc w:val="center"/>
              <w:ind w:right="1268"/>
              <w:spacing w:after="0"/>
              <w:rPr>
                <w:sz w:val="20"/>
                <w:szCs w:val="20"/>
                <w:color w:val="auto"/>
              </w:rPr>
            </w:pPr>
            <w:r>
              <w:rPr>
                <w:rFonts w:ascii="Courier New" w:cs="Courier New" w:eastAsia="Courier New" w:hAnsi="Courier New"/>
                <w:sz w:val="14"/>
                <w:szCs w:val="14"/>
                <w:color w:val="auto"/>
              </w:rPr>
              <w:t>5900 Princess Garden Parkway</w:t>
            </w:r>
          </w:p>
        </w:tc>
        <w:tc>
          <w:tcPr>
            <w:tcW w:w="2120" w:type="dxa"/>
            <w:vAlign w:val="bottom"/>
          </w:tcPr>
          <w:p>
            <w:pPr>
              <w:spacing w:after="0"/>
              <w:rPr>
                <w:sz w:val="24"/>
                <w:szCs w:val="24"/>
                <w:color w:val="auto"/>
              </w:rPr>
            </w:pPr>
          </w:p>
        </w:tc>
      </w:tr>
      <w:tr>
        <w:trPr>
          <w:trHeight w:val="167"/>
        </w:trPr>
        <w:tc>
          <w:tcPr>
            <w:tcW w:w="4660" w:type="dxa"/>
            <w:vAlign w:val="bottom"/>
          </w:tcPr>
          <w:p>
            <w:pPr>
              <w:ind w:left="1060"/>
              <w:spacing w:after="0"/>
              <w:rPr>
                <w:sz w:val="20"/>
                <w:szCs w:val="20"/>
                <w:color w:val="auto"/>
              </w:rPr>
            </w:pPr>
            <w:r>
              <w:rPr>
                <w:rFonts w:ascii="Courier New" w:cs="Courier New" w:eastAsia="Courier New" w:hAnsi="Courier New"/>
                <w:sz w:val="14"/>
                <w:szCs w:val="14"/>
                <w:color w:val="auto"/>
              </w:rPr>
              <w:t>7/th/ Floor</w:t>
            </w:r>
          </w:p>
        </w:tc>
        <w:tc>
          <w:tcPr>
            <w:tcW w:w="212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4660" w:type="dxa"/>
            <w:vAlign w:val="bottom"/>
          </w:tcPr>
          <w:p>
            <w:pPr>
              <w:ind w:left="1060"/>
              <w:spacing w:after="0"/>
              <w:rPr>
                <w:sz w:val="20"/>
                <w:szCs w:val="20"/>
                <w:color w:val="auto"/>
              </w:rPr>
            </w:pPr>
            <w:r>
              <w:rPr>
                <w:rFonts w:ascii="Courier New" w:cs="Courier New" w:eastAsia="Courier New" w:hAnsi="Courier New"/>
                <w:sz w:val="14"/>
                <w:szCs w:val="14"/>
                <w:color w:val="auto"/>
              </w:rPr>
              <w:t>Lanham, MD</w:t>
            </w:r>
          </w:p>
        </w:tc>
        <w:tc>
          <w:tcPr>
            <w:tcW w:w="212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(Zip Code)</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 offices)</w:t>
            </w:r>
          </w:p>
        </w:tc>
        <w:tc>
          <w:tcPr>
            <w:tcW w:w="2120" w:type="dxa"/>
            <w:vAlign w:val="bottom"/>
          </w:tcPr>
          <w:p>
            <w:pPr>
              <w:spacing w:after="0"/>
              <w:rPr>
                <w:sz w:val="14"/>
                <w:szCs w:val="14"/>
                <w:color w:val="auto"/>
              </w:rPr>
            </w:pPr>
          </w:p>
        </w:tc>
      </w:tr>
      <w:tr>
        <w:trPr>
          <w:trHeight w:val="334"/>
        </w:trPr>
        <w:tc>
          <w:tcPr>
            <w:tcW w:w="4660" w:type="dxa"/>
            <w:vAlign w:val="bottom"/>
          </w:tcPr>
          <w:p>
            <w:pPr>
              <w:ind w:left="262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24"/>
                <w:szCs w:val="24"/>
                <w:color w:val="auto"/>
              </w:rPr>
            </w:pPr>
          </w:p>
        </w:tc>
      </w:tr>
    </w:tbl>
    <w:p>
      <w:pPr>
        <w:spacing w:after="0" w:line="17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ROA Licenses, Inc.</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52-2148748</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0"/>
          <w:szCs w:val="20"/>
          <w:color w:val="auto"/>
        </w:rPr>
      </w:pPr>
    </w:p>
    <w:p>
      <w:pPr>
        <w:sectPr>
          <w:pgSz w:w="11900" w:h="16838" w:orient="portrait"/>
          <w:cols w:equalWidth="0" w:num="2">
            <w:col w:w="4500" w:space="720"/>
            <w:col w:w="5019"/>
          </w:cols>
          <w:pgMar w:left="220" w:top="620"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5900 Princess Garden Parkway</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7/th/ Floor</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Lanham, MD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20706-2969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41" w:lineRule="exact"/>
        <w:rPr>
          <w:sz w:val="20"/>
          <w:szCs w:val="20"/>
          <w:color w:val="auto"/>
        </w:rPr>
      </w:pPr>
    </w:p>
    <w:p>
      <w:pPr>
        <w:sectPr>
          <w:pgSz w:w="11900" w:h="16838" w:orient="portrait"/>
          <w:cols w:equalWidth="0" w:num="2">
            <w:col w:w="4940" w:space="720"/>
            <w:col w:w="4579"/>
          </w:cols>
          <w:pgMar w:left="220" w:top="620" w:right="1440" w:bottom="1440" w:gutter="0" w:footer="0" w:header="0"/>
          <w:type w:val="continuous"/>
        </w:sectPr>
      </w:pPr>
    </w:p>
    <w:p>
      <w:pPr>
        <w:ind w:left="2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type w:val="continuous"/>
        </w:sectPr>
      </w:pPr>
    </w:p>
    <w:bookmarkStart w:id="271" w:name="page272"/>
    <w:bookmarkEnd w:id="271"/>
    <w:p>
      <w:pPr>
        <w:jc w:val="center"/>
        <w:ind w:right="3459"/>
        <w:spacing w:after="0"/>
        <w:rPr>
          <w:sz w:val="20"/>
          <w:szCs w:val="20"/>
          <w:color w:val="auto"/>
        </w:rPr>
      </w:pPr>
      <w:r>
        <w:rPr>
          <w:rFonts w:ascii="Courier New" w:cs="Courier New" w:eastAsia="Courier New" w:hAnsi="Courier New"/>
          <w:sz w:val="14"/>
          <w:szCs w:val="14"/>
          <w:color w:val="auto"/>
        </w:rPr>
        <w:t>Dogwood Communications, Inc.</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ind w:left="1320"/>
              <w:spacing w:after="0"/>
              <w:rPr>
                <w:sz w:val="20"/>
                <w:szCs w:val="20"/>
                <w:color w:val="auto"/>
              </w:rPr>
            </w:pPr>
            <w:r>
              <w:rPr>
                <w:rFonts w:ascii="Courier New" w:cs="Courier New" w:eastAsia="Courier New" w:hAnsi="Courier New"/>
                <w:sz w:val="14"/>
                <w:szCs w:val="14"/>
                <w:color w:val="auto"/>
              </w:rPr>
              <w:t>Delaware</w:t>
            </w:r>
          </w:p>
        </w:tc>
        <w:tc>
          <w:tcPr>
            <w:tcW w:w="19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58-2245632</w:t>
            </w: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(State or other jurisdiction of</w:t>
            </w:r>
          </w:p>
        </w:tc>
        <w:tc>
          <w:tcPr>
            <w:tcW w:w="19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incorporation or organization)</w:t>
            </w:r>
          </w:p>
        </w:tc>
        <w:tc>
          <w:tcPr>
            <w:tcW w:w="1920" w:type="dxa"/>
            <w:vAlign w:val="bottom"/>
          </w:tcPr>
          <w:p>
            <w:pPr>
              <w:ind w:left="260"/>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5900 Princess Garden Parkway</w:t>
            </w:r>
          </w:p>
        </w:tc>
        <w:tc>
          <w:tcPr>
            <w:tcW w:w="1920" w:type="dxa"/>
            <w:vAlign w:val="bottom"/>
          </w:tcPr>
          <w:p>
            <w:pPr>
              <w:spacing w:after="0"/>
              <w:rPr>
                <w:sz w:val="24"/>
                <w:szCs w:val="24"/>
                <w:color w:val="auto"/>
              </w:rPr>
            </w:pPr>
          </w:p>
        </w:tc>
      </w:tr>
      <w:tr>
        <w:trPr>
          <w:trHeight w:val="167"/>
        </w:trPr>
        <w:tc>
          <w:tcPr>
            <w:tcW w:w="4780" w:type="dxa"/>
            <w:vAlign w:val="bottom"/>
          </w:tcPr>
          <w:p>
            <w:pPr>
              <w:ind w:left="1140"/>
              <w:spacing w:after="0"/>
              <w:rPr>
                <w:sz w:val="20"/>
                <w:szCs w:val="20"/>
                <w:color w:val="auto"/>
              </w:rPr>
            </w:pPr>
            <w:r>
              <w:rPr>
                <w:rFonts w:ascii="Courier New" w:cs="Courier New" w:eastAsia="Courier New" w:hAnsi="Courier New"/>
                <w:sz w:val="14"/>
                <w:szCs w:val="14"/>
                <w:color w:val="auto"/>
              </w:rPr>
              <w:t>7/th/ Floor</w:t>
            </w:r>
          </w:p>
        </w:tc>
        <w:tc>
          <w:tcPr>
            <w:tcW w:w="19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4780" w:type="dxa"/>
            <w:vAlign w:val="bottom"/>
          </w:tcPr>
          <w:p>
            <w:pPr>
              <w:ind w:left="1140"/>
              <w:spacing w:after="0"/>
              <w:rPr>
                <w:sz w:val="20"/>
                <w:szCs w:val="20"/>
                <w:color w:val="auto"/>
              </w:rPr>
            </w:pPr>
            <w:r>
              <w:rPr>
                <w:rFonts w:ascii="Courier New" w:cs="Courier New" w:eastAsia="Courier New" w:hAnsi="Courier New"/>
                <w:sz w:val="14"/>
                <w:szCs w:val="14"/>
                <w:color w:val="auto"/>
              </w:rPr>
              <w:t>Lanham, MD</w:t>
            </w:r>
          </w:p>
        </w:tc>
        <w:tc>
          <w:tcPr>
            <w:tcW w:w="19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(Zip Code)</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 offices)</w:t>
            </w:r>
          </w:p>
        </w:tc>
        <w:tc>
          <w:tcPr>
            <w:tcW w:w="1920" w:type="dxa"/>
            <w:vAlign w:val="bottom"/>
          </w:tcPr>
          <w:p>
            <w:pPr>
              <w:spacing w:after="0"/>
              <w:rPr>
                <w:sz w:val="14"/>
                <w:szCs w:val="14"/>
                <w:color w:val="auto"/>
              </w:rPr>
            </w:pPr>
          </w:p>
        </w:tc>
      </w:tr>
      <w:tr>
        <w:trPr>
          <w:trHeight w:val="334"/>
        </w:trPr>
        <w:tc>
          <w:tcPr>
            <w:tcW w:w="4780" w:type="dxa"/>
            <w:vAlign w:val="bottom"/>
          </w:tcPr>
          <w:p>
            <w:pPr>
              <w:jc w:val="center"/>
              <w:ind w:left="1948"/>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spacing w:after="0"/>
              <w:rPr>
                <w:sz w:val="24"/>
                <w:szCs w:val="24"/>
                <w:color w:val="auto"/>
              </w:rPr>
            </w:pPr>
          </w:p>
        </w:tc>
      </w:tr>
      <w:tr>
        <w:trPr>
          <w:trHeight w:val="334"/>
        </w:trPr>
        <w:tc>
          <w:tcPr>
            <w:tcW w:w="4780" w:type="dxa"/>
            <w:vAlign w:val="bottom"/>
          </w:tcPr>
          <w:p>
            <w:pPr>
              <w:jc w:val="center"/>
              <w:ind w:left="1928"/>
              <w:spacing w:after="0"/>
              <w:rPr>
                <w:sz w:val="20"/>
                <w:szCs w:val="20"/>
                <w:color w:val="auto"/>
              </w:rPr>
            </w:pPr>
            <w:r>
              <w:rPr>
                <w:rFonts w:ascii="Courier New" w:cs="Courier New" w:eastAsia="Courier New" w:hAnsi="Courier New"/>
                <w:sz w:val="14"/>
                <w:szCs w:val="14"/>
                <w:color w:val="auto"/>
              </w:rPr>
              <w:t>Dogwood Licenses, Inc.</w:t>
            </w:r>
          </w:p>
        </w:tc>
        <w:tc>
          <w:tcPr>
            <w:tcW w:w="1920" w:type="dxa"/>
            <w:vAlign w:val="bottom"/>
          </w:tcPr>
          <w:p>
            <w:pPr>
              <w:spacing w:after="0"/>
              <w:rPr>
                <w:sz w:val="24"/>
                <w:szCs w:val="24"/>
                <w:color w:val="auto"/>
              </w:rPr>
            </w:pPr>
          </w:p>
        </w:tc>
      </w:tr>
      <w:tr>
        <w:trPr>
          <w:trHeight w:val="167"/>
        </w:trPr>
        <w:tc>
          <w:tcPr>
            <w:tcW w:w="67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(Exact name of registrant as specified in its charter)</w:t>
            </w:r>
          </w:p>
        </w:tc>
      </w:tr>
      <w:tr>
        <w:trPr>
          <w:trHeight w:val="334"/>
        </w:trPr>
        <w:tc>
          <w:tcPr>
            <w:tcW w:w="4780" w:type="dxa"/>
            <w:vAlign w:val="bottom"/>
          </w:tcPr>
          <w:p>
            <w:pPr>
              <w:ind w:left="1320"/>
              <w:spacing w:after="0"/>
              <w:rPr>
                <w:sz w:val="20"/>
                <w:szCs w:val="20"/>
                <w:color w:val="auto"/>
              </w:rPr>
            </w:pPr>
            <w:r>
              <w:rPr>
                <w:rFonts w:ascii="Courier New" w:cs="Courier New" w:eastAsia="Courier New" w:hAnsi="Courier New"/>
                <w:sz w:val="14"/>
                <w:szCs w:val="14"/>
                <w:color w:val="auto"/>
              </w:rPr>
              <w:t>Delaware</w:t>
            </w:r>
          </w:p>
        </w:tc>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52-2158013</w:t>
            </w: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(State or other jurisdiction of</w:t>
            </w:r>
          </w:p>
        </w:tc>
        <w:tc>
          <w:tcPr>
            <w:tcW w:w="1920" w:type="dxa"/>
            <w:vAlign w:val="bottom"/>
          </w:tcPr>
          <w:p>
            <w:pPr>
              <w:ind w:left="180"/>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incorporation or organization)</w:t>
            </w:r>
          </w:p>
        </w:tc>
        <w:tc>
          <w:tcPr>
            <w:tcW w:w="1920" w:type="dxa"/>
            <w:vAlign w:val="bottom"/>
          </w:tcPr>
          <w:p>
            <w:pPr>
              <w:ind w:left="180"/>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780" w:type="dxa"/>
            <w:vAlign w:val="bottom"/>
          </w:tcPr>
          <w:p>
            <w:pPr>
              <w:ind w:left="620"/>
              <w:spacing w:after="0"/>
              <w:rPr>
                <w:sz w:val="20"/>
                <w:szCs w:val="20"/>
                <w:color w:val="auto"/>
              </w:rPr>
            </w:pPr>
            <w:r>
              <w:rPr>
                <w:rFonts w:ascii="Courier New" w:cs="Courier New" w:eastAsia="Courier New" w:hAnsi="Courier New"/>
                <w:sz w:val="14"/>
                <w:szCs w:val="14"/>
                <w:color w:val="auto"/>
              </w:rPr>
              <w:t>5900 Princess Garden Parkway</w:t>
            </w:r>
          </w:p>
        </w:tc>
        <w:tc>
          <w:tcPr>
            <w:tcW w:w="1920" w:type="dxa"/>
            <w:vAlign w:val="bottom"/>
          </w:tcPr>
          <w:p>
            <w:pPr>
              <w:spacing w:after="0"/>
              <w:rPr>
                <w:sz w:val="24"/>
                <w:szCs w:val="24"/>
                <w:color w:val="auto"/>
              </w:rPr>
            </w:pPr>
          </w:p>
        </w:tc>
      </w:tr>
      <w:tr>
        <w:trPr>
          <w:trHeight w:val="167"/>
        </w:trPr>
        <w:tc>
          <w:tcPr>
            <w:tcW w:w="4780" w:type="dxa"/>
            <w:vAlign w:val="bottom"/>
          </w:tcPr>
          <w:p>
            <w:pPr>
              <w:ind w:left="1320"/>
              <w:spacing w:after="0"/>
              <w:rPr>
                <w:sz w:val="20"/>
                <w:szCs w:val="20"/>
                <w:color w:val="auto"/>
              </w:rPr>
            </w:pPr>
            <w:r>
              <w:rPr>
                <w:rFonts w:ascii="Courier New" w:cs="Courier New" w:eastAsia="Courier New" w:hAnsi="Courier New"/>
                <w:sz w:val="14"/>
                <w:szCs w:val="14"/>
                <w:color w:val="auto"/>
              </w:rPr>
              <w:t>7/th/ Floor</w:t>
            </w:r>
          </w:p>
        </w:tc>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4780" w:type="dxa"/>
            <w:vAlign w:val="bottom"/>
          </w:tcPr>
          <w:p>
            <w:pPr>
              <w:ind w:left="1320"/>
              <w:spacing w:after="0"/>
              <w:rPr>
                <w:sz w:val="20"/>
                <w:szCs w:val="20"/>
                <w:color w:val="auto"/>
              </w:rPr>
            </w:pPr>
            <w:r>
              <w:rPr>
                <w:rFonts w:ascii="Courier New" w:cs="Courier New" w:eastAsia="Courier New" w:hAnsi="Courier New"/>
                <w:sz w:val="14"/>
                <w:szCs w:val="14"/>
                <w:color w:val="auto"/>
              </w:rPr>
              <w:t>Lanham, MD</w:t>
            </w:r>
          </w:p>
        </w:tc>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(Zip Code)</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 offices)</w:t>
            </w:r>
          </w:p>
        </w:tc>
        <w:tc>
          <w:tcPr>
            <w:tcW w:w="1920" w:type="dxa"/>
            <w:vAlign w:val="bottom"/>
          </w:tcPr>
          <w:p>
            <w:pPr>
              <w:spacing w:after="0"/>
              <w:rPr>
                <w:sz w:val="14"/>
                <w:szCs w:val="14"/>
                <w:color w:val="auto"/>
              </w:rPr>
            </w:pPr>
          </w:p>
        </w:tc>
      </w:tr>
      <w:tr>
        <w:trPr>
          <w:trHeight w:val="501"/>
        </w:trPr>
        <w:tc>
          <w:tcPr>
            <w:tcW w:w="4780" w:type="dxa"/>
            <w:vAlign w:val="bottom"/>
          </w:tcPr>
          <w:p>
            <w:pPr>
              <w:jc w:val="center"/>
              <w:ind w:left="1948"/>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spacing w:after="0"/>
              <w:rPr>
                <w:sz w:val="24"/>
                <w:szCs w:val="24"/>
                <w:color w:val="auto"/>
              </w:rPr>
            </w:pPr>
          </w:p>
        </w:tc>
      </w:tr>
      <w:tr>
        <w:trPr>
          <w:trHeight w:val="334"/>
        </w:trPr>
        <w:tc>
          <w:tcPr>
            <w:tcW w:w="4780" w:type="dxa"/>
            <w:vAlign w:val="bottom"/>
          </w:tcPr>
          <w:p>
            <w:pPr>
              <w:ind w:left="2260"/>
              <w:spacing w:after="0"/>
              <w:rPr>
                <w:sz w:val="20"/>
                <w:szCs w:val="20"/>
                <w:color w:val="auto"/>
              </w:rPr>
            </w:pPr>
            <w:r>
              <w:rPr>
                <w:rFonts w:ascii="Courier New" w:cs="Courier New" w:eastAsia="Courier New" w:hAnsi="Courier New"/>
                <w:sz w:val="14"/>
                <w:szCs w:val="14"/>
                <w:color w:val="auto"/>
              </w:rPr>
              <w:t>Radio One of Charlotte, LLC</w:t>
            </w:r>
          </w:p>
        </w:tc>
        <w:tc>
          <w:tcPr>
            <w:tcW w:w="1920" w:type="dxa"/>
            <w:vAlign w:val="bottom"/>
          </w:tcPr>
          <w:p>
            <w:pPr>
              <w:spacing w:after="0"/>
              <w:rPr>
                <w:sz w:val="24"/>
                <w:szCs w:val="24"/>
                <w:color w:val="auto"/>
              </w:rPr>
            </w:pPr>
          </w:p>
        </w:tc>
      </w:tr>
      <w:tr>
        <w:trPr>
          <w:trHeight w:val="167"/>
        </w:trPr>
        <w:tc>
          <w:tcPr>
            <w:tcW w:w="67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(Exact name of registrant as specified in its charter)</w:t>
            </w:r>
          </w:p>
        </w:tc>
      </w:tr>
      <w:tr>
        <w:trPr>
          <w:trHeight w:val="334"/>
        </w:trPr>
        <w:tc>
          <w:tcPr>
            <w:tcW w:w="4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9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57-1103928</w:t>
            </w:r>
          </w:p>
        </w:tc>
      </w:tr>
      <w:tr>
        <w:trPr>
          <w:trHeight w:val="167"/>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(State or other jurisdiction of</w:t>
            </w:r>
          </w:p>
        </w:tc>
        <w:tc>
          <w:tcPr>
            <w:tcW w:w="19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incorporation or organization)</w:t>
            </w:r>
          </w:p>
        </w:tc>
        <w:tc>
          <w:tcPr>
            <w:tcW w:w="1920" w:type="dxa"/>
            <w:vAlign w:val="bottom"/>
          </w:tcPr>
          <w:p>
            <w:pPr>
              <w:ind w:left="260"/>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5900 Princess Garden Parkway</w:t>
            </w:r>
          </w:p>
        </w:tc>
        <w:tc>
          <w:tcPr>
            <w:tcW w:w="1920" w:type="dxa"/>
            <w:vAlign w:val="bottom"/>
          </w:tcPr>
          <w:p>
            <w:pPr>
              <w:spacing w:after="0"/>
              <w:rPr>
                <w:sz w:val="24"/>
                <w:szCs w:val="24"/>
                <w:color w:val="auto"/>
              </w:rPr>
            </w:pPr>
          </w:p>
        </w:tc>
      </w:tr>
      <w:tr>
        <w:trPr>
          <w:trHeight w:val="167"/>
        </w:trPr>
        <w:tc>
          <w:tcPr>
            <w:tcW w:w="4780" w:type="dxa"/>
            <w:vAlign w:val="bottom"/>
          </w:tcPr>
          <w:p>
            <w:pPr>
              <w:ind w:left="1140"/>
              <w:spacing w:after="0"/>
              <w:rPr>
                <w:sz w:val="20"/>
                <w:szCs w:val="20"/>
                <w:color w:val="auto"/>
              </w:rPr>
            </w:pPr>
            <w:r>
              <w:rPr>
                <w:rFonts w:ascii="Courier New" w:cs="Courier New" w:eastAsia="Courier New" w:hAnsi="Courier New"/>
                <w:sz w:val="14"/>
                <w:szCs w:val="14"/>
                <w:color w:val="auto"/>
              </w:rPr>
              <w:t>7/th/ Floor</w:t>
            </w:r>
          </w:p>
        </w:tc>
        <w:tc>
          <w:tcPr>
            <w:tcW w:w="19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4780" w:type="dxa"/>
            <w:vAlign w:val="bottom"/>
          </w:tcPr>
          <w:p>
            <w:pPr>
              <w:ind w:left="1140"/>
              <w:spacing w:after="0"/>
              <w:rPr>
                <w:sz w:val="20"/>
                <w:szCs w:val="20"/>
                <w:color w:val="auto"/>
              </w:rPr>
            </w:pPr>
            <w:r>
              <w:rPr>
                <w:rFonts w:ascii="Courier New" w:cs="Courier New" w:eastAsia="Courier New" w:hAnsi="Courier New"/>
                <w:sz w:val="14"/>
                <w:szCs w:val="14"/>
                <w:color w:val="auto"/>
              </w:rPr>
              <w:t>Lanham, MD</w:t>
            </w:r>
          </w:p>
        </w:tc>
        <w:tc>
          <w:tcPr>
            <w:tcW w:w="19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(Zip Code)</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 offices)</w:t>
            </w:r>
          </w:p>
        </w:tc>
        <w:tc>
          <w:tcPr>
            <w:tcW w:w="1920" w:type="dxa"/>
            <w:vAlign w:val="bottom"/>
          </w:tcPr>
          <w:p>
            <w:pPr>
              <w:spacing w:after="0"/>
              <w:rPr>
                <w:sz w:val="14"/>
                <w:szCs w:val="14"/>
                <w:color w:val="auto"/>
              </w:rPr>
            </w:pPr>
          </w:p>
        </w:tc>
      </w:tr>
    </w:tbl>
    <w:p>
      <w:pPr>
        <w:spacing w:after="0" w:line="171"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bookmarkStart w:id="272" w:name="page273"/>
    <w:bookmarkEnd w:id="272"/>
    <w:p>
      <w:pPr>
        <w:jc w:val="center"/>
        <w:ind w:right="3439"/>
        <w:spacing w:after="0"/>
        <w:rPr>
          <w:sz w:val="20"/>
          <w:szCs w:val="20"/>
          <w:color w:val="auto"/>
        </w:rPr>
      </w:pPr>
      <w:r>
        <w:rPr>
          <w:rFonts w:ascii="Courier New" w:cs="Courier New" w:eastAsia="Courier New" w:hAnsi="Courier New"/>
          <w:sz w:val="14"/>
          <w:szCs w:val="14"/>
          <w:color w:val="auto"/>
        </w:rPr>
        <w:t>Radio One of Augusta, Inc.</w:t>
      </w:r>
    </w:p>
    <w:p>
      <w:pPr>
        <w:spacing w:after="0" w:line="8"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52-2256223</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0"/>
          <w:szCs w:val="20"/>
          <w:color w:val="auto"/>
        </w:rPr>
      </w:pPr>
    </w:p>
    <w:p>
      <w:pPr>
        <w:sectPr>
          <w:pgSz w:w="11900" w:h="16838" w:orient="portrait"/>
          <w:cols w:equalWidth="0" w:num="2">
            <w:col w:w="4240" w:space="720"/>
            <w:col w:w="5279"/>
          </w:cols>
          <w:pgMar w:left="220" w:top="620"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5900 Princess Garden Parkway</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7/th/ Floor</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Lanham, MD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20706-2969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41" w:lineRule="exact"/>
        <w:rPr>
          <w:sz w:val="20"/>
          <w:szCs w:val="20"/>
          <w:color w:val="auto"/>
        </w:rPr>
      </w:pPr>
    </w:p>
    <w:p>
      <w:pPr>
        <w:sectPr>
          <w:pgSz w:w="11900" w:h="16838" w:orient="portrait"/>
          <w:cols w:equalWidth="0" w:num="2">
            <w:col w:w="4580" w:space="720"/>
            <w:col w:w="4939"/>
          </w:cols>
          <w:pgMar w:left="220" w:top="620" w:right="1440" w:bottom="1440" w:gutter="0" w:footer="0" w:header="0"/>
          <w:type w:val="continuous"/>
        </w:sect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Davis Broadcasting of Charlotte, Inc.</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ind w:left="1220"/>
              <w:spacing w:after="0"/>
              <w:rPr>
                <w:sz w:val="20"/>
                <w:szCs w:val="20"/>
                <w:color w:val="auto"/>
              </w:rPr>
            </w:pPr>
            <w:r>
              <w:rPr>
                <w:rFonts w:ascii="Courier New" w:cs="Courier New" w:eastAsia="Courier New" w:hAnsi="Courier New"/>
                <w:sz w:val="14"/>
                <w:szCs w:val="14"/>
                <w:color w:val="auto"/>
              </w:rPr>
              <w:t>Delaware</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58-2200546</w:t>
            </w:r>
          </w:p>
        </w:tc>
      </w:tr>
      <w:tr>
        <w:trPr>
          <w:trHeight w:val="167"/>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(State or other jurisdiction of</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92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incorporation or organization)</w:t>
            </w:r>
          </w:p>
        </w:tc>
        <w:tc>
          <w:tcPr>
            <w:tcW w:w="1780" w:type="dxa"/>
            <w:vAlign w:val="bottom"/>
          </w:tcPr>
          <w:p>
            <w:pPr>
              <w:ind w:left="120"/>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92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5900 Princess Garden Parkway</w:t>
            </w:r>
          </w:p>
        </w:tc>
        <w:tc>
          <w:tcPr>
            <w:tcW w:w="1780" w:type="dxa"/>
            <w:vAlign w:val="bottom"/>
          </w:tcPr>
          <w:p>
            <w:pPr>
              <w:spacing w:after="0"/>
              <w:rPr>
                <w:sz w:val="24"/>
                <w:szCs w:val="24"/>
                <w:color w:val="auto"/>
              </w:rPr>
            </w:pPr>
          </w:p>
        </w:tc>
      </w:tr>
      <w:tr>
        <w:trPr>
          <w:trHeight w:val="167"/>
        </w:trPr>
        <w:tc>
          <w:tcPr>
            <w:tcW w:w="4920" w:type="dxa"/>
            <w:vAlign w:val="bottom"/>
          </w:tcPr>
          <w:p>
            <w:pPr>
              <w:ind w:left="1140"/>
              <w:spacing w:after="0"/>
              <w:rPr>
                <w:sz w:val="20"/>
                <w:szCs w:val="20"/>
                <w:color w:val="auto"/>
              </w:rPr>
            </w:pPr>
            <w:r>
              <w:rPr>
                <w:rFonts w:ascii="Courier New" w:cs="Courier New" w:eastAsia="Courier New" w:hAnsi="Courier New"/>
                <w:sz w:val="14"/>
                <w:szCs w:val="14"/>
                <w:color w:val="auto"/>
              </w:rPr>
              <w:t>7/th/ Floor</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4920" w:type="dxa"/>
            <w:vAlign w:val="bottom"/>
          </w:tcPr>
          <w:p>
            <w:pPr>
              <w:ind w:left="1140"/>
              <w:spacing w:after="0"/>
              <w:rPr>
                <w:sz w:val="20"/>
                <w:szCs w:val="20"/>
                <w:color w:val="auto"/>
              </w:rPr>
            </w:pPr>
            <w:r>
              <w:rPr>
                <w:rFonts w:ascii="Courier New" w:cs="Courier New" w:eastAsia="Courier New" w:hAnsi="Courier New"/>
                <w:sz w:val="14"/>
                <w:szCs w:val="14"/>
                <w:color w:val="auto"/>
              </w:rPr>
              <w:t>Lanham, MD</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(Zip Code)</w:t>
            </w:r>
          </w:p>
        </w:tc>
      </w:tr>
      <w:tr>
        <w:trPr>
          <w:trHeight w:val="167"/>
        </w:trPr>
        <w:tc>
          <w:tcPr>
            <w:tcW w:w="4920" w:type="dxa"/>
            <w:vAlign w:val="bottom"/>
          </w:tcPr>
          <w:p>
            <w:pPr>
              <w:jc w:val="center"/>
              <w:ind w:right="1368"/>
              <w:spacing w:after="0"/>
              <w:rPr>
                <w:sz w:val="20"/>
                <w:szCs w:val="20"/>
                <w:color w:val="auto"/>
              </w:rPr>
            </w:pPr>
            <w:r>
              <w:rPr>
                <w:rFonts w:ascii="Courier New" w:cs="Courier New" w:eastAsia="Courier New" w:hAnsi="Courier New"/>
                <w:sz w:val="14"/>
                <w:szCs w:val="14"/>
                <w:color w:val="auto"/>
              </w:rPr>
              <w:t>(Address of principal executive offices)</w:t>
            </w:r>
          </w:p>
        </w:tc>
        <w:tc>
          <w:tcPr>
            <w:tcW w:w="1780" w:type="dxa"/>
            <w:vAlign w:val="bottom"/>
          </w:tcPr>
          <w:p>
            <w:pPr>
              <w:spacing w:after="0"/>
              <w:rPr>
                <w:sz w:val="14"/>
                <w:szCs w:val="14"/>
                <w:color w:val="auto"/>
              </w:rPr>
            </w:pPr>
          </w:p>
        </w:tc>
      </w:tr>
      <w:tr>
        <w:trPr>
          <w:trHeight w:val="334"/>
        </w:trPr>
        <w:tc>
          <w:tcPr>
            <w:tcW w:w="4920" w:type="dxa"/>
            <w:vAlign w:val="bottom"/>
          </w:tcPr>
          <w:p>
            <w:pPr>
              <w:ind w:left="262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24"/>
                <w:szCs w:val="24"/>
                <w:color w:val="auto"/>
              </w:rPr>
            </w:pPr>
          </w:p>
        </w:tc>
      </w:tr>
      <w:tr>
        <w:trPr>
          <w:trHeight w:val="334"/>
        </w:trPr>
        <w:tc>
          <w:tcPr>
            <w:tcW w:w="4920" w:type="dxa"/>
            <w:vAlign w:val="bottom"/>
          </w:tcPr>
          <w:p>
            <w:pPr>
              <w:ind w:left="2000"/>
              <w:spacing w:after="0"/>
              <w:rPr>
                <w:sz w:val="20"/>
                <w:szCs w:val="20"/>
                <w:color w:val="auto"/>
              </w:rPr>
            </w:pPr>
            <w:r>
              <w:rPr>
                <w:rFonts w:ascii="Courier New" w:cs="Courier New" w:eastAsia="Courier New" w:hAnsi="Courier New"/>
                <w:sz w:val="14"/>
                <w:szCs w:val="14"/>
                <w:color w:val="auto"/>
              </w:rPr>
              <w:t>Radio One of North Carolina, Inc.</w:t>
            </w:r>
          </w:p>
        </w:tc>
        <w:tc>
          <w:tcPr>
            <w:tcW w:w="1780" w:type="dxa"/>
            <w:vAlign w:val="bottom"/>
          </w:tcPr>
          <w:p>
            <w:pPr>
              <w:spacing w:after="0"/>
              <w:rPr>
                <w:sz w:val="24"/>
                <w:szCs w:val="24"/>
                <w:color w:val="auto"/>
              </w:rPr>
            </w:pPr>
          </w:p>
        </w:tc>
      </w:tr>
      <w:tr>
        <w:trPr>
          <w:trHeight w:val="167"/>
        </w:trPr>
        <w:tc>
          <w:tcPr>
            <w:tcW w:w="670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(Exact name of registrant as specified in its charter)</w:t>
            </w:r>
          </w:p>
        </w:tc>
      </w:tr>
      <w:tr>
        <w:trPr>
          <w:trHeight w:val="334"/>
        </w:trPr>
        <w:tc>
          <w:tcPr>
            <w:tcW w:w="492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Delaware</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52-2256127</w:t>
            </w:r>
          </w:p>
        </w:tc>
      </w:tr>
      <w:tr>
        <w:trPr>
          <w:trHeight w:val="167"/>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(State or other jurisdiction of</w:t>
            </w:r>
          </w:p>
        </w:tc>
        <w:tc>
          <w:tcPr>
            <w:tcW w:w="1780" w:type="dxa"/>
            <w:vAlign w:val="bottom"/>
          </w:tcPr>
          <w:p>
            <w:pPr>
              <w:ind w:left="120"/>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920" w:type="dxa"/>
            <w:vAlign w:val="bottom"/>
          </w:tcPr>
          <w:p>
            <w:pPr>
              <w:jc w:val="center"/>
              <w:ind w:right="1368"/>
              <w:spacing w:after="0"/>
              <w:rPr>
                <w:sz w:val="20"/>
                <w:szCs w:val="20"/>
                <w:color w:val="auto"/>
              </w:rPr>
            </w:pPr>
            <w:r>
              <w:rPr>
                <w:rFonts w:ascii="Courier New" w:cs="Courier New" w:eastAsia="Courier New" w:hAnsi="Courier New"/>
                <w:sz w:val="14"/>
                <w:szCs w:val="14"/>
                <w:color w:val="auto"/>
              </w:rPr>
              <w:t>incorporation or organization)</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920" w:type="dxa"/>
            <w:vAlign w:val="bottom"/>
          </w:tcPr>
          <w:p>
            <w:pPr>
              <w:jc w:val="center"/>
              <w:ind w:right="1368"/>
              <w:spacing w:after="0"/>
              <w:rPr>
                <w:sz w:val="20"/>
                <w:szCs w:val="20"/>
                <w:color w:val="auto"/>
              </w:rPr>
            </w:pPr>
            <w:r>
              <w:rPr>
                <w:rFonts w:ascii="Courier New" w:cs="Courier New" w:eastAsia="Courier New" w:hAnsi="Courier New"/>
                <w:sz w:val="14"/>
                <w:szCs w:val="14"/>
                <w:color w:val="auto"/>
              </w:rPr>
              <w:t>5900 Princess Garden Parkway</w:t>
            </w:r>
          </w:p>
        </w:tc>
        <w:tc>
          <w:tcPr>
            <w:tcW w:w="1780" w:type="dxa"/>
            <w:vAlign w:val="bottom"/>
          </w:tcPr>
          <w:p>
            <w:pPr>
              <w:spacing w:after="0"/>
              <w:rPr>
                <w:sz w:val="24"/>
                <w:szCs w:val="24"/>
                <w:color w:val="auto"/>
              </w:rPr>
            </w:pPr>
          </w:p>
        </w:tc>
      </w:tr>
      <w:tr>
        <w:trPr>
          <w:trHeight w:val="167"/>
        </w:trPr>
        <w:tc>
          <w:tcPr>
            <w:tcW w:w="4920" w:type="dxa"/>
            <w:vAlign w:val="bottom"/>
          </w:tcPr>
          <w:p>
            <w:pPr>
              <w:ind w:left="1220"/>
              <w:spacing w:after="0"/>
              <w:rPr>
                <w:sz w:val="20"/>
                <w:szCs w:val="20"/>
                <w:color w:val="auto"/>
              </w:rPr>
            </w:pPr>
            <w:r>
              <w:rPr>
                <w:rFonts w:ascii="Courier New" w:cs="Courier New" w:eastAsia="Courier New" w:hAnsi="Courier New"/>
                <w:sz w:val="14"/>
                <w:szCs w:val="14"/>
                <w:color w:val="auto"/>
              </w:rPr>
              <w:t>7/th/ Floor</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492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Lanham, MD</w:t>
            </w:r>
          </w:p>
        </w:tc>
        <w:tc>
          <w:tcPr>
            <w:tcW w:w="1780" w:type="dxa"/>
            <w:vAlign w:val="bottom"/>
          </w:tcPr>
          <w:p>
            <w:pPr>
              <w:jc w:val="center"/>
              <w:spacing w:after="0"/>
              <w:rPr>
                <w:sz w:val="20"/>
                <w:szCs w:val="20"/>
                <w:color w:val="auto"/>
              </w:rPr>
            </w:pPr>
            <w:r>
              <w:rPr>
                <w:rFonts w:ascii="Courier New" w:cs="Courier New" w:eastAsia="Courier New" w:hAnsi="Courier New"/>
                <w:sz w:val="14"/>
                <w:szCs w:val="14"/>
                <w:color w:val="auto"/>
              </w:rPr>
              <w:t>(Zip Code)</w:t>
            </w:r>
          </w:p>
        </w:tc>
      </w:tr>
      <w:tr>
        <w:trPr>
          <w:trHeight w:val="167"/>
        </w:trPr>
        <w:tc>
          <w:tcPr>
            <w:tcW w:w="4920" w:type="dxa"/>
            <w:vAlign w:val="bottom"/>
          </w:tcPr>
          <w:p>
            <w:pPr>
              <w:jc w:val="center"/>
              <w:ind w:right="1368"/>
              <w:spacing w:after="0"/>
              <w:rPr>
                <w:sz w:val="20"/>
                <w:szCs w:val="20"/>
                <w:color w:val="auto"/>
              </w:rPr>
            </w:pPr>
            <w:r>
              <w:rPr>
                <w:rFonts w:ascii="Courier New" w:cs="Courier New" w:eastAsia="Courier New" w:hAnsi="Courier New"/>
                <w:sz w:val="14"/>
                <w:szCs w:val="14"/>
                <w:color w:val="auto"/>
              </w:rPr>
              <w:t>(Address of principal executive offices)</w:t>
            </w:r>
          </w:p>
        </w:tc>
        <w:tc>
          <w:tcPr>
            <w:tcW w:w="1780" w:type="dxa"/>
            <w:vAlign w:val="bottom"/>
          </w:tcPr>
          <w:p>
            <w:pPr>
              <w:spacing w:after="0"/>
              <w:rPr>
                <w:sz w:val="14"/>
                <w:szCs w:val="14"/>
                <w:color w:val="auto"/>
              </w:rPr>
            </w:pPr>
          </w:p>
        </w:tc>
      </w:tr>
    </w:tbl>
    <w:p>
      <w:pPr>
        <w:spacing w:after="0" w:line="171"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type w:val="continuous"/>
        </w:sectPr>
      </w:pPr>
    </w:p>
    <w:bookmarkStart w:id="273" w:name="page274"/>
    <w:bookmarkEnd w:id="273"/>
    <w:p>
      <w:pPr>
        <w:jc w:val="center"/>
        <w:ind w:right="3359"/>
        <w:spacing w:after="0"/>
        <w:rPr>
          <w:sz w:val="20"/>
          <w:szCs w:val="20"/>
          <w:color w:val="auto"/>
        </w:rPr>
      </w:pPr>
      <w:r>
        <w:rPr>
          <w:rFonts w:ascii="Courier New" w:cs="Courier New" w:eastAsia="Courier New" w:hAnsi="Courier New"/>
          <w:sz w:val="14"/>
          <w:szCs w:val="14"/>
          <w:color w:val="auto"/>
        </w:rPr>
        <w:t>Radio One of Boston, Inc.</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ind w:left="1220"/>
              <w:spacing w:after="0"/>
              <w:rPr>
                <w:sz w:val="20"/>
                <w:szCs w:val="20"/>
                <w:color w:val="auto"/>
              </w:rPr>
            </w:pPr>
            <w:r>
              <w:rPr>
                <w:rFonts w:ascii="Courier New" w:cs="Courier New" w:eastAsia="Courier New" w:hAnsi="Courier New"/>
                <w:sz w:val="14"/>
                <w:szCs w:val="14"/>
                <w:color w:val="auto"/>
              </w:rPr>
              <w:t>Delaware</w:t>
            </w:r>
          </w:p>
        </w:tc>
        <w:tc>
          <w:tcPr>
            <w:tcW w:w="1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52-2297366</w:t>
            </w:r>
          </w:p>
        </w:tc>
      </w:tr>
      <w:tr>
        <w:trPr>
          <w:trHeight w:val="167"/>
        </w:trPr>
        <w:tc>
          <w:tcPr>
            <w:tcW w:w="4860" w:type="dxa"/>
            <w:vAlign w:val="bottom"/>
          </w:tcPr>
          <w:p>
            <w:pPr>
              <w:ind w:left="360"/>
              <w:spacing w:after="0"/>
              <w:rPr>
                <w:sz w:val="20"/>
                <w:szCs w:val="20"/>
                <w:color w:val="auto"/>
              </w:rPr>
            </w:pPr>
            <w:r>
              <w:rPr>
                <w:rFonts w:ascii="Courier New" w:cs="Courier New" w:eastAsia="Courier New" w:hAnsi="Courier New"/>
                <w:sz w:val="14"/>
                <w:szCs w:val="14"/>
                <w:color w:val="auto"/>
              </w:rPr>
              <w:t>(State or other jurisdiction of</w:t>
            </w:r>
          </w:p>
        </w:tc>
        <w:tc>
          <w:tcPr>
            <w:tcW w:w="1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860" w:type="dxa"/>
            <w:vAlign w:val="bottom"/>
          </w:tcPr>
          <w:p>
            <w:pPr>
              <w:ind w:left="360"/>
              <w:spacing w:after="0"/>
              <w:rPr>
                <w:sz w:val="20"/>
                <w:szCs w:val="20"/>
                <w:color w:val="auto"/>
              </w:rPr>
            </w:pPr>
            <w:r>
              <w:rPr>
                <w:rFonts w:ascii="Courier New" w:cs="Courier New" w:eastAsia="Courier New" w:hAnsi="Courier New"/>
                <w:sz w:val="14"/>
                <w:szCs w:val="14"/>
                <w:color w:val="auto"/>
              </w:rPr>
              <w:t>incorporation or organization)</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860" w:type="dxa"/>
            <w:vAlign w:val="bottom"/>
          </w:tcPr>
          <w:p>
            <w:pPr>
              <w:jc w:val="center"/>
              <w:ind w:right="1308"/>
              <w:spacing w:after="0"/>
              <w:rPr>
                <w:sz w:val="20"/>
                <w:szCs w:val="20"/>
                <w:color w:val="auto"/>
              </w:rPr>
            </w:pPr>
            <w:r>
              <w:rPr>
                <w:rFonts w:ascii="Courier New" w:cs="Courier New" w:eastAsia="Courier New" w:hAnsi="Courier New"/>
                <w:sz w:val="14"/>
                <w:szCs w:val="14"/>
                <w:color w:val="auto"/>
              </w:rPr>
              <w:t>5900 Princess Garden Parkway</w:t>
            </w:r>
          </w:p>
        </w:tc>
        <w:tc>
          <w:tcPr>
            <w:tcW w:w="1840" w:type="dxa"/>
            <w:vAlign w:val="bottom"/>
          </w:tcPr>
          <w:p>
            <w:pPr>
              <w:spacing w:after="0"/>
              <w:rPr>
                <w:sz w:val="24"/>
                <w:szCs w:val="24"/>
                <w:color w:val="auto"/>
              </w:rPr>
            </w:pPr>
          </w:p>
        </w:tc>
      </w:tr>
      <w:tr>
        <w:trPr>
          <w:trHeight w:val="167"/>
        </w:trPr>
        <w:tc>
          <w:tcPr>
            <w:tcW w:w="4860" w:type="dxa"/>
            <w:vAlign w:val="bottom"/>
          </w:tcPr>
          <w:p>
            <w:pPr>
              <w:ind w:left="1220"/>
              <w:spacing w:after="0"/>
              <w:rPr>
                <w:sz w:val="20"/>
                <w:szCs w:val="20"/>
                <w:color w:val="auto"/>
              </w:rPr>
            </w:pPr>
            <w:r>
              <w:rPr>
                <w:rFonts w:ascii="Courier New" w:cs="Courier New" w:eastAsia="Courier New" w:hAnsi="Courier New"/>
                <w:sz w:val="14"/>
                <w:szCs w:val="14"/>
                <w:color w:val="auto"/>
              </w:rPr>
              <w:t>7/th/ Floor</w:t>
            </w:r>
          </w:p>
        </w:tc>
        <w:tc>
          <w:tcPr>
            <w:tcW w:w="1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4860" w:type="dxa"/>
            <w:vAlign w:val="bottom"/>
          </w:tcPr>
          <w:p>
            <w:pPr>
              <w:ind w:left="1220"/>
              <w:spacing w:after="0"/>
              <w:rPr>
                <w:sz w:val="20"/>
                <w:szCs w:val="20"/>
                <w:color w:val="auto"/>
              </w:rPr>
            </w:pPr>
            <w:r>
              <w:rPr>
                <w:rFonts w:ascii="Courier New" w:cs="Courier New" w:eastAsia="Courier New" w:hAnsi="Courier New"/>
                <w:sz w:val="14"/>
                <w:szCs w:val="14"/>
                <w:color w:val="auto"/>
              </w:rPr>
              <w:t>Lanham, MD</w:t>
            </w:r>
          </w:p>
        </w:tc>
        <w:tc>
          <w:tcPr>
            <w:tcW w:w="1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(Zip Code)</w:t>
            </w:r>
          </w:p>
        </w:tc>
      </w:tr>
      <w:tr>
        <w:trPr>
          <w:trHeight w:val="167"/>
        </w:trPr>
        <w:tc>
          <w:tcPr>
            <w:tcW w:w="4860" w:type="dxa"/>
            <w:vAlign w:val="bottom"/>
          </w:tcPr>
          <w:p>
            <w:pPr>
              <w:jc w:val="center"/>
              <w:ind w:right="1308"/>
              <w:spacing w:after="0"/>
              <w:rPr>
                <w:sz w:val="20"/>
                <w:szCs w:val="20"/>
                <w:color w:val="auto"/>
              </w:rPr>
            </w:pPr>
            <w:r>
              <w:rPr>
                <w:rFonts w:ascii="Courier New" w:cs="Courier New" w:eastAsia="Courier New" w:hAnsi="Courier New"/>
                <w:sz w:val="14"/>
                <w:szCs w:val="14"/>
                <w:color w:val="auto"/>
              </w:rPr>
              <w:t>(Address of principal executive offices)</w:t>
            </w:r>
          </w:p>
        </w:tc>
        <w:tc>
          <w:tcPr>
            <w:tcW w:w="1840" w:type="dxa"/>
            <w:vAlign w:val="bottom"/>
          </w:tcPr>
          <w:p>
            <w:pPr>
              <w:spacing w:after="0"/>
              <w:rPr>
                <w:sz w:val="14"/>
                <w:szCs w:val="14"/>
                <w:color w:val="auto"/>
              </w:rPr>
            </w:pPr>
          </w:p>
        </w:tc>
      </w:tr>
      <w:tr>
        <w:trPr>
          <w:trHeight w:val="334"/>
        </w:trPr>
        <w:tc>
          <w:tcPr>
            <w:tcW w:w="4860" w:type="dxa"/>
            <w:vAlign w:val="bottom"/>
          </w:tcPr>
          <w:p>
            <w:pPr>
              <w:jc w:val="center"/>
              <w:ind w:left="18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24"/>
                <w:szCs w:val="24"/>
                <w:color w:val="auto"/>
              </w:rPr>
            </w:pPr>
          </w:p>
        </w:tc>
      </w:tr>
      <w:tr>
        <w:trPr>
          <w:trHeight w:val="334"/>
        </w:trPr>
        <w:tc>
          <w:tcPr>
            <w:tcW w:w="4860" w:type="dxa"/>
            <w:vAlign w:val="bottom"/>
          </w:tcPr>
          <w:p>
            <w:pPr>
              <w:jc w:val="center"/>
              <w:ind w:left="1848"/>
              <w:spacing w:after="0"/>
              <w:rPr>
                <w:sz w:val="20"/>
                <w:szCs w:val="20"/>
                <w:color w:val="auto"/>
              </w:rPr>
            </w:pPr>
            <w:r>
              <w:rPr>
                <w:rFonts w:ascii="Courier New" w:cs="Courier New" w:eastAsia="Courier New" w:hAnsi="Courier New"/>
                <w:sz w:val="14"/>
                <w:szCs w:val="14"/>
                <w:color w:val="auto"/>
              </w:rPr>
              <w:t>Radio One of Boston Licenses, Inc.</w:t>
            </w:r>
          </w:p>
        </w:tc>
        <w:tc>
          <w:tcPr>
            <w:tcW w:w="1840" w:type="dxa"/>
            <w:vAlign w:val="bottom"/>
          </w:tcPr>
          <w:p>
            <w:pPr>
              <w:spacing w:after="0"/>
              <w:rPr>
                <w:sz w:val="24"/>
                <w:szCs w:val="24"/>
                <w:color w:val="auto"/>
              </w:rPr>
            </w:pPr>
          </w:p>
        </w:tc>
      </w:tr>
      <w:tr>
        <w:trPr>
          <w:trHeight w:val="167"/>
        </w:trPr>
        <w:tc>
          <w:tcPr>
            <w:tcW w:w="67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(Exact name of registrant as specified in its charter)</w:t>
            </w:r>
          </w:p>
        </w:tc>
      </w:tr>
      <w:tr>
        <w:trPr>
          <w:trHeight w:val="334"/>
        </w:trPr>
        <w:tc>
          <w:tcPr>
            <w:tcW w:w="486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8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52-2297370</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(State or other jurisdiction of</w:t>
            </w:r>
          </w:p>
        </w:tc>
        <w:tc>
          <w:tcPr>
            <w:tcW w:w="1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incorporation or organization)</w:t>
            </w:r>
          </w:p>
        </w:tc>
        <w:tc>
          <w:tcPr>
            <w:tcW w:w="18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860" w:type="dxa"/>
            <w:vAlign w:val="bottom"/>
          </w:tcPr>
          <w:p>
            <w:pPr>
              <w:jc w:val="center"/>
              <w:ind w:right="1308"/>
              <w:spacing w:after="0"/>
              <w:rPr>
                <w:sz w:val="20"/>
                <w:szCs w:val="20"/>
                <w:color w:val="auto"/>
              </w:rPr>
            </w:pPr>
            <w:r>
              <w:rPr>
                <w:rFonts w:ascii="Courier New" w:cs="Courier New" w:eastAsia="Courier New" w:hAnsi="Courier New"/>
                <w:sz w:val="14"/>
                <w:szCs w:val="14"/>
                <w:color w:val="auto"/>
              </w:rPr>
              <w:t>5900 Princess Garden Parkway</w:t>
            </w:r>
          </w:p>
        </w:tc>
        <w:tc>
          <w:tcPr>
            <w:tcW w:w="1840" w:type="dxa"/>
            <w:vAlign w:val="bottom"/>
          </w:tcPr>
          <w:p>
            <w:pPr>
              <w:spacing w:after="0"/>
              <w:rPr>
                <w:sz w:val="24"/>
                <w:szCs w:val="24"/>
                <w:color w:val="auto"/>
              </w:rPr>
            </w:pPr>
          </w:p>
        </w:tc>
      </w:tr>
      <w:tr>
        <w:trPr>
          <w:trHeight w:val="167"/>
        </w:trPr>
        <w:tc>
          <w:tcPr>
            <w:tcW w:w="4860" w:type="dxa"/>
            <w:vAlign w:val="bottom"/>
          </w:tcPr>
          <w:p>
            <w:pPr>
              <w:ind w:left="1320"/>
              <w:spacing w:after="0"/>
              <w:rPr>
                <w:sz w:val="20"/>
                <w:szCs w:val="20"/>
                <w:color w:val="auto"/>
              </w:rPr>
            </w:pPr>
            <w:r>
              <w:rPr>
                <w:rFonts w:ascii="Courier New" w:cs="Courier New" w:eastAsia="Courier New" w:hAnsi="Courier New"/>
                <w:sz w:val="14"/>
                <w:szCs w:val="14"/>
                <w:color w:val="auto"/>
              </w:rPr>
              <w:t>7/th/ Floor</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4860" w:type="dxa"/>
            <w:vAlign w:val="bottom"/>
          </w:tcPr>
          <w:p>
            <w:pPr>
              <w:jc w:val="center"/>
              <w:ind w:right="1288"/>
              <w:spacing w:after="0"/>
              <w:rPr>
                <w:sz w:val="20"/>
                <w:szCs w:val="20"/>
                <w:color w:val="auto"/>
              </w:rPr>
            </w:pPr>
            <w:r>
              <w:rPr>
                <w:rFonts w:ascii="Courier New" w:cs="Courier New" w:eastAsia="Courier New" w:hAnsi="Courier New"/>
                <w:sz w:val="14"/>
                <w:szCs w:val="14"/>
                <w:color w:val="auto"/>
              </w:rPr>
              <w:t>Lanham, MD</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(Zip Code)</w:t>
            </w:r>
          </w:p>
        </w:tc>
      </w:tr>
      <w:tr>
        <w:trPr>
          <w:trHeight w:val="167"/>
        </w:trPr>
        <w:tc>
          <w:tcPr>
            <w:tcW w:w="4860" w:type="dxa"/>
            <w:vAlign w:val="bottom"/>
          </w:tcPr>
          <w:p>
            <w:pPr>
              <w:jc w:val="center"/>
              <w:ind w:right="1308"/>
              <w:spacing w:after="0"/>
              <w:rPr>
                <w:sz w:val="20"/>
                <w:szCs w:val="20"/>
                <w:color w:val="auto"/>
              </w:rPr>
            </w:pPr>
            <w:r>
              <w:rPr>
                <w:rFonts w:ascii="Courier New" w:cs="Courier New" w:eastAsia="Courier New" w:hAnsi="Courier New"/>
                <w:sz w:val="14"/>
                <w:szCs w:val="14"/>
                <w:color w:val="auto"/>
              </w:rPr>
              <w:t>(Address of principal executive offices)</w:t>
            </w:r>
          </w:p>
        </w:tc>
        <w:tc>
          <w:tcPr>
            <w:tcW w:w="1840" w:type="dxa"/>
            <w:vAlign w:val="bottom"/>
          </w:tcPr>
          <w:p>
            <w:pPr>
              <w:spacing w:after="0"/>
              <w:rPr>
                <w:sz w:val="14"/>
                <w:szCs w:val="14"/>
                <w:color w:val="auto"/>
              </w:rPr>
            </w:pPr>
          </w:p>
        </w:tc>
      </w:tr>
      <w:tr>
        <w:trPr>
          <w:trHeight w:val="334"/>
        </w:trPr>
        <w:tc>
          <w:tcPr>
            <w:tcW w:w="4860" w:type="dxa"/>
            <w:vAlign w:val="bottom"/>
          </w:tcPr>
          <w:p>
            <w:pPr>
              <w:jc w:val="center"/>
              <w:ind w:left="18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spacing w:after="0"/>
              <w:rPr>
                <w:sz w:val="24"/>
                <w:szCs w:val="24"/>
                <w:color w:val="auto"/>
              </w:rPr>
            </w:pPr>
          </w:p>
        </w:tc>
      </w:tr>
      <w:tr>
        <w:trPr>
          <w:trHeight w:val="334"/>
        </w:trPr>
        <w:tc>
          <w:tcPr>
            <w:tcW w:w="4860" w:type="dxa"/>
            <w:vAlign w:val="bottom"/>
          </w:tcPr>
          <w:p>
            <w:pPr>
              <w:ind w:left="2000"/>
              <w:spacing w:after="0"/>
              <w:rPr>
                <w:sz w:val="20"/>
                <w:szCs w:val="20"/>
                <w:color w:val="auto"/>
              </w:rPr>
            </w:pPr>
            <w:r>
              <w:rPr>
                <w:rFonts w:ascii="Courier New" w:cs="Courier New" w:eastAsia="Courier New" w:hAnsi="Courier New"/>
                <w:sz w:val="14"/>
                <w:szCs w:val="14"/>
                <w:color w:val="auto"/>
              </w:rPr>
              <w:t>Blue Chip Merger Subsidiary, Inc.</w:t>
            </w:r>
          </w:p>
        </w:tc>
        <w:tc>
          <w:tcPr>
            <w:tcW w:w="1840" w:type="dxa"/>
            <w:vAlign w:val="bottom"/>
          </w:tcPr>
          <w:p>
            <w:pPr>
              <w:spacing w:after="0"/>
              <w:rPr>
                <w:sz w:val="24"/>
                <w:szCs w:val="24"/>
                <w:color w:val="auto"/>
              </w:rPr>
            </w:pPr>
          </w:p>
        </w:tc>
      </w:tr>
      <w:tr>
        <w:trPr>
          <w:trHeight w:val="167"/>
        </w:trPr>
        <w:tc>
          <w:tcPr>
            <w:tcW w:w="670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(Exact name of registrant as specified in its charter)</w:t>
            </w:r>
          </w:p>
        </w:tc>
      </w:tr>
      <w:tr>
        <w:trPr>
          <w:trHeight w:val="334"/>
        </w:trPr>
        <w:tc>
          <w:tcPr>
            <w:tcW w:w="4860" w:type="dxa"/>
            <w:vAlign w:val="bottom"/>
          </w:tcPr>
          <w:p>
            <w:pPr>
              <w:ind w:left="1480"/>
              <w:spacing w:after="0"/>
              <w:rPr>
                <w:sz w:val="20"/>
                <w:szCs w:val="20"/>
                <w:color w:val="auto"/>
              </w:rPr>
            </w:pPr>
            <w:r>
              <w:rPr>
                <w:rFonts w:ascii="Courier New" w:cs="Courier New" w:eastAsia="Courier New" w:hAnsi="Courier New"/>
                <w:sz w:val="14"/>
                <w:szCs w:val="14"/>
                <w:color w:val="auto"/>
              </w:rPr>
              <w:t>Delaware</w:t>
            </w:r>
          </w:p>
        </w:tc>
        <w:tc>
          <w:tcPr>
            <w:tcW w:w="18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[Applied For]</w:t>
            </w:r>
          </w:p>
        </w:tc>
      </w:tr>
      <w:tr>
        <w:trPr>
          <w:trHeight w:val="167"/>
        </w:trPr>
        <w:tc>
          <w:tcPr>
            <w:tcW w:w="4860" w:type="dxa"/>
            <w:vAlign w:val="bottom"/>
          </w:tcPr>
          <w:p>
            <w:pPr>
              <w:ind w:left="440"/>
              <w:spacing w:after="0"/>
              <w:rPr>
                <w:sz w:val="20"/>
                <w:szCs w:val="20"/>
                <w:color w:val="auto"/>
              </w:rPr>
            </w:pPr>
            <w:r>
              <w:rPr>
                <w:rFonts w:ascii="Courier New" w:cs="Courier New" w:eastAsia="Courier New" w:hAnsi="Courier New"/>
                <w:sz w:val="14"/>
                <w:szCs w:val="14"/>
                <w:color w:val="auto"/>
              </w:rPr>
              <w:t>(State or other jurisdiction of</w:t>
            </w:r>
          </w:p>
        </w:tc>
        <w:tc>
          <w:tcPr>
            <w:tcW w:w="18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(I.R.S. employer</w:t>
            </w:r>
          </w:p>
        </w:tc>
      </w:tr>
      <w:tr>
        <w:trPr>
          <w:trHeight w:val="167"/>
        </w:trPr>
        <w:tc>
          <w:tcPr>
            <w:tcW w:w="4860" w:type="dxa"/>
            <w:vAlign w:val="bottom"/>
          </w:tcPr>
          <w:p>
            <w:pPr>
              <w:jc w:val="center"/>
              <w:ind w:right="1308"/>
              <w:spacing w:after="0"/>
              <w:rPr>
                <w:sz w:val="20"/>
                <w:szCs w:val="20"/>
                <w:color w:val="auto"/>
              </w:rPr>
            </w:pPr>
            <w:r>
              <w:rPr>
                <w:rFonts w:ascii="Courier New" w:cs="Courier New" w:eastAsia="Courier New" w:hAnsi="Courier New"/>
                <w:sz w:val="14"/>
                <w:szCs w:val="14"/>
                <w:color w:val="auto"/>
              </w:rPr>
              <w:t>incorporation or organization)</w:t>
            </w:r>
          </w:p>
        </w:tc>
        <w:tc>
          <w:tcPr>
            <w:tcW w:w="18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identification No.)</w:t>
            </w:r>
          </w:p>
        </w:tc>
      </w:tr>
      <w:tr>
        <w:trPr>
          <w:trHeight w:val="334"/>
        </w:trPr>
        <w:tc>
          <w:tcPr>
            <w:tcW w:w="4860" w:type="dxa"/>
            <w:vAlign w:val="bottom"/>
          </w:tcPr>
          <w:p>
            <w:pPr>
              <w:jc w:val="center"/>
              <w:ind w:right="1308"/>
              <w:spacing w:after="0"/>
              <w:rPr>
                <w:sz w:val="20"/>
                <w:szCs w:val="20"/>
                <w:color w:val="auto"/>
              </w:rPr>
            </w:pPr>
            <w:r>
              <w:rPr>
                <w:rFonts w:ascii="Courier New" w:cs="Courier New" w:eastAsia="Courier New" w:hAnsi="Courier New"/>
                <w:sz w:val="14"/>
                <w:szCs w:val="14"/>
                <w:color w:val="auto"/>
              </w:rPr>
              <w:t>5900 Princess Garden Parkway</w:t>
            </w:r>
          </w:p>
        </w:tc>
        <w:tc>
          <w:tcPr>
            <w:tcW w:w="1840" w:type="dxa"/>
            <w:vAlign w:val="bottom"/>
          </w:tcPr>
          <w:p>
            <w:pPr>
              <w:spacing w:after="0"/>
              <w:rPr>
                <w:sz w:val="24"/>
                <w:szCs w:val="24"/>
                <w:color w:val="auto"/>
              </w:rPr>
            </w:pPr>
          </w:p>
        </w:tc>
      </w:tr>
      <w:tr>
        <w:trPr>
          <w:trHeight w:val="167"/>
        </w:trPr>
        <w:tc>
          <w:tcPr>
            <w:tcW w:w="4860" w:type="dxa"/>
            <w:vAlign w:val="bottom"/>
          </w:tcPr>
          <w:p>
            <w:pPr>
              <w:ind w:left="1220"/>
              <w:spacing w:after="0"/>
              <w:rPr>
                <w:sz w:val="20"/>
                <w:szCs w:val="20"/>
                <w:color w:val="auto"/>
              </w:rPr>
            </w:pPr>
            <w:r>
              <w:rPr>
                <w:rFonts w:ascii="Courier New" w:cs="Courier New" w:eastAsia="Courier New" w:hAnsi="Courier New"/>
                <w:sz w:val="14"/>
                <w:szCs w:val="14"/>
                <w:color w:val="auto"/>
              </w:rPr>
              <w:t>7/th/ Floor</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20706-2969</w:t>
            </w:r>
          </w:p>
        </w:tc>
      </w:tr>
      <w:tr>
        <w:trPr>
          <w:trHeight w:val="167"/>
        </w:trPr>
        <w:tc>
          <w:tcPr>
            <w:tcW w:w="4860" w:type="dxa"/>
            <w:vAlign w:val="bottom"/>
          </w:tcPr>
          <w:p>
            <w:pPr>
              <w:ind w:left="1220"/>
              <w:spacing w:after="0"/>
              <w:rPr>
                <w:sz w:val="20"/>
                <w:szCs w:val="20"/>
                <w:color w:val="auto"/>
              </w:rPr>
            </w:pPr>
            <w:r>
              <w:rPr>
                <w:rFonts w:ascii="Courier New" w:cs="Courier New" w:eastAsia="Courier New" w:hAnsi="Courier New"/>
                <w:sz w:val="14"/>
                <w:szCs w:val="14"/>
                <w:color w:val="auto"/>
              </w:rPr>
              <w:t>Lanham, MD</w:t>
            </w:r>
          </w:p>
        </w:tc>
        <w:tc>
          <w:tcPr>
            <w:tcW w:w="1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(Zip Code)</w:t>
            </w:r>
          </w:p>
        </w:tc>
      </w:tr>
      <w:tr>
        <w:trPr>
          <w:trHeight w:val="167"/>
        </w:trPr>
        <w:tc>
          <w:tcPr>
            <w:tcW w:w="4860" w:type="dxa"/>
            <w:vAlign w:val="bottom"/>
          </w:tcPr>
          <w:p>
            <w:pPr>
              <w:jc w:val="center"/>
              <w:ind w:right="1308"/>
              <w:spacing w:after="0"/>
              <w:rPr>
                <w:sz w:val="20"/>
                <w:szCs w:val="20"/>
                <w:color w:val="auto"/>
              </w:rPr>
            </w:pPr>
            <w:r>
              <w:rPr>
                <w:rFonts w:ascii="Courier New" w:cs="Courier New" w:eastAsia="Courier New" w:hAnsi="Courier New"/>
                <w:sz w:val="14"/>
                <w:szCs w:val="14"/>
                <w:color w:val="auto"/>
              </w:rPr>
              <w:t>(Address of principal executive offices)</w:t>
            </w:r>
          </w:p>
        </w:tc>
        <w:tc>
          <w:tcPr>
            <w:tcW w:w="1840" w:type="dxa"/>
            <w:vAlign w:val="bottom"/>
          </w:tcPr>
          <w:p>
            <w:pPr>
              <w:spacing w:after="0"/>
              <w:rPr>
                <w:sz w:val="14"/>
                <w:szCs w:val="14"/>
                <w:color w:val="auto"/>
              </w:rPr>
            </w:pPr>
          </w:p>
        </w:tc>
      </w:tr>
    </w:tbl>
    <w:p>
      <w:pPr>
        <w:spacing w:after="0" w:line="171"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8 7/8% Senior Subordinated Notes due 2011</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Series B</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(Title of the indenture securities)</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bookmarkStart w:id="274" w:name="page275"/>
    <w:bookmarkEnd w:id="274"/>
    <w:p>
      <w:pPr>
        <w:jc w:val="center"/>
        <w:ind w:right="3379"/>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GENERAL</w:t>
      </w:r>
    </w:p>
    <w:p>
      <w:pPr>
        <w:spacing w:after="0" w:line="342" w:lineRule="exact"/>
        <w:rPr>
          <w:sz w:val="20"/>
          <w:szCs w:val="20"/>
          <w:color w:val="auto"/>
        </w:rPr>
      </w:pPr>
    </w:p>
    <w:p>
      <w:pPr>
        <w:ind w:left="440" w:hanging="431"/>
        <w:spacing w:after="0"/>
        <w:tabs>
          <w:tab w:leader="none" w:pos="440"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Information</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Furnish the following information as to the trustee:</w:t>
      </w:r>
    </w:p>
    <w:p>
      <w:pPr>
        <w:spacing w:after="0" w:line="175" w:lineRule="exact"/>
        <w:rPr>
          <w:sz w:val="20"/>
          <w:szCs w:val="20"/>
          <w:color w:val="auto"/>
        </w:rPr>
      </w:pPr>
    </w:p>
    <w:p>
      <w:pPr>
        <w:ind w:left="880" w:right="3979" w:hanging="437"/>
        <w:spacing w:after="0" w:line="258" w:lineRule="auto"/>
        <w:tabs>
          <w:tab w:leader="none" w:pos="880"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examining or supervising authority to which it is subject.</w:t>
      </w:r>
    </w:p>
    <w:p>
      <w:pPr>
        <w:spacing w:after="0" w:line="160" w:lineRule="exact"/>
        <w:rPr>
          <w:sz w:val="20"/>
          <w:szCs w:val="20"/>
          <w:color w:val="auto"/>
        </w:rPr>
      </w:pPr>
    </w:p>
    <w:p>
      <w:pPr>
        <w:ind w:left="1580" w:right="3279" w:hanging="433"/>
        <w:spacing w:after="0" w:line="252" w:lineRule="auto"/>
        <w:rPr>
          <w:sz w:val="20"/>
          <w:szCs w:val="20"/>
          <w:color w:val="auto"/>
        </w:rPr>
      </w:pPr>
      <w:r>
        <w:rPr>
          <w:rFonts w:ascii="Courier New" w:cs="Courier New" w:eastAsia="Courier New" w:hAnsi="Courier New"/>
          <w:sz w:val="14"/>
          <w:szCs w:val="14"/>
          <w:color w:val="auto"/>
        </w:rPr>
        <w:t>Federal Reserve Bank of New York (2nd District), New York, New York (Board of Governors of the Federal Reserve System)</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Federal Deposit Insurance Corporation, Washington, D.C.</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New York State Banking Department, Albany, New York</w:t>
      </w:r>
    </w:p>
    <w:p>
      <w:pPr>
        <w:spacing w:after="0" w:line="175" w:lineRule="exact"/>
        <w:rPr>
          <w:sz w:val="20"/>
          <w:szCs w:val="20"/>
          <w:color w:val="auto"/>
        </w:rPr>
      </w:pPr>
    </w:p>
    <w:p>
      <w:pPr>
        <w:ind w:left="1140" w:right="3799" w:hanging="697"/>
        <w:spacing w:after="0" w:line="505" w:lineRule="auto"/>
        <w:tabs>
          <w:tab w:leader="none" w:pos="1140" w:val="left"/>
        </w:tabs>
        <w:numPr>
          <w:ilvl w:val="1"/>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it is authorized to exercise corporate trust powers. The trustee is authorized to exercise corporate trust powers.</w:t>
      </w:r>
    </w:p>
    <w:p>
      <w:pPr>
        <w:ind w:left="440" w:hanging="431"/>
        <w:spacing w:after="0"/>
        <w:tabs>
          <w:tab w:leader="none" w:pos="440"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Affiliations with the Obligor</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right="41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the obligor is an affiliate of the trustee, describe each such affiliation.</w:t>
      </w:r>
    </w:p>
    <w:p>
      <w:pPr>
        <w:spacing w:after="0" w:line="160"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4, 5, 6, 7, 8, 9, 10, 11, 12, 13, 14 and 15:</w:t>
      </w:r>
    </w:p>
    <w:p>
      <w:pPr>
        <w:spacing w:after="0" w:line="175"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Radio One, Inc. currently is not in default under any of its outstanding securities for which United States Trust Company of New York is Trustee. Accordingly, responses to Items 3, 4, 5, 6, 7, 8, 9, 10, 11, 12, 13, 14 and 15 of Form T-1 are not required under General Instruction B.</w:t>
      </w:r>
    </w:p>
    <w:p>
      <w:pPr>
        <w:spacing w:after="0" w:line="163" w:lineRule="exact"/>
        <w:rPr>
          <w:sz w:val="20"/>
          <w:szCs w:val="20"/>
          <w:color w:val="auto"/>
        </w:rPr>
      </w:pPr>
    </w:p>
    <w:p>
      <w:pPr>
        <w:ind w:left="440" w:hanging="431"/>
        <w:spacing w:after="0"/>
        <w:tabs>
          <w:tab w:leader="none" w:pos="44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Exhibits</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T-1.1</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3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Organization Certificate, as amended, issued by the State</w:t>
            </w:r>
          </w:p>
        </w:tc>
      </w:tr>
      <w:tr>
        <w:trPr>
          <w:trHeight w:val="167"/>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of New York</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Banking</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Department to transact business as a</w:t>
            </w:r>
          </w:p>
        </w:tc>
      </w:tr>
      <w:tr>
        <w:trPr>
          <w:trHeight w:val="167"/>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Trust Company, is incorporated by reference to Exhibit T-</w:t>
            </w:r>
          </w:p>
        </w:tc>
      </w:tr>
      <w:tr>
        <w:trPr>
          <w:trHeight w:val="167"/>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1.1 to Form</w:t>
            </w:r>
          </w:p>
        </w:tc>
        <w:tc>
          <w:tcPr>
            <w:tcW w:w="4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T-1 filed on September 15, 1995 with the</w:t>
            </w:r>
          </w:p>
        </w:tc>
      </w:tr>
      <w:tr>
        <w:trPr>
          <w:trHeight w:val="167"/>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Commission pursuant</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to the Trust Indenture Act of 1939, as</w:t>
            </w:r>
          </w:p>
        </w:tc>
      </w:tr>
      <w:tr>
        <w:trPr>
          <w:trHeight w:val="167"/>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amended by the Trust Indenture Reform Act of 1990</w:t>
            </w:r>
          </w:p>
        </w:tc>
      </w:tr>
      <w:tr>
        <w:trPr>
          <w:trHeight w:val="167"/>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(Registration No. 33-97056).</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T-1.2</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Included in</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Exhibit</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T-1.1.</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T-1.3</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Included in</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Exhibit</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T-1.1.</w:t>
            </w:r>
          </w:p>
        </w:tc>
      </w:tr>
    </w:tbl>
    <w:p>
      <w:pPr>
        <w:sectPr>
          <w:pgSz w:w="11900" w:h="16838" w:orient="portrait"/>
          <w:cols w:equalWidth="0" w:num="1">
            <w:col w:w="10239"/>
          </w:cols>
          <w:pgMar w:left="220" w:top="620" w:right="1440" w:bottom="1440" w:gutter="0" w:footer="0" w:header="0"/>
        </w:sectPr>
      </w:pPr>
    </w:p>
    <w:bookmarkStart w:id="275" w:name="page276"/>
    <w:bookmarkEnd w:id="275"/>
    <w:p>
      <w:pPr>
        <w:ind w:left="330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440" w:hanging="431"/>
        <w:spacing w:after="0"/>
        <w:tabs>
          <w:tab w:leader="none" w:pos="44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Exhibits</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(cont'd)</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T-1.4</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340" w:type="dxa"/>
            <w:vAlign w:val="bottom"/>
          </w:tcPr>
          <w:p>
            <w:pPr>
              <w:ind w:left="300"/>
              <w:spacing w:after="0"/>
              <w:rPr>
                <w:sz w:val="20"/>
                <w:szCs w:val="20"/>
                <w:color w:val="auto"/>
              </w:rPr>
            </w:pPr>
            <w:r>
              <w:rPr>
                <w:rFonts w:ascii="Courier New" w:cs="Courier New" w:eastAsia="Courier New" w:hAnsi="Courier New"/>
                <w:sz w:val="14"/>
                <w:szCs w:val="14"/>
                <w:color w:val="auto"/>
              </w:rPr>
              <w:t>The By-Laws of United States Trust Company of New York, as</w:t>
            </w:r>
          </w:p>
        </w:tc>
      </w:tr>
      <w:tr>
        <w:trPr>
          <w:trHeight w:val="167"/>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40" w:type="dxa"/>
            <w:vAlign w:val="bottom"/>
          </w:tcPr>
          <w:p>
            <w:pPr>
              <w:ind w:left="300"/>
              <w:spacing w:after="0"/>
              <w:rPr>
                <w:sz w:val="20"/>
                <w:szCs w:val="20"/>
                <w:color w:val="auto"/>
              </w:rPr>
            </w:pPr>
            <w:r>
              <w:rPr>
                <w:rFonts w:ascii="Courier New" w:cs="Courier New" w:eastAsia="Courier New" w:hAnsi="Courier New"/>
                <w:sz w:val="14"/>
                <w:szCs w:val="14"/>
                <w:color w:val="auto"/>
              </w:rPr>
              <w:t>amended, is incorporated by reference to Exhibit T-1.4 to</w:t>
            </w:r>
          </w:p>
        </w:tc>
      </w:tr>
      <w:tr>
        <w:trPr>
          <w:trHeight w:val="167"/>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40" w:type="dxa"/>
            <w:vAlign w:val="bottom"/>
          </w:tcPr>
          <w:p>
            <w:pPr>
              <w:ind w:left="300"/>
              <w:spacing w:after="0"/>
              <w:rPr>
                <w:sz w:val="20"/>
                <w:szCs w:val="20"/>
                <w:color w:val="auto"/>
              </w:rPr>
            </w:pPr>
            <w:r>
              <w:rPr>
                <w:rFonts w:ascii="Courier New" w:cs="Courier New" w:eastAsia="Courier New" w:hAnsi="Courier New"/>
                <w:sz w:val="14"/>
                <w:szCs w:val="14"/>
                <w:color w:val="auto"/>
              </w:rPr>
              <w:t>Form T-1 filed on September 15, 1995 with the Commission</w:t>
            </w:r>
          </w:p>
        </w:tc>
      </w:tr>
      <w:tr>
        <w:trPr>
          <w:trHeight w:val="167"/>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40" w:type="dxa"/>
            <w:vAlign w:val="bottom"/>
          </w:tcPr>
          <w:p>
            <w:pPr>
              <w:ind w:left="300"/>
              <w:spacing w:after="0"/>
              <w:rPr>
                <w:sz w:val="20"/>
                <w:szCs w:val="20"/>
                <w:color w:val="auto"/>
              </w:rPr>
            </w:pPr>
            <w:r>
              <w:rPr>
                <w:rFonts w:ascii="Courier New" w:cs="Courier New" w:eastAsia="Courier New" w:hAnsi="Courier New"/>
                <w:sz w:val="14"/>
                <w:szCs w:val="14"/>
                <w:color w:val="auto"/>
              </w:rPr>
              <w:t>pursuant to the Trust Indenture Act of 1939, as amended by</w:t>
            </w:r>
          </w:p>
        </w:tc>
      </w:tr>
      <w:tr>
        <w:trPr>
          <w:trHeight w:val="167"/>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40" w:type="dxa"/>
            <w:vAlign w:val="bottom"/>
          </w:tcPr>
          <w:p>
            <w:pPr>
              <w:ind w:left="300"/>
              <w:spacing w:after="0"/>
              <w:rPr>
                <w:sz w:val="20"/>
                <w:szCs w:val="20"/>
                <w:color w:val="auto"/>
              </w:rPr>
            </w:pPr>
            <w:r>
              <w:rPr>
                <w:rFonts w:ascii="Courier New" w:cs="Courier New" w:eastAsia="Courier New" w:hAnsi="Courier New"/>
                <w:sz w:val="14"/>
                <w:szCs w:val="14"/>
                <w:color w:val="auto"/>
              </w:rPr>
              <w:t>the Trust Indenture Reform Act of 1990 (Registration No.</w:t>
            </w:r>
          </w:p>
        </w:tc>
      </w:tr>
      <w:tr>
        <w:trPr>
          <w:trHeight w:val="167"/>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40" w:type="dxa"/>
            <w:vAlign w:val="bottom"/>
          </w:tcPr>
          <w:p>
            <w:pPr>
              <w:ind w:left="300"/>
              <w:spacing w:after="0"/>
              <w:rPr>
                <w:sz w:val="20"/>
                <w:szCs w:val="20"/>
                <w:color w:val="auto"/>
              </w:rPr>
            </w:pPr>
            <w:r>
              <w:rPr>
                <w:rFonts w:ascii="Courier New" w:cs="Courier New" w:eastAsia="Courier New" w:hAnsi="Courier New"/>
                <w:sz w:val="14"/>
                <w:szCs w:val="14"/>
                <w:color w:val="auto"/>
              </w:rPr>
              <w:t>33-97056).</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T-1.6</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340" w:type="dxa"/>
            <w:vAlign w:val="bottom"/>
          </w:tcPr>
          <w:p>
            <w:pPr>
              <w:ind w:left="300"/>
              <w:spacing w:after="0"/>
              <w:rPr>
                <w:sz w:val="20"/>
                <w:szCs w:val="20"/>
                <w:color w:val="auto"/>
              </w:rPr>
            </w:pPr>
            <w:r>
              <w:rPr>
                <w:rFonts w:ascii="Courier New" w:cs="Courier New" w:eastAsia="Courier New" w:hAnsi="Courier New"/>
                <w:sz w:val="14"/>
                <w:szCs w:val="14"/>
                <w:color w:val="auto"/>
              </w:rPr>
              <w:t>The consent of the trustee required by Section 321(b) of</w:t>
            </w:r>
          </w:p>
        </w:tc>
      </w:tr>
      <w:tr>
        <w:trPr>
          <w:trHeight w:val="167"/>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40" w:type="dxa"/>
            <w:vAlign w:val="bottom"/>
          </w:tcPr>
          <w:p>
            <w:pPr>
              <w:ind w:left="300"/>
              <w:spacing w:after="0"/>
              <w:rPr>
                <w:sz w:val="20"/>
                <w:szCs w:val="20"/>
                <w:color w:val="auto"/>
              </w:rPr>
            </w:pPr>
            <w:r>
              <w:rPr>
                <w:rFonts w:ascii="Courier New" w:cs="Courier New" w:eastAsia="Courier New" w:hAnsi="Courier New"/>
                <w:sz w:val="14"/>
                <w:szCs w:val="14"/>
                <w:color w:val="auto"/>
              </w:rPr>
              <w:t>the Trust Indenture Act of 1939, as amended by the Trust</w:t>
            </w:r>
          </w:p>
        </w:tc>
      </w:tr>
      <w:tr>
        <w:trPr>
          <w:trHeight w:val="167"/>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40" w:type="dxa"/>
            <w:vAlign w:val="bottom"/>
          </w:tcPr>
          <w:p>
            <w:pPr>
              <w:ind w:left="300"/>
              <w:spacing w:after="0"/>
              <w:rPr>
                <w:sz w:val="20"/>
                <w:szCs w:val="20"/>
                <w:color w:val="auto"/>
              </w:rPr>
            </w:pPr>
            <w:r>
              <w:rPr>
                <w:rFonts w:ascii="Courier New" w:cs="Courier New" w:eastAsia="Courier New" w:hAnsi="Courier New"/>
                <w:sz w:val="14"/>
                <w:szCs w:val="14"/>
                <w:color w:val="auto"/>
              </w:rPr>
              <w:t>Indenture Reform Act of 1990.</w:t>
            </w:r>
          </w:p>
        </w:tc>
      </w:tr>
      <w:tr>
        <w:trPr>
          <w:trHeight w:val="334"/>
        </w:trPr>
        <w:tc>
          <w:tcPr>
            <w:tcW w:w="560" w:type="dxa"/>
            <w:vAlign w:val="bottom"/>
          </w:tcPr>
          <w:p>
            <w:pPr>
              <w:spacing w:after="0"/>
              <w:rPr>
                <w:sz w:val="20"/>
                <w:szCs w:val="20"/>
                <w:color w:val="auto"/>
              </w:rPr>
            </w:pPr>
            <w:r>
              <w:rPr>
                <w:rFonts w:ascii="Courier New" w:cs="Courier New" w:eastAsia="Courier New" w:hAnsi="Courier New"/>
                <w:sz w:val="14"/>
                <w:szCs w:val="14"/>
                <w:color w:val="auto"/>
              </w:rPr>
              <w:t>T-1.7</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340" w:type="dxa"/>
            <w:vAlign w:val="bottom"/>
          </w:tcPr>
          <w:p>
            <w:pPr>
              <w:ind w:left="300"/>
              <w:spacing w:after="0"/>
              <w:rPr>
                <w:sz w:val="20"/>
                <w:szCs w:val="20"/>
                <w:color w:val="auto"/>
              </w:rPr>
            </w:pPr>
            <w:r>
              <w:rPr>
                <w:rFonts w:ascii="Courier New" w:cs="Courier New" w:eastAsia="Courier New" w:hAnsi="Courier New"/>
                <w:sz w:val="14"/>
                <w:szCs w:val="14"/>
                <w:color w:val="auto"/>
              </w:rPr>
              <w:t>A copy of the latest report of condition of the trustee</w:t>
            </w:r>
          </w:p>
        </w:tc>
      </w:tr>
      <w:tr>
        <w:trPr>
          <w:trHeight w:val="167"/>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40" w:type="dxa"/>
            <w:vAlign w:val="bottom"/>
          </w:tcPr>
          <w:p>
            <w:pPr>
              <w:ind w:left="300"/>
              <w:spacing w:after="0"/>
              <w:rPr>
                <w:sz w:val="20"/>
                <w:szCs w:val="20"/>
                <w:color w:val="auto"/>
              </w:rPr>
            </w:pPr>
            <w:r>
              <w:rPr>
                <w:rFonts w:ascii="Courier New" w:cs="Courier New" w:eastAsia="Courier New" w:hAnsi="Courier New"/>
                <w:sz w:val="14"/>
                <w:szCs w:val="14"/>
                <w:color w:val="auto"/>
              </w:rPr>
              <w:t>pursuant to law or the requirements of its supervising or</w:t>
            </w:r>
          </w:p>
        </w:tc>
      </w:tr>
      <w:tr>
        <w:trPr>
          <w:trHeight w:val="167"/>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40" w:type="dxa"/>
            <w:vAlign w:val="bottom"/>
          </w:tcPr>
          <w:p>
            <w:pPr>
              <w:ind w:left="300"/>
              <w:spacing w:after="0"/>
              <w:rPr>
                <w:sz w:val="20"/>
                <w:szCs w:val="20"/>
                <w:color w:val="auto"/>
              </w:rPr>
            </w:pPr>
            <w:r>
              <w:rPr>
                <w:rFonts w:ascii="Courier New" w:cs="Courier New" w:eastAsia="Courier New" w:hAnsi="Courier New"/>
                <w:sz w:val="14"/>
                <w:szCs w:val="14"/>
                <w:color w:val="auto"/>
              </w:rPr>
              <w:t>examining authority.</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As of June 28, 2001, the trustee had 2,999,029 shares of Common Stock outstanding, all of which are owned by its parent company, U.S. Trust Corporation. The term "trustee" in Item 2, refers to each of United States Trust Company of New York and its parent company, U. S. Trust Corporation.</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answering Item 2 in this statement of eligibility as to matters peculiarly within the knowledge of the obligor or its directors, the trustee has relied upon information furnished to it by the obligor and will rely on information to be furnished by the obligor and the trustee disclaims responsibility for the accuracy or completeness of such information.</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Pursuant to the requirements of the Trust Indenture Act of 1939, the trustee, United States Trust Company of New York, a corporation organized and existing under the laws of the State of New York, has duly caused this statement of eligibility to be signed on its behalf by the undersigned, thereunto duly authorized, all in the City of New York, and State of New York, on the 28th day of June, 2001.</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 TRUST COMPANY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NEW YORK, Trustee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Louis P. Young</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Louis P. Young</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Vice President</w:t>
      </w:r>
    </w:p>
    <w:p>
      <w:pPr>
        <w:sectPr>
          <w:pgSz w:w="11900" w:h="16838" w:orient="portrait"/>
          <w:cols w:equalWidth="0" w:num="1">
            <w:col w:w="10239"/>
          </w:cols>
          <w:pgMar w:left="220" w:top="620" w:right="1440" w:bottom="1440" w:gutter="0" w:footer="0" w:header="0"/>
        </w:sectPr>
      </w:pPr>
    </w:p>
    <w:bookmarkStart w:id="276" w:name="page277"/>
    <w:bookmarkEnd w:id="276"/>
    <w:p>
      <w:pPr>
        <w:ind w:left="5040"/>
        <w:spacing w:after="0"/>
        <w:rPr>
          <w:sz w:val="20"/>
          <w:szCs w:val="20"/>
          <w:color w:val="auto"/>
        </w:rPr>
      </w:pPr>
      <w:r>
        <w:rPr>
          <w:rFonts w:ascii="Courier New" w:cs="Courier New" w:eastAsia="Courier New" w:hAnsi="Courier New"/>
          <w:sz w:val="14"/>
          <w:szCs w:val="14"/>
          <w:color w:val="auto"/>
        </w:rPr>
        <w:t>Exhibit T-1.6</w:t>
      </w:r>
    </w:p>
    <w:p>
      <w:pPr>
        <w:spacing w:after="0" w:line="8"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The consent of the trustee required by Section 321(b) of the Act.</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United States Trust Company of New York</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114 West 47th Street</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New York, NY 10036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10, 2000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5th Street, N.W.</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Washington, DC</w:t>
        <w:tab/>
        <w:t>20549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Gentlemen: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Pursuant to the provisions of Section 321(b) of the Trust Indenture Act of 1939, as amended by the Trust Indenture Reform Act of 1990, and subject to the limitations set forth therein, United States Trust Company of New York ("U.S. Trust") hereby consents that reports of examinations of U.S. Trust by Federal, State, Territorial or District authorities may be furnished by such authorities to the Securities and Exchange Commission upon request therefor.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 TRUST COMPANY</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OF NEW YORK</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/s/Gerard F. Ganey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Gerard F. Ganey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ectPr>
          <w:pgSz w:w="11900" w:h="16838" w:orient="portrait"/>
          <w:cols w:equalWidth="0" w:num="2">
            <w:col w:w="260" w:space="540"/>
            <w:col w:w="9439"/>
          </w:cols>
          <w:pgMar w:left="220" w:top="620" w:right="1440" w:bottom="1440" w:gutter="0" w:footer="0" w:header="0"/>
          <w:type w:val="continuous"/>
        </w:sectPr>
      </w:pPr>
    </w:p>
    <w:bookmarkStart w:id="277" w:name="page278"/>
    <w:bookmarkEnd w:id="277"/>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EXHIBIT T-1.7</w:t>
            </w:r>
          </w:p>
        </w:tc>
      </w:tr>
      <w:tr>
        <w:trPr>
          <w:trHeight w:val="334"/>
        </w:trPr>
        <w:tc>
          <w:tcPr>
            <w:tcW w:w="5300" w:type="dxa"/>
            <w:vAlign w:val="bottom"/>
          </w:tcPr>
          <w:p>
            <w:pPr>
              <w:ind w:left="1740"/>
              <w:spacing w:after="0"/>
              <w:rPr>
                <w:sz w:val="20"/>
                <w:szCs w:val="20"/>
                <w:color w:val="auto"/>
              </w:rPr>
            </w:pPr>
            <w:r>
              <w:rPr>
                <w:rFonts w:ascii="Courier New" w:cs="Courier New" w:eastAsia="Courier New" w:hAnsi="Courier New"/>
                <w:sz w:val="14"/>
                <w:szCs w:val="14"/>
                <w:color w:val="auto"/>
              </w:rPr>
              <w:t>UNITED STATES TRUST COMPANY OF NEW YORK</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5300" w:type="dxa"/>
            <w:vAlign w:val="bottom"/>
          </w:tcPr>
          <w:p>
            <w:pPr>
              <w:ind w:left="1920"/>
              <w:spacing w:after="0"/>
              <w:rPr>
                <w:sz w:val="20"/>
                <w:szCs w:val="20"/>
                <w:color w:val="auto"/>
              </w:rPr>
            </w:pPr>
            <w:r>
              <w:rPr>
                <w:rFonts w:ascii="Courier New" w:cs="Courier New" w:eastAsia="Courier New" w:hAnsi="Courier New"/>
                <w:sz w:val="14"/>
                <w:szCs w:val="14"/>
                <w:color w:val="auto"/>
              </w:rPr>
              <w:t>CONSOLIDATED STATEMENT OF CONDITION</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300" w:type="dxa"/>
            <w:vAlign w:val="bottom"/>
          </w:tcPr>
          <w:p>
            <w:pPr>
              <w:jc w:val="center"/>
              <w:ind w:left="1408"/>
              <w:spacing w:after="0"/>
              <w:rPr>
                <w:sz w:val="20"/>
                <w:szCs w:val="20"/>
                <w:color w:val="auto"/>
              </w:rPr>
            </w:pPr>
            <w:r>
              <w:rPr>
                <w:rFonts w:ascii="Courier New" w:cs="Courier New" w:eastAsia="Courier New" w:hAnsi="Courier New"/>
                <w:sz w:val="14"/>
                <w:szCs w:val="14"/>
                <w:color w:val="auto"/>
              </w:rPr>
              <w:t>MARCH 31, 2001</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300" w:type="dxa"/>
            <w:vAlign w:val="bottom"/>
          </w:tcPr>
          <w:p>
            <w:pPr>
              <w:jc w:val="center"/>
              <w:ind w:left="14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300" w:type="dxa"/>
            <w:vAlign w:val="bottom"/>
          </w:tcPr>
          <w:p>
            <w:pPr>
              <w:jc w:val="center"/>
              <w:ind w:left="1408"/>
              <w:spacing w:after="0"/>
              <w:rPr>
                <w:sz w:val="20"/>
                <w:szCs w:val="20"/>
                <w:color w:val="auto"/>
              </w:rPr>
            </w:pPr>
            <w:r>
              <w:rPr>
                <w:rFonts w:ascii="Courier New" w:cs="Courier New" w:eastAsia="Courier New" w:hAnsi="Courier New"/>
                <w:sz w:val="14"/>
                <w:szCs w:val="14"/>
                <w:color w:val="auto"/>
              </w:rPr>
              <w:t>($ IN THOUSANDS)</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60,744</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4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61,956</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w:t>
            </w:r>
          </w:p>
        </w:tc>
        <w:tc>
          <w:tcPr>
            <w:tcW w:w="44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687,786</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44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2,866,204</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Less: Allowance for Credit Losses</w:t>
            </w:r>
          </w:p>
        </w:tc>
        <w:tc>
          <w:tcPr>
            <w:tcW w:w="4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17,858</w:t>
            </w:r>
          </w:p>
        </w:tc>
      </w:tr>
      <w:tr>
        <w:trPr>
          <w:trHeight w:val="167"/>
        </w:trPr>
        <w:tc>
          <w:tcPr>
            <w:tcW w:w="5300" w:type="dxa"/>
            <w:vAlign w:val="bottom"/>
          </w:tcPr>
          <w:p>
            <w:pPr>
              <w:spacing w:after="0"/>
              <w:rPr>
                <w:sz w:val="14"/>
                <w:szCs w:val="14"/>
                <w:color w:val="auto"/>
              </w:rPr>
            </w:pP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Net Loans</w:t>
            </w:r>
          </w:p>
        </w:tc>
        <w:tc>
          <w:tcPr>
            <w:tcW w:w="4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2,848,346</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Premises and Equipment</w:t>
            </w:r>
          </w:p>
        </w:tc>
        <w:tc>
          <w:tcPr>
            <w:tcW w:w="4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65,105</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264,387</w:t>
            </w:r>
          </w:p>
        </w:tc>
      </w:tr>
      <w:tr>
        <w:trPr>
          <w:trHeight w:val="167"/>
        </w:trPr>
        <w:tc>
          <w:tcPr>
            <w:tcW w:w="5300" w:type="dxa"/>
            <w:vAlign w:val="bottom"/>
          </w:tcPr>
          <w:p>
            <w:pPr>
              <w:spacing w:after="0"/>
              <w:rPr>
                <w:sz w:val="14"/>
                <w:szCs w:val="14"/>
                <w:color w:val="auto"/>
              </w:rPr>
            </w:pP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Total Assets</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3,988,324</w:t>
            </w:r>
          </w:p>
        </w:tc>
      </w:tr>
      <w:tr>
        <w:trPr>
          <w:trHeight w:val="167"/>
        </w:trPr>
        <w:tc>
          <w:tcPr>
            <w:tcW w:w="5300" w:type="dxa"/>
            <w:vAlign w:val="bottom"/>
          </w:tcPr>
          <w:p>
            <w:pPr>
              <w:spacing w:after="0"/>
              <w:rPr>
                <w:sz w:val="14"/>
                <w:szCs w:val="14"/>
                <w:color w:val="auto"/>
              </w:rPr>
            </w:pP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Non-Interest Bearing</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635,939</w:t>
            </w: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Interest Bearing</w:t>
            </w:r>
          </w:p>
        </w:tc>
        <w:tc>
          <w:tcPr>
            <w:tcW w:w="4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2,338,442</w:t>
            </w:r>
          </w:p>
        </w:tc>
      </w:tr>
      <w:tr>
        <w:trPr>
          <w:trHeight w:val="167"/>
        </w:trPr>
        <w:tc>
          <w:tcPr>
            <w:tcW w:w="5300" w:type="dxa"/>
            <w:vAlign w:val="bottom"/>
          </w:tcPr>
          <w:p>
            <w:pPr>
              <w:spacing w:after="0"/>
              <w:rPr>
                <w:sz w:val="14"/>
                <w:szCs w:val="14"/>
                <w:color w:val="auto"/>
              </w:rPr>
            </w:pP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800"/>
              <w:spacing w:after="0"/>
              <w:rPr>
                <w:sz w:val="20"/>
                <w:szCs w:val="20"/>
                <w:color w:val="auto"/>
              </w:rPr>
            </w:pPr>
            <w:r>
              <w:rPr>
                <w:rFonts w:ascii="Courier New" w:cs="Courier New" w:eastAsia="Courier New" w:hAnsi="Courier New"/>
                <w:sz w:val="14"/>
                <w:szCs w:val="14"/>
                <w:color w:val="auto"/>
              </w:rPr>
              <w:t>Total Deposits</w:t>
            </w:r>
          </w:p>
        </w:tc>
        <w:tc>
          <w:tcPr>
            <w:tcW w:w="4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2,974,381</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Short-Term Credit Facilities</w:t>
            </w:r>
          </w:p>
        </w:tc>
        <w:tc>
          <w:tcPr>
            <w:tcW w:w="44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383,958</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Liabilities</w:t>
            </w:r>
          </w:p>
        </w:tc>
        <w:tc>
          <w:tcPr>
            <w:tcW w:w="4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300,828</w:t>
            </w:r>
          </w:p>
        </w:tc>
      </w:tr>
      <w:tr>
        <w:trPr>
          <w:trHeight w:val="167"/>
        </w:trPr>
        <w:tc>
          <w:tcPr>
            <w:tcW w:w="5300" w:type="dxa"/>
            <w:vAlign w:val="bottom"/>
          </w:tcPr>
          <w:p>
            <w:pPr>
              <w:spacing w:after="0"/>
              <w:rPr>
                <w:sz w:val="14"/>
                <w:szCs w:val="14"/>
                <w:color w:val="auto"/>
              </w:rPr>
            </w:pP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520"/>
              <w:spacing w:after="0"/>
              <w:rPr>
                <w:sz w:val="20"/>
                <w:szCs w:val="20"/>
                <w:color w:val="auto"/>
              </w:rPr>
            </w:pPr>
            <w:r>
              <w:rPr>
                <w:rFonts w:ascii="Courier New" w:cs="Courier New" w:eastAsia="Courier New" w:hAnsi="Courier New"/>
                <w:sz w:val="14"/>
                <w:szCs w:val="14"/>
                <w:color w:val="auto"/>
              </w:rPr>
              <w:t>Total Liabilities</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3,659,167</w:t>
            </w:r>
          </w:p>
        </w:tc>
      </w:tr>
      <w:tr>
        <w:trPr>
          <w:trHeight w:val="167"/>
        </w:trPr>
        <w:tc>
          <w:tcPr>
            <w:tcW w:w="5300" w:type="dxa"/>
            <w:vAlign w:val="bottom"/>
          </w:tcPr>
          <w:p>
            <w:pPr>
              <w:spacing w:after="0"/>
              <w:rPr>
                <w:sz w:val="14"/>
                <w:szCs w:val="14"/>
                <w:color w:val="auto"/>
              </w:rPr>
            </w:pPr>
          </w:p>
        </w:tc>
        <w:tc>
          <w:tcPr>
            <w:tcW w:w="1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4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14,995</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Capital Surplus</w:t>
            </w:r>
          </w:p>
        </w:tc>
        <w:tc>
          <w:tcPr>
            <w:tcW w:w="4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208,551</w:t>
            </w:r>
          </w:p>
        </w:tc>
      </w:tr>
      <w:tr>
        <w:trPr>
          <w:trHeight w:val="167"/>
        </w:trPr>
        <w:tc>
          <w:tcPr>
            <w:tcW w:w="530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4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123,254</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w:t>
            </w: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(17,643)</w:t>
            </w:r>
          </w:p>
        </w:tc>
      </w:tr>
      <w:tr>
        <w:trPr>
          <w:trHeight w:val="167"/>
        </w:trPr>
        <w:tc>
          <w:tcPr>
            <w:tcW w:w="530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0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329,157</w:t>
            </w:r>
          </w:p>
        </w:tc>
      </w:tr>
      <w:tr>
        <w:trPr>
          <w:trHeight w:val="167"/>
        </w:trPr>
        <w:tc>
          <w:tcPr>
            <w:tcW w:w="530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Total Liabilities and</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Stockholder's Equity</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3,988,324</w:t>
            </w:r>
          </w:p>
        </w:tc>
      </w:tr>
      <w:tr>
        <w:trPr>
          <w:trHeight w:val="167"/>
        </w:trPr>
        <w:tc>
          <w:tcPr>
            <w:tcW w:w="530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 Richard E. Brinkmann, Managing Director &amp; Comptroller of the named bank do hereby declare that this Statement of Condition has been prepared in conformance with the instructions issued by the appropriate regulatory authority and is true to the best of my knowledge and belief.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E. Brinkmann, Managing Director &amp; Controller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16, 2001</w:t>
      </w:r>
    </w:p>
    <w:p>
      <w:pPr>
        <w:sectPr>
          <w:pgSz w:w="11900" w:h="16838" w:orient="portrait"/>
          <w:cols w:equalWidth="0" w:num="1">
            <w:col w:w="10239"/>
          </w:cols>
          <w:pgMar w:left="220" w:top="620" w:right="1440" w:bottom="1440" w:gutter="0" w:footer="0" w:header="0"/>
        </w:sectPr>
      </w:pPr>
    </w:p>
    <w:bookmarkStart w:id="278" w:name="page279"/>
    <w:bookmarkEnd w:id="278"/>
    <w:p>
      <w:pPr>
        <w:ind w:left="5920"/>
        <w:spacing w:after="0"/>
        <w:rPr>
          <w:sz w:val="20"/>
          <w:szCs w:val="20"/>
          <w:color w:val="auto"/>
        </w:rPr>
      </w:pPr>
      <w:r>
        <w:rPr>
          <w:rFonts w:ascii="Courier New" w:cs="Courier New" w:eastAsia="Courier New" w:hAnsi="Courier New"/>
          <w:sz w:val="14"/>
          <w:szCs w:val="14"/>
          <w:color w:val="auto"/>
        </w:rPr>
        <w:t>Exhibit 99.1</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LETTER OF TRANSMITTAL</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TO TENDER FOR EXCHANGE</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8 7/8% SENIOR SUBORDINATED NOTES DUE 2011</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OF</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RADIO ONE, INC.</w:t>
      </w:r>
    </w:p>
    <w:p>
      <w:pPr>
        <w:spacing w:after="0" w:line="200" w:lineRule="exact"/>
        <w:rPr>
          <w:sz w:val="20"/>
          <w:szCs w:val="20"/>
          <w:color w:val="auto"/>
        </w:rPr>
      </w:pPr>
    </w:p>
    <w:p>
      <w:pPr>
        <w:spacing w:after="0" w:line="309"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PURSUANT TO THE PROSPECTUS DATED ., 2001</w:t>
      </w:r>
    </w:p>
    <w:p>
      <w:pPr>
        <w:spacing w:after="0" w:line="175" w:lineRule="exact"/>
        <w:rPr>
          <w:sz w:val="20"/>
          <w:szCs w:val="20"/>
          <w:color w:val="auto"/>
        </w:rPr>
      </w:pPr>
    </w:p>
    <w:p>
      <w:pPr>
        <w:ind w:left="180" w:hanging="171"/>
        <w:spacing w:after="0"/>
        <w:tabs>
          <w:tab w:leader="none" w:pos="180"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OFFER AND WITHDRAWAL RIGHTS WILL EXPIRE AT 5:00 P.M., NEW YORK CITY TIME, ON ., 2001, UNLESS EXTENDED (THE "EXPIRATION DATE").</w:t>
      </w:r>
    </w:p>
    <w:p>
      <w:pPr>
        <w:ind w:left="180" w:hanging="171"/>
        <w:spacing w:after="0"/>
        <w:tabs>
          <w:tab w:leader="none" w:pos="180"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PLEASE READ CAREFULLY THE ATTACHED INSTRUCTIONS</w:t>
      </w:r>
    </w:p>
    <w:p>
      <w:pPr>
        <w:spacing w:after="0" w:line="175"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If you desire to accept the Exchange Offer, this Letter of Transmittal should be completed, signed, and submitted to the Exchange Agent:</w:t>
      </w:r>
    </w:p>
    <w:p>
      <w:pPr>
        <w:spacing w:after="0" w:line="200" w:lineRule="exact"/>
        <w:rPr>
          <w:sz w:val="20"/>
          <w:szCs w:val="20"/>
          <w:color w:val="auto"/>
        </w:rPr>
      </w:pPr>
    </w:p>
    <w:p>
      <w:pPr>
        <w:spacing w:after="0" w:line="294"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By Overnight Courier</w:t>
            </w:r>
          </w:p>
        </w:tc>
        <w:tc>
          <w:tcPr>
            <w:tcW w:w="3340" w:type="dxa"/>
            <w:vAlign w:val="bottom"/>
          </w:tcPr>
          <w:p>
            <w:pPr>
              <w:ind w:left="1300"/>
              <w:spacing w:after="0"/>
              <w:rPr>
                <w:sz w:val="20"/>
                <w:szCs w:val="20"/>
                <w:color w:val="auto"/>
              </w:rPr>
            </w:pPr>
            <w:r>
              <w:rPr>
                <w:rFonts w:ascii="Courier New" w:cs="Courier New" w:eastAsia="Courier New" w:hAnsi="Courier New"/>
                <w:sz w:val="14"/>
                <w:szCs w:val="14"/>
                <w:color w:val="auto"/>
              </w:rPr>
              <w:t>By Hand</w:t>
            </w:r>
          </w:p>
        </w:tc>
        <w:tc>
          <w:tcPr>
            <w:tcW w:w="29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By Registered or</w:t>
            </w:r>
          </w:p>
        </w:tc>
      </w:tr>
      <w:tr>
        <w:trPr>
          <w:trHeight w:val="167"/>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and</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by Hand After 4:30 p.m.:</w:t>
            </w:r>
          </w:p>
        </w:tc>
        <w:tc>
          <w:tcPr>
            <w:tcW w:w="3340" w:type="dxa"/>
            <w:vAlign w:val="bottom"/>
          </w:tcPr>
          <w:p>
            <w:pPr>
              <w:jc w:val="center"/>
              <w:spacing w:after="0"/>
              <w:rPr>
                <w:sz w:val="20"/>
                <w:szCs w:val="20"/>
                <w:color w:val="auto"/>
              </w:rPr>
            </w:pPr>
            <w:r>
              <w:rPr>
                <w:rFonts w:ascii="Courier New" w:cs="Courier New" w:eastAsia="Courier New" w:hAnsi="Courier New"/>
                <w:sz w:val="14"/>
                <w:szCs w:val="14"/>
                <w:color w:val="auto"/>
              </w:rPr>
              <w:t>Prior to 4:30 p.m.:</w:t>
            </w:r>
          </w:p>
        </w:tc>
        <w:tc>
          <w:tcPr>
            <w:tcW w:w="29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Certified Mail:</w:t>
            </w:r>
          </w:p>
        </w:tc>
      </w:tr>
      <w:tr>
        <w:trPr>
          <w:trHeight w:val="334"/>
        </w:trPr>
        <w:tc>
          <w:tcPr>
            <w:tcW w:w="2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United States Trust Company</w:t>
            </w:r>
          </w:p>
        </w:tc>
        <w:tc>
          <w:tcPr>
            <w:tcW w:w="3340" w:type="dxa"/>
            <w:vAlign w:val="bottom"/>
          </w:tcPr>
          <w:p>
            <w:pPr>
              <w:jc w:val="center"/>
              <w:spacing w:after="0"/>
              <w:rPr>
                <w:sz w:val="20"/>
                <w:szCs w:val="20"/>
                <w:color w:val="auto"/>
              </w:rPr>
            </w:pPr>
            <w:r>
              <w:rPr>
                <w:rFonts w:ascii="Courier New" w:cs="Courier New" w:eastAsia="Courier New" w:hAnsi="Courier New"/>
                <w:sz w:val="14"/>
                <w:szCs w:val="14"/>
                <w:color w:val="auto"/>
              </w:rPr>
              <w:t>United States Trust Company</w:t>
            </w:r>
          </w:p>
        </w:tc>
        <w:tc>
          <w:tcPr>
            <w:tcW w:w="292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United States Trust Company</w:t>
            </w:r>
          </w:p>
        </w:tc>
      </w:tr>
      <w:tr>
        <w:trPr>
          <w:trHeight w:val="167"/>
        </w:trPr>
        <w:tc>
          <w:tcPr>
            <w:tcW w:w="300" w:type="dxa"/>
            <w:vAlign w:val="bottom"/>
          </w:tcPr>
          <w:p>
            <w:pPr>
              <w:spacing w:after="0"/>
              <w:rPr>
                <w:sz w:val="14"/>
                <w:szCs w:val="14"/>
                <w:color w:val="auto"/>
              </w:rPr>
            </w:pPr>
          </w:p>
        </w:tc>
        <w:tc>
          <w:tcPr>
            <w:tcW w:w="2640" w:type="dxa"/>
            <w:vAlign w:val="bottom"/>
          </w:tcPr>
          <w:p>
            <w:pPr>
              <w:ind w:left="480"/>
              <w:spacing w:after="0"/>
              <w:rPr>
                <w:sz w:val="20"/>
                <w:szCs w:val="20"/>
                <w:color w:val="auto"/>
              </w:rPr>
            </w:pPr>
            <w:r>
              <w:rPr>
                <w:rFonts w:ascii="Courier New" w:cs="Courier New" w:eastAsia="Courier New" w:hAnsi="Courier New"/>
                <w:sz w:val="14"/>
                <w:szCs w:val="14"/>
                <w:color w:val="auto"/>
              </w:rPr>
              <w:t>of New York</w:t>
            </w:r>
          </w:p>
        </w:tc>
        <w:tc>
          <w:tcPr>
            <w:tcW w:w="3340" w:type="dxa"/>
            <w:vAlign w:val="bottom"/>
          </w:tcPr>
          <w:p>
            <w:pPr>
              <w:jc w:val="center"/>
              <w:spacing w:after="0"/>
              <w:rPr>
                <w:sz w:val="20"/>
                <w:szCs w:val="20"/>
                <w:color w:val="auto"/>
              </w:rPr>
            </w:pPr>
            <w:r>
              <w:rPr>
                <w:rFonts w:ascii="Courier New" w:cs="Courier New" w:eastAsia="Courier New" w:hAnsi="Courier New"/>
                <w:sz w:val="14"/>
                <w:szCs w:val="14"/>
                <w:color w:val="auto"/>
              </w:rPr>
              <w:t>of New York</w:t>
            </w:r>
          </w:p>
        </w:tc>
        <w:tc>
          <w:tcPr>
            <w:tcW w:w="292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of New York</w:t>
            </w:r>
          </w:p>
        </w:tc>
      </w:tr>
      <w:tr>
        <w:trPr>
          <w:trHeight w:val="167"/>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Broad Street, 14th Floor</w:t>
            </w:r>
          </w:p>
        </w:tc>
        <w:tc>
          <w:tcPr>
            <w:tcW w:w="3340" w:type="dxa"/>
            <w:vAlign w:val="bottom"/>
          </w:tcPr>
          <w:p>
            <w:pPr>
              <w:ind w:left="700"/>
              <w:spacing w:after="0"/>
              <w:rPr>
                <w:sz w:val="20"/>
                <w:szCs w:val="20"/>
                <w:color w:val="auto"/>
              </w:rPr>
            </w:pPr>
            <w:r>
              <w:rPr>
                <w:rFonts w:ascii="Courier New" w:cs="Courier New" w:eastAsia="Courier New" w:hAnsi="Courier New"/>
                <w:sz w:val="14"/>
                <w:szCs w:val="14"/>
                <w:color w:val="auto"/>
              </w:rPr>
              <w:t>30 Broad Street, B-Level</w:t>
            </w:r>
          </w:p>
        </w:tc>
        <w:tc>
          <w:tcPr>
            <w:tcW w:w="292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112 Bowling Green Station</w:t>
            </w:r>
          </w:p>
        </w:tc>
      </w:tr>
      <w:tr>
        <w:trPr>
          <w:trHeight w:val="167"/>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New</w:t>
            </w:r>
          </w:p>
        </w:tc>
        <w:tc>
          <w:tcPr>
            <w:tcW w:w="2640" w:type="dxa"/>
            <w:vAlign w:val="bottom"/>
          </w:tcPr>
          <w:p>
            <w:pPr>
              <w:ind w:left="40"/>
              <w:spacing w:after="0"/>
              <w:rPr>
                <w:sz w:val="20"/>
                <w:szCs w:val="20"/>
                <w:color w:val="auto"/>
              </w:rPr>
            </w:pPr>
            <w:r>
              <w:rPr>
                <w:rFonts w:ascii="Courier New" w:cs="Courier New" w:eastAsia="Courier New" w:hAnsi="Courier New"/>
                <w:sz w:val="14"/>
                <w:szCs w:val="14"/>
                <w:color w:val="auto"/>
              </w:rPr>
              <w:t>York, New York 10004-2304</w:t>
            </w:r>
          </w:p>
        </w:tc>
        <w:tc>
          <w:tcPr>
            <w:tcW w:w="3340" w:type="dxa"/>
            <w:vAlign w:val="bottom"/>
          </w:tcPr>
          <w:p>
            <w:pPr>
              <w:jc w:val="center"/>
              <w:spacing w:after="0"/>
              <w:rPr>
                <w:sz w:val="20"/>
                <w:szCs w:val="20"/>
                <w:color w:val="auto"/>
              </w:rPr>
            </w:pPr>
            <w:r>
              <w:rPr>
                <w:rFonts w:ascii="Courier New" w:cs="Courier New" w:eastAsia="Courier New" w:hAnsi="Courier New"/>
                <w:sz w:val="14"/>
                <w:szCs w:val="14"/>
                <w:color w:val="auto"/>
              </w:rPr>
              <w:t>New York, New York 10004-2304</w:t>
            </w:r>
          </w:p>
        </w:tc>
        <w:tc>
          <w:tcPr>
            <w:tcW w:w="292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New York, New York 10274-0084</w:t>
            </w:r>
          </w:p>
        </w:tc>
      </w:tr>
    </w:tbl>
    <w:p>
      <w:pPr>
        <w:spacing w:after="0" w:line="338"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Delivery of this Letter of Transmittal to an address other than as set forth above will not constitute a valid delivery.</w:t>
      </w:r>
    </w:p>
    <w:p>
      <w:pPr>
        <w:spacing w:after="0" w:line="160" w:lineRule="exact"/>
        <w:rPr>
          <w:sz w:val="20"/>
          <w:szCs w:val="20"/>
          <w:color w:val="auto"/>
        </w:rPr>
      </w:pPr>
    </w:p>
    <w:p>
      <w:pPr>
        <w:ind w:right="3799" w:firstLine="434"/>
        <w:spacing w:after="0" w:line="255" w:lineRule="auto"/>
        <w:rPr>
          <w:sz w:val="20"/>
          <w:szCs w:val="20"/>
          <w:color w:val="auto"/>
        </w:rPr>
      </w:pPr>
      <w:r>
        <w:rPr>
          <w:rFonts w:ascii="Courier New" w:cs="Courier New" w:eastAsia="Courier New" w:hAnsi="Courier New"/>
          <w:sz w:val="14"/>
          <w:szCs w:val="14"/>
          <w:color w:val="auto"/>
        </w:rPr>
        <w:t>For any questions regarding this Letter of Transmittal or for any additional information, you may contact the Exchange Agent by telephone at 800-548-6565 or by facsimile at 646-458-1111.</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undersigned hereby acknowledges receipt of the Prospectus dated ., 2001 (the "Prospectus"), of Radio One, Inc., a Delaware corporation (the "Issuer"), and this Letter of Transmittal (the "Letter of Transmittal"), that together constitute the Issuer's offer (the "Exchange Offer") to exchange $1,000 in principal amount of its 8 7/8% Series B Senior Subordinated Notes due 2011 (the "Exchange Notes"), which have been registered under the Securities Act of 1933, as amended (together with the rules and regulations promulgated thereunder, the "Securities Act"), pursuant to a Registration Statement, for each $1,000 in principal amount of its outstanding 8 7/8% Series A Senior Subordinated Notes due 2011 (the "Notes"), of which $300,000,000 aggregate principal amount is outstanding. Capitalized terms used but not defined herein have the meanings ascribed to them in the Prospectus.</w:t>
      </w:r>
    </w:p>
    <w:p>
      <w:pPr>
        <w:spacing w:after="0" w:line="33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undersigned hereby tenders the Notes described in Box 1 below (the "Tendered Notes") pursuant to the terms and conditions described in the Prospectus and this Letter of Transmittal. The undersigned is the registered owner of all the Tendered Notes and the undersigned represents that it has received from each beneficial owner of the Tendered Notes ("Beneficial Owners") a duly completed and executed form of "Instruction to Registered Holder and/or Book-Entry Transfer Facility Participant from Beneficial Owner" accompanying this Letter of Transmittal, instructing the undersigned to take the action described in this Letter of Transmittal.</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Subject to, and effective upon, the acceptance for exchange of the Tendered Notes, the undersigned hereby exchanges, assigns, and transfers to, or upon the order of, the Issuer, all right, title, and interest in, to, and under the Tendered Notes.</w:t>
      </w:r>
    </w:p>
    <w:p>
      <w:pPr>
        <w:sectPr>
          <w:pgSz w:w="11900" w:h="16838" w:orient="portrait"/>
          <w:cols w:equalWidth="0" w:num="1">
            <w:col w:w="10239"/>
          </w:cols>
          <w:pgMar w:left="220" w:top="476" w:right="1440" w:bottom="1440" w:gutter="0" w:footer="0" w:header="0"/>
        </w:sectPr>
      </w:pPr>
    </w:p>
    <w:bookmarkStart w:id="279" w:name="page280"/>
    <w:bookmarkEnd w:id="279"/>
    <w:p>
      <w:pPr>
        <w:ind w:right="3279" w:firstLine="434"/>
        <w:spacing w:after="0" w:line="254" w:lineRule="auto"/>
        <w:rPr>
          <w:sz w:val="20"/>
          <w:szCs w:val="20"/>
          <w:color w:val="auto"/>
        </w:rPr>
      </w:pPr>
      <w:r>
        <w:rPr>
          <w:rFonts w:ascii="Courier New" w:cs="Courier New" w:eastAsia="Courier New" w:hAnsi="Courier New"/>
          <w:sz w:val="14"/>
          <w:szCs w:val="14"/>
          <w:color w:val="auto"/>
        </w:rPr>
        <w:t>Please issue the Exchange Notes exchanged for Tendered Notes in the name(s) of the undersigned. Similarly, unless otherwise indicated under "Special Delivery Instructions" below (Box 3), please send or cause to be sent the certificates for the Exchange Notes (and accompanying documents, as appropriate) to the undersigned at the address shown below in Box 1.</w:t>
      </w:r>
    </w:p>
    <w:p>
      <w:pPr>
        <w:spacing w:after="0" w:line="16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undersigned hereby irrevocably constitutes and appoints the Exchange Agent as the true and lawful agent and attorney in fact of the undersigned with respect to the Tendered Notes, with full power of substitution (such power of attorney being deemed to be an irrevocable power coupled with an interest), to</w:t>
      </w:r>
    </w:p>
    <w:p>
      <w:pPr>
        <w:spacing w:after="0" w:line="2" w:lineRule="exact"/>
        <w:rPr>
          <w:sz w:val="20"/>
          <w:szCs w:val="20"/>
          <w:color w:val="auto"/>
        </w:rPr>
      </w:pPr>
    </w:p>
    <w:p>
      <w:pPr>
        <w:ind w:right="3379" w:firstLine="9"/>
        <w:spacing w:after="0" w:line="253" w:lineRule="auto"/>
        <w:tabs>
          <w:tab w:leader="none" w:pos="347"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the Tendered Notes to the Issuer or cause ownership of the Tendered Notes to be transferred to, or upon the order of, the Issuer, on the books of the registrar for the Notes and deliver all accompanying evidences of transfer and authenticity to, or upon the order of, the Issuer upon receipt by the Exchange Agent, as the undersigned's agent, of the Exchange Notes to which the undersigned is entitled upon acceptance by the Issuer of the Tendered Notes pursuant to the Exchange Offer and (ii) receive all benefits and otherwise exercise all rights of beneficial ownership of the Tendered Notes, all in accordance with the terms of the Exchange Offer.</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undersigned understands that tenders of Notes pursuant to the procedures described under the caption "Exchange Offer" in the Prospectus and in the instructions hereto will constitute a binding agreement between the undersigned and the Issuer upon the terms and subject to the conditions of the Exchange Offer, subject only to withdrawal of such tenders on the terms set forth in the Prospectus under the caption "Exchange Offer; Registration Rights--Withdrawal of Tenders." All authority herein conferred or agreed to be conferred shall survive the death or incapacity of the undersigned and any Beneficial Owner(s), and every obligation of the undersigned or any Beneficial Owners hereunder shall be binding upon the heirs, representatives, successors, and assigns of the undersigned and such Beneficial Owner(s).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undersigned hereby represents and warrants that the undersigned has full power and authority to tender, exchange, assign, and transfer the Tendered Notes and that the Issuer will acquire good and unencumbered title thereto, free and clear of all liens, restrictions, charges, encumbrances, and adverse claims when the Tendered Notes are acquired by the Issuer as contemplated herein. The undersigned and each Beneficial Owner will, upon request, execute and deliver any additional documents reasonably requested by the Issuer or the Exchange Agent as necessary or desirable to complete and give effect to the transactions contemplated hereby.</w:t>
      </w:r>
    </w:p>
    <w:p>
      <w:pPr>
        <w:spacing w:after="0" w:line="164"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The undersigned hereby represents and warrants that the information set forth in Box 2 is true and correct.</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By accepting the Exchange Offer, the undersigned hereby represents and warrants that (i) the Exchange Notes to be acquired by the undersigned and any Beneficial Owner(s) in connection with the Exchange Offer are being acquired by the undersigned and any Beneficial Owner(s) in the ordinary course of business of the undersigned and any Beneficial Owner(s), (ii) the undersigned and each Beneficial Owner that are not participating broker-dealers, are not engaged in and do not intend to engage in, and have no arrangement or understanding with any person to engage in, a distribution of the Exchange Notes, (iii) except as otherwise disclosed in writing herewith, neither the undersigned nor any Beneficial Owner is an "affiliate," as defined in Rule 405 under the Securities Act, of the Issuer and (iv) the undersigned and each Beneficial Owner acknowledge and agree that any person participating in the Exchange Offer with the intention or for the purpose of distributing the Exchange Notes must comply with the registration and prospectus delivery requirements of the Securities Act in connection with a secondary resale of the Exchange Notes acquired by such person and cannot rely on the position of the Staff of the Securities and Exchange Commission (the "Commission") set forth in the no-action letters that are discussed in the section of the Prospectus entitled "Exchange Offer; Registration Rights--Resales of the Exchange Notes." In addition, by accepting the Exchange Offer, the undersigned hereby (i) represents and warrants that, if the undersigned or any Beneficial Owner of the Notes is a participating broker-dealer, such participating broker-dealer acquired the Notes for its own account as a result of market-making activities or other trading activities and has not entered into any arrangement or understanding with the Company or any affiliate of the Company (within the meaning of Rule 405 under the Securities Act) to distribute the Exchange Notes to be received in the Exchange Offer and</w:t>
      </w:r>
    </w:p>
    <w:p>
      <w:pPr>
        <w:spacing w:after="0" w:line="10" w:lineRule="exact"/>
        <w:rPr>
          <w:sz w:val="20"/>
          <w:szCs w:val="20"/>
          <w:color w:val="auto"/>
        </w:rPr>
      </w:pPr>
    </w:p>
    <w:p>
      <w:pPr>
        <w:ind w:left="440" w:hanging="431"/>
        <w:spacing w:after="0"/>
        <w:tabs>
          <w:tab w:leader="none" w:pos="44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acknowledges that, by receiving Exchange Notes for its own account in</w:t>
      </w:r>
    </w:p>
    <w:p>
      <w:pPr>
        <w:spacing w:after="0" w:line="8"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for Notes, where such Notes were acquired as a result of market-making activities or other trading activities, such participating broker-dealer will deliver a prospectus meeting the requirements of the Securities Act in connection with any resale of such Exchange Notes; however, by so acknowledging and by delivering a prospectus, the undersigned will not be deemed to admit that it is an "underwriter" within the meaning of the Securities Act.</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80" w:name="page281"/>
    <w:bookmarkEnd w:id="280"/>
    <w:p>
      <w:pPr>
        <w:spacing w:after="0"/>
        <w:tabs>
          <w:tab w:leader="none" w:pos="420" w:val="left"/>
        </w:tabs>
        <w:rPr>
          <w:sz w:val="20"/>
          <w:szCs w:val="20"/>
          <w:color w:val="auto"/>
        </w:rPr>
      </w:pPr>
      <w:r>
        <w:rPr>
          <w:rFonts w:ascii="Courier New" w:cs="Courier New" w:eastAsia="Courier New" w:hAnsi="Courier New"/>
          <w:sz w:val="14"/>
          <w:szCs w:val="14"/>
          <w:color w:val="auto"/>
        </w:rPr>
        <w:t>[_]</w:t>
        <w:tab/>
        <w:t>CHECK HERE IF TENDERED NOTES ARE BEING DELIVERED HEREWITH.</w:t>
      </w:r>
    </w:p>
    <w:p>
      <w:pPr>
        <w:spacing w:after="0" w:line="175" w:lineRule="exact"/>
        <w:rPr>
          <w:sz w:val="20"/>
          <w:szCs w:val="20"/>
          <w:color w:val="auto"/>
        </w:rPr>
      </w:pPr>
    </w:p>
    <w:p>
      <w:pPr>
        <w:ind w:left="440" w:right="3279" w:hanging="433"/>
        <w:spacing w:after="0" w:line="255" w:lineRule="auto"/>
        <w:tabs>
          <w:tab w:leader="none" w:pos="420" w:val="left"/>
        </w:tabs>
        <w:rPr>
          <w:sz w:val="20"/>
          <w:szCs w:val="20"/>
          <w:color w:val="auto"/>
        </w:rPr>
      </w:pPr>
      <w:r>
        <w:rPr>
          <w:rFonts w:ascii="Courier New" w:cs="Courier New" w:eastAsia="Courier New" w:hAnsi="Courier New"/>
          <w:sz w:val="14"/>
          <w:szCs w:val="14"/>
          <w:color w:val="auto"/>
        </w:rPr>
        <w:t>[_]</w:t>
        <w:tab/>
        <w:t>CHECK HERE IF TENDERED NOTES ARE BEING DELIVERED PURSUANT TO A NOTICE OF GUARANTEED DELIVERY PREVIOUSLY DELIVERED TO THE EXCHANGE AGENT AND COMPLETE "USE OF GUARANTEED DELIVERY" BELOW (Box 4).</w:t>
      </w:r>
    </w:p>
    <w:p>
      <w:pPr>
        <w:spacing w:after="0" w:line="16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HERE IF TENDERED NOTES ARE BEING DELIVERED BY BOOK-ENTRY TRANSFER</w:t>
      </w:r>
    </w:p>
    <w:p>
      <w:pPr>
        <w:spacing w:after="0" w:line="8" w:lineRule="exact"/>
        <w:rPr>
          <w:sz w:val="20"/>
          <w:szCs w:val="20"/>
          <w:color w:val="auto"/>
        </w:rPr>
      </w:pPr>
    </w:p>
    <w:p>
      <w:pPr>
        <w:ind w:left="440" w:right="3379"/>
        <w:spacing w:after="0" w:line="258" w:lineRule="auto"/>
        <w:rPr>
          <w:sz w:val="20"/>
          <w:szCs w:val="20"/>
          <w:color w:val="auto"/>
        </w:rPr>
      </w:pPr>
      <w:r>
        <w:rPr>
          <w:rFonts w:ascii="Courier New" w:cs="Courier New" w:eastAsia="Courier New" w:hAnsi="Courier New"/>
          <w:sz w:val="14"/>
          <w:szCs w:val="14"/>
          <w:color w:val="auto"/>
        </w:rPr>
        <w:t>MADE TO THE ACCOUNT MAINTAINED BY THE EXCHANGE AGENT WITH THE BOOK-ENTRY TRANSFER FACILITY AND COMPLETE "USE OF BOOK-ENTRY TRANSFER" BELOW (Box 5).</w:t>
      </w:r>
    </w:p>
    <w:p>
      <w:pPr>
        <w:spacing w:after="0" w:line="160"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PLEASE READ THIS ENTIRE LETTER OF TRANSMITTAL</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CAREFULLY BEFORE COMPLETING THE BOXES</w:t>
      </w:r>
    </w:p>
    <w:p>
      <w:pPr>
        <w:spacing w:after="0" w:line="200" w:lineRule="exact"/>
        <w:rPr>
          <w:sz w:val="20"/>
          <w:szCs w:val="20"/>
          <w:color w:val="auto"/>
        </w:rPr>
      </w:pPr>
    </w:p>
    <w:p>
      <w:pPr>
        <w:spacing w:after="0" w:line="309" w:lineRule="exact"/>
        <w:rPr>
          <w:sz w:val="20"/>
          <w:szCs w:val="20"/>
          <w:color w:val="auto"/>
        </w:rPr>
      </w:pPr>
    </w:p>
    <w:p>
      <w:pPr>
        <w:ind w:left="180" w:hanging="171"/>
        <w:spacing w:after="0"/>
        <w:tabs>
          <w:tab w:leader="none" w:pos="180"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BOX 1</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DESCRIPTION OF NOTES TENDERED</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(Attach additional signed pages, if necessary)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Name(s)</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and Address(es) of</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Registered Note</w:t>
            </w:r>
          </w:p>
        </w:tc>
        <w:tc>
          <w:tcPr>
            <w:tcW w:w="15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Certificate</w:t>
            </w:r>
          </w:p>
        </w:tc>
        <w:tc>
          <w:tcPr>
            <w:tcW w:w="1900" w:type="dxa"/>
            <w:vAlign w:val="bottom"/>
          </w:tcPr>
          <w:p>
            <w:pPr>
              <w:ind w:left="600"/>
              <w:spacing w:after="0"/>
              <w:rPr>
                <w:sz w:val="20"/>
                <w:szCs w:val="20"/>
                <w:color w:val="auto"/>
              </w:rPr>
            </w:pPr>
            <w:r>
              <w:rPr>
                <w:rFonts w:ascii="Courier New" w:cs="Courier New" w:eastAsia="Courier New" w:hAnsi="Courier New"/>
                <w:sz w:val="14"/>
                <w:szCs w:val="14"/>
                <w:color w:val="auto"/>
              </w:rPr>
              <w:t>Aggregate</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Aggregate</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Holder(s),</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exactly as name(s)</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appear(s) on Note</w:t>
            </w:r>
          </w:p>
        </w:tc>
        <w:tc>
          <w:tcPr>
            <w:tcW w:w="1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Number(s)</w:t>
            </w:r>
          </w:p>
        </w:tc>
        <w:tc>
          <w:tcPr>
            <w:tcW w:w="19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Principal Amount</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Principal Amount</w:t>
            </w:r>
          </w:p>
        </w:tc>
      </w:tr>
      <w:tr>
        <w:trPr>
          <w:trHeight w:val="167"/>
        </w:trPr>
        <w:tc>
          <w:tcPr>
            <w:tcW w:w="43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Certificate(s) (Please fill in, if blank)</w:t>
            </w:r>
          </w:p>
        </w:tc>
        <w:tc>
          <w:tcPr>
            <w:tcW w:w="15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of Notes*</w:t>
            </w:r>
          </w:p>
        </w:tc>
        <w:tc>
          <w:tcPr>
            <w:tcW w:w="19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Represented by</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Tendered**</w:t>
            </w:r>
          </w:p>
        </w:tc>
      </w:tr>
      <w:tr>
        <w:trPr>
          <w:trHeight w:val="167"/>
        </w:trPr>
        <w:tc>
          <w:tcPr>
            <w:tcW w:w="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Certificate(s)</w:t>
            </w:r>
          </w:p>
        </w:tc>
        <w:tc>
          <w:tcPr>
            <w:tcW w:w="1560" w:type="dxa"/>
            <w:vAlign w:val="bottom"/>
          </w:tcPr>
          <w:p>
            <w:pPr>
              <w:spacing w:after="0"/>
              <w:rPr>
                <w:sz w:val="14"/>
                <w:szCs w:val="14"/>
                <w:color w:val="auto"/>
              </w:rPr>
            </w:pPr>
          </w:p>
        </w:tc>
      </w:tr>
    </w:tbl>
    <w:p>
      <w:pPr>
        <w:spacing w:after="0" w:line="4" w:lineRule="exact"/>
        <w:rPr>
          <w:sz w:val="20"/>
          <w:szCs w:val="20"/>
          <w:color w:val="auto"/>
        </w:rPr>
      </w:pPr>
    </w:p>
    <w:p>
      <w:pPr>
        <w:ind w:left="180" w:hanging="171"/>
        <w:spacing w:after="0"/>
        <w:tabs>
          <w:tab w:leader="none" w:pos="18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Need not be completed by persons tendering by book-entry transfer.</w:t>
      </w:r>
    </w:p>
    <w:p>
      <w:pPr>
        <w:spacing w:after="0" w:line="8" w:lineRule="exact"/>
        <w:rPr>
          <w:rFonts w:ascii="Courier New" w:cs="Courier New" w:eastAsia="Courier New" w:hAnsi="Courier New"/>
          <w:sz w:val="14"/>
          <w:szCs w:val="14"/>
          <w:color w:val="auto"/>
        </w:rPr>
      </w:pPr>
    </w:p>
    <w:p>
      <w:pPr>
        <w:ind w:left="260" w:right="3459" w:hanging="2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The minimum permitted tender is $1,000 in principal amount of Notes. All other tenders must be in integral multiples of $1,000 of principal amount. Unless otherwise indicated in this column, the principal amount of all Note Certificates identified in this Box 1 or delivered to the Exchange Agent herewith shall be deemed tendered. See Instruction 4.</w:t>
      </w:r>
    </w:p>
    <w:p>
      <w:pPr>
        <w:spacing w:after="0" w:line="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281" w:name="page282"/>
    <w:bookmarkEnd w:id="281"/>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BOX 2</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BENEFICIAL OWNER(S)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960"/>
        <w:spacing w:after="0"/>
        <w:tabs>
          <w:tab w:leader="none" w:pos="5980" w:val="left"/>
        </w:tabs>
        <w:rPr>
          <w:sz w:val="20"/>
          <w:szCs w:val="20"/>
          <w:color w:val="auto"/>
        </w:rPr>
      </w:pPr>
      <w:r>
        <w:rPr>
          <w:rFonts w:ascii="Courier New" w:cs="Courier New" w:eastAsia="Courier New" w:hAnsi="Courier New"/>
          <w:sz w:val="14"/>
          <w:szCs w:val="14"/>
          <w:color w:val="auto"/>
        </w:rPr>
        <w:t>State of Principal Residence of Each</w:t>
      </w:r>
      <w:r>
        <w:rPr>
          <w:sz w:val="20"/>
          <w:szCs w:val="20"/>
          <w:color w:val="auto"/>
        </w:rPr>
        <w:tab/>
      </w:r>
      <w:r>
        <w:rPr>
          <w:rFonts w:ascii="Courier New" w:cs="Courier New" w:eastAsia="Courier New" w:hAnsi="Courier New"/>
          <w:sz w:val="14"/>
          <w:szCs w:val="14"/>
          <w:color w:val="auto"/>
        </w:rPr>
        <w:t>Principal Amount of Tendered Notes</w:t>
      </w:r>
    </w:p>
    <w:p>
      <w:pPr>
        <w:spacing w:after="0" w:line="8" w:lineRule="exact"/>
        <w:rPr>
          <w:sz w:val="20"/>
          <w:szCs w:val="20"/>
          <w:color w:val="auto"/>
        </w:rPr>
      </w:pPr>
    </w:p>
    <w:p>
      <w:pPr>
        <w:ind w:left="1060"/>
        <w:spacing w:after="0"/>
        <w:tabs>
          <w:tab w:leader="none" w:pos="5900" w:val="left"/>
        </w:tabs>
        <w:rPr>
          <w:sz w:val="20"/>
          <w:szCs w:val="20"/>
          <w:color w:val="auto"/>
        </w:rPr>
      </w:pPr>
      <w:r>
        <w:rPr>
          <w:rFonts w:ascii="Courier New" w:cs="Courier New" w:eastAsia="Courier New" w:hAnsi="Courier New"/>
          <w:sz w:val="14"/>
          <w:szCs w:val="14"/>
          <w:color w:val="auto"/>
        </w:rPr>
        <w:t>Beneficial Owner of Tendered Notes</w:t>
      </w:r>
      <w:r>
        <w:rPr>
          <w:sz w:val="20"/>
          <w:szCs w:val="20"/>
          <w:color w:val="auto"/>
        </w:rPr>
        <w:tab/>
      </w:r>
      <w:r>
        <w:rPr>
          <w:rFonts w:ascii="Courier New" w:cs="Courier New" w:eastAsia="Courier New" w:hAnsi="Courier New"/>
          <w:sz w:val="14"/>
          <w:szCs w:val="14"/>
          <w:color w:val="auto"/>
        </w:rPr>
        <w:t>Held for Account of Beneficial Owner</w:t>
      </w:r>
    </w:p>
    <w:p>
      <w:pPr>
        <w:spacing w:after="0" w:line="8" w:lineRule="exact"/>
        <w:rPr>
          <w:sz w:val="20"/>
          <w:szCs w:val="20"/>
          <w:color w:val="auto"/>
        </w:rPr>
      </w:pPr>
    </w:p>
    <w:p>
      <w:pPr>
        <w:ind w:left="180" w:hanging="171"/>
        <w:spacing w:after="0"/>
        <w:tabs>
          <w:tab w:leader="none" w:pos="18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4"/>
          <w:szCs w:val="14"/>
          <w:color w:val="auto"/>
        </w:rPr>
        <w:t>BOX 3</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SPECIAL DELIVERY INSTRUCTIONS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(See Instructions 5, 6 and 7)</w:t>
      </w:r>
    </w:p>
    <w:p>
      <w:pPr>
        <w:spacing w:after="0" w:line="175" w:lineRule="exact"/>
        <w:rPr>
          <w:sz w:val="20"/>
          <w:szCs w:val="20"/>
          <w:color w:val="auto"/>
        </w:rPr>
      </w:pPr>
    </w:p>
    <w:p>
      <w:pPr>
        <w:ind w:right="3400"/>
        <w:spacing w:after="0" w:line="255" w:lineRule="auto"/>
        <w:rPr>
          <w:sz w:val="20"/>
          <w:szCs w:val="20"/>
          <w:color w:val="auto"/>
        </w:rPr>
      </w:pPr>
      <w:r>
        <w:rPr>
          <w:rFonts w:ascii="Courier New" w:cs="Courier New" w:eastAsia="Courier New" w:hAnsi="Courier New"/>
          <w:sz w:val="14"/>
          <w:szCs w:val="14"/>
          <w:color w:val="auto"/>
        </w:rPr>
        <w:t>TO BE COMPLETED ONLY IF EXCHANGE NOTES EXCHANGED FOR NOTES AND UNTENDERED NOTES ARE TO BE SENT TO SOMEONE OTHER THAN THE UNDERSIGNED, OR TO THE UNDERSIGNED AT AN ADDRESS OTHER THAN THAT SHOWN ABOVE.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 Exchange Note(s) and any Untendered Notes to: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_______________________________________________________________________</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(please print)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8"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4"/>
          <w:szCs w:val="14"/>
          <w:color w:val="auto"/>
        </w:rPr>
        <w:t>(include zip code)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Identification or Social Security No.:______________________________________</w:t>
      </w:r>
    </w:p>
    <w:p>
      <w:pPr>
        <w:spacing w:after="0" w:line="175" w:lineRule="exact"/>
        <w:rPr>
          <w:sz w:val="20"/>
          <w:szCs w:val="20"/>
          <w:color w:val="auto"/>
        </w:rPr>
      </w:pPr>
    </w:p>
    <w:p>
      <w:pPr>
        <w:ind w:left="180" w:hanging="171"/>
        <w:spacing w:after="0"/>
        <w:tabs>
          <w:tab w:leader="none" w:pos="180"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3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w:t>
      </w:r>
    </w:p>
    <w:p>
      <w:pPr>
        <w:sectPr>
          <w:pgSz w:w="11900" w:h="16838" w:orient="portrait"/>
          <w:cols w:equalWidth="0" w:num="1">
            <w:col w:w="10260"/>
          </w:cols>
          <w:pgMar w:left="220" w:top="954" w:right="1419" w:bottom="1440" w:gutter="0" w:footer="0" w:header="0"/>
        </w:sectPr>
      </w:pPr>
    </w:p>
    <w:bookmarkStart w:id="282" w:name="page283"/>
    <w:bookmarkEnd w:id="282"/>
    <w:p>
      <w:pPr>
        <w:ind w:left="180" w:hanging="171"/>
        <w:spacing w:after="0"/>
        <w:tabs>
          <w:tab w:leader="none" w:pos="180"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BOX 4</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USE OF GUARANTEED DELIVERY</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(See Instruction 2)</w:t>
      </w:r>
    </w:p>
    <w:p>
      <w:pPr>
        <w:spacing w:after="0" w:line="175"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TO BE COMPLETED ONLY IF NOTES ARE BEING TENDERED BY MEANS OF A NOTICE OF GUARANTEED DELIVERY.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of Registered Holder(s):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Execution of Notice of Guaranteed Delivery:_____________________________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Institution which Guaranteed Delivery:__________________________________</w:t>
      </w:r>
    </w:p>
    <w:p>
      <w:pPr>
        <w:spacing w:after="0" w:line="175" w:lineRule="exact"/>
        <w:rPr>
          <w:sz w:val="20"/>
          <w:szCs w:val="20"/>
          <w:color w:val="auto"/>
        </w:rPr>
      </w:pPr>
    </w:p>
    <w:p>
      <w:pPr>
        <w:ind w:left="180" w:hanging="171"/>
        <w:spacing w:after="0"/>
        <w:tabs>
          <w:tab w:leader="none" w:pos="180"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BOX 5</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USE OF BOOK-ENTRY TRANSFER</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(See Instruction 1)</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TO BE COMPLETED ONLY IF DELIVERY OF TENDERED NOTES IS TO BE MADE BY BOOK-ENTRY TRANSFER.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Tendering Institution:__________________________________________________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Number:_________________________________________________________________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Code Number:________________________________________________________</w:t>
      </w:r>
    </w:p>
    <w:p>
      <w:pPr>
        <w:spacing w:after="0" w:line="175" w:lineRule="exact"/>
        <w:rPr>
          <w:sz w:val="20"/>
          <w:szCs w:val="20"/>
          <w:color w:val="auto"/>
        </w:rPr>
      </w:pPr>
    </w:p>
    <w:p>
      <w:pPr>
        <w:ind w:left="180" w:hanging="171"/>
        <w:spacing w:after="0"/>
        <w:tabs>
          <w:tab w:leader="none" w:pos="180"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3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283" w:name="page284"/>
    <w:bookmarkEnd w:id="283"/>
    <w:p>
      <w:pPr>
        <w:ind w:left="180" w:hanging="171"/>
        <w:spacing w:after="0"/>
        <w:tabs>
          <w:tab w:leader="none" w:pos="180"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BOX 6</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TENDERING HOLDER SIGNATURE</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(See Instructions 1 and 5)</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In Addition, Complete Substitute Form W-9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120"/>
          </w:cols>
          <w:pgMar w:left="220" w:top="954" w:right="559" w:bottom="1440" w:gutter="0" w:footer="0" w:header="0"/>
        </w:sectPr>
      </w:pPr>
    </w:p>
    <w:p>
      <w:pPr>
        <w:spacing w:after="0" w:line="175" w:lineRule="exact"/>
        <w:rPr>
          <w:sz w:val="20"/>
          <w:szCs w:val="20"/>
          <w:color w:val="auto"/>
        </w:rPr>
      </w:pPr>
    </w:p>
    <w:p>
      <w:pPr>
        <w:ind w:left="180" w:hanging="171"/>
        <w:spacing w:after="0"/>
        <w:tabs>
          <w:tab w:leader="none" w:pos="180"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 of Registered Holder(s) or Authorized</w:t>
      </w:r>
    </w:p>
    <w:p>
      <w:pPr>
        <w:spacing w:after="0" w:line="8"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Signatory)</w:t>
      </w:r>
    </w:p>
    <w:p>
      <w:pPr>
        <w:spacing w:after="0" w:line="175" w:lineRule="exact"/>
        <w:rPr>
          <w:sz w:val="20"/>
          <w:szCs w:val="20"/>
          <w:color w:val="auto"/>
        </w:rPr>
      </w:pPr>
    </w:p>
    <w:p>
      <w:pPr>
        <w:ind w:right="240"/>
        <w:spacing w:after="0" w:line="253" w:lineRule="auto"/>
        <w:rPr>
          <w:sz w:val="20"/>
          <w:szCs w:val="20"/>
          <w:color w:val="auto"/>
        </w:rPr>
      </w:pPr>
      <w:r>
        <w:rPr>
          <w:rFonts w:ascii="Courier New" w:cs="Courier New" w:eastAsia="Courier New" w:hAnsi="Courier New"/>
          <w:sz w:val="14"/>
          <w:szCs w:val="14"/>
          <w:color w:val="auto"/>
        </w:rPr>
        <w:t>Note: The above lines must be signed by the registered holder(s) of Notes as their names(s) appear(s) on the Notes or by persons(s) authorized to become registered holder(s) (evidence of which authorization must be transmitted with this Letter of Transmittal). If signature is by a trustee, executor, administrator, guardian, attorney-in-fact, officer, or other person acting in a fiduciary or representative capacity, such person must set forth his or her full title below. See Instruction 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Street Address:_________________________________________</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(include Zip Code)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Area Code and Telephone Number:________________________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Identification or Social Security Number: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required by Instruction 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Signature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 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Name:_________________________________________________________</w:t>
      </w:r>
    </w:p>
    <w:p>
      <w:pPr>
        <w:spacing w:after="0" w:line="8"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4"/>
          <w:szCs w:val="14"/>
          <w:color w:val="auto"/>
        </w:rPr>
        <w:t>(please print)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Firm:_________________________________________________</w:t>
      </w:r>
    </w:p>
    <w:p>
      <w:pPr>
        <w:spacing w:after="0" w:line="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(Must be an Eligible Institution as defined</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in Instruction 2)</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Address:_____________________________________________________</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(include Zip Code)</w:t>
      </w:r>
    </w:p>
    <w:p>
      <w:pPr>
        <w:spacing w:after="0" w:line="34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Area Code and Telephone Number:______________________________</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Dated:_______________________________________________________</w:t>
      </w:r>
    </w:p>
    <w:p>
      <w:pPr>
        <w:spacing w:after="0" w:line="508" w:lineRule="exact"/>
        <w:rPr>
          <w:sz w:val="20"/>
          <w:szCs w:val="20"/>
          <w:color w:val="auto"/>
        </w:rPr>
      </w:pPr>
    </w:p>
    <w:p>
      <w:pPr>
        <w:sectPr>
          <w:pgSz w:w="11900" w:h="16838" w:orient="portrait"/>
          <w:cols w:equalWidth="0" w:num="2">
            <w:col w:w="4940" w:space="720"/>
            <w:col w:w="5460"/>
          </w:cols>
          <w:pgMar w:left="220" w:top="954"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w:t>
      </w:r>
    </w:p>
    <w:p>
      <w:pPr>
        <w:spacing w:after="0" w:line="8" w:lineRule="exact"/>
        <w:rPr>
          <w:sz w:val="20"/>
          <w:szCs w:val="20"/>
          <w:color w:val="auto"/>
        </w:rPr>
      </w:pPr>
    </w:p>
    <w:p>
      <w:pPr>
        <w:ind w:left="180" w:hanging="171"/>
        <w:spacing w:after="0"/>
        <w:tabs>
          <w:tab w:leader="none" w:pos="180"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BOX 7</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BROKER-DEALER STATUS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4420" w:hanging="346"/>
        <w:spacing w:after="0" w:line="254" w:lineRule="auto"/>
        <w:rPr>
          <w:sz w:val="20"/>
          <w:szCs w:val="20"/>
          <w:color w:val="auto"/>
        </w:rPr>
      </w:pPr>
      <w:r>
        <w:rPr>
          <w:rFonts w:ascii="Courier New" w:cs="Courier New" w:eastAsia="Courier New" w:hAnsi="Courier New"/>
          <w:sz w:val="14"/>
          <w:szCs w:val="14"/>
          <w:color w:val="auto"/>
        </w:rPr>
        <w:t>[_] Check this box if the Beneficial Owner of the Notes is a participating broker-dealer and such participating broker-dealer acquired the Notes for its own account as a result of market-making activities or other trading activities.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4"/>
          <w:szCs w:val="14"/>
          <w:color w:val="auto"/>
        </w:rPr>
        <w:t>[_] Check here if you are a participating broker-dealer and wish to receive 10</w:t>
      </w:r>
    </w:p>
    <w:p>
      <w:pPr>
        <w:spacing w:after="0" w:line="8" w:lineRule="exact"/>
        <w:rPr>
          <w:sz w:val="20"/>
          <w:szCs w:val="20"/>
          <w:color w:val="auto"/>
        </w:rPr>
      </w:pPr>
    </w:p>
    <w:p>
      <w:pPr>
        <w:ind w:left="360" w:right="4680"/>
        <w:spacing w:after="0" w:line="258" w:lineRule="auto"/>
        <w:rPr>
          <w:sz w:val="20"/>
          <w:szCs w:val="20"/>
          <w:color w:val="auto"/>
        </w:rPr>
      </w:pPr>
      <w:r>
        <w:rPr>
          <w:rFonts w:ascii="Courier New" w:cs="Courier New" w:eastAsia="Courier New" w:hAnsi="Courier New"/>
          <w:sz w:val="14"/>
          <w:szCs w:val="14"/>
          <w:color w:val="auto"/>
        </w:rPr>
        <w:t>additional copies of the prospectus and 10 copies of any amendments or supplements thereto.</w:t>
      </w:r>
    </w:p>
    <w:p>
      <w:pPr>
        <w:spacing w:after="0" w:line="160" w:lineRule="exact"/>
        <w:rPr>
          <w:sz w:val="20"/>
          <w:szCs w:val="20"/>
          <w:color w:val="auto"/>
        </w:rPr>
      </w:pPr>
    </w:p>
    <w:p>
      <w:pPr>
        <w:ind w:left="180" w:hanging="171"/>
        <w:spacing w:after="0"/>
        <w:tabs>
          <w:tab w:leader="none" w:pos="180"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3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w:t>
      </w:r>
    </w:p>
    <w:p>
      <w:pPr>
        <w:sectPr>
          <w:pgSz w:w="11900" w:h="16838" w:orient="portrait"/>
          <w:cols w:equalWidth="0" w:num="1">
            <w:col w:w="11120"/>
          </w:cols>
          <w:pgMar w:left="220" w:top="954" w:right="559" w:bottom="1440" w:gutter="0" w:footer="0" w:header="0"/>
          <w:type w:val="continuous"/>
        </w:sectPr>
      </w:pPr>
    </w:p>
    <w:bookmarkStart w:id="284" w:name="page285"/>
    <w:bookmarkEnd w:id="284"/>
    <w:p>
      <w:pPr>
        <w:ind w:left="180" w:hanging="171"/>
        <w:spacing w:after="0"/>
        <w:tabs>
          <w:tab w:leader="none" w:pos="180"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PAYOR'S NAME: RADIO ONE, INC.</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76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Name (if joint names, list first and circle the name of the person or entity whose</w:t>
            </w:r>
          </w:p>
        </w:tc>
      </w:tr>
      <w:tr>
        <w:trPr>
          <w:trHeight w:val="167"/>
        </w:trPr>
        <w:tc>
          <w:tcPr>
            <w:tcW w:w="2480" w:type="dxa"/>
            <w:vAlign w:val="bottom"/>
          </w:tcPr>
          <w:p>
            <w:pPr>
              <w:spacing w:after="0"/>
              <w:rPr>
                <w:sz w:val="14"/>
                <w:szCs w:val="14"/>
                <w:color w:val="auto"/>
              </w:rPr>
            </w:pPr>
          </w:p>
        </w:tc>
        <w:tc>
          <w:tcPr>
            <w:tcW w:w="76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number you enter in Part 1 below. See instructions if your name has changed.)</w:t>
            </w:r>
          </w:p>
        </w:tc>
      </w:tr>
      <w:tr>
        <w:trPr>
          <w:trHeight w:val="167"/>
        </w:trPr>
        <w:tc>
          <w:tcPr>
            <w:tcW w:w="2480" w:type="dxa"/>
            <w:vAlign w:val="bottom"/>
          </w:tcPr>
          <w:p>
            <w:pPr>
              <w:spacing w:after="0"/>
              <w:rPr>
                <w:sz w:val="14"/>
                <w:szCs w:val="14"/>
                <w:color w:val="auto"/>
              </w:rPr>
            </w:pPr>
          </w:p>
        </w:tc>
        <w:tc>
          <w:tcPr>
            <w:tcW w:w="76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Address</w:t>
            </w:r>
          </w:p>
        </w:tc>
        <w:tc>
          <w:tcPr>
            <w:tcW w:w="48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76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SUBSTITUTE</w:t>
            </w:r>
          </w:p>
        </w:tc>
        <w:tc>
          <w:tcPr>
            <w:tcW w:w="5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City, State and ZIP Code</w:t>
            </w:r>
          </w:p>
        </w:tc>
        <w:tc>
          <w:tcPr>
            <w:tcW w:w="174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76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Form W-9</w:t>
            </w:r>
          </w:p>
        </w:tc>
        <w:tc>
          <w:tcPr>
            <w:tcW w:w="5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List account number(s) here (optional)</w:t>
            </w:r>
          </w:p>
        </w:tc>
        <w:tc>
          <w:tcPr>
            <w:tcW w:w="174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76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Department of the Treasury</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Part  1 -</w:t>
            </w:r>
          </w:p>
        </w:tc>
        <w:tc>
          <w:tcPr>
            <w:tcW w:w="4820" w:type="dxa"/>
            <w:vAlign w:val="bottom"/>
          </w:tcPr>
          <w:p>
            <w:pPr>
              <w:ind w:left="140"/>
              <w:spacing w:after="0"/>
              <w:rPr>
                <w:sz w:val="20"/>
                <w:szCs w:val="20"/>
                <w:color w:val="auto"/>
              </w:rPr>
            </w:pPr>
            <w:r>
              <w:rPr>
                <w:rFonts w:ascii="Courier New" w:cs="Courier New" w:eastAsia="Courier New" w:hAnsi="Courier New"/>
                <w:sz w:val="14"/>
                <w:szCs w:val="14"/>
                <w:color w:val="auto"/>
              </w:rPr>
              <w:t>PLEASE PROVIDE YOUR TAXPAYER IDENTIFICATION NUMBER</w:t>
            </w:r>
          </w:p>
        </w:tc>
        <w:tc>
          <w:tcPr>
            <w:tcW w:w="1740" w:type="dxa"/>
            <w:vAlign w:val="bottom"/>
          </w:tcPr>
          <w:p>
            <w:pPr>
              <w:ind w:left="340"/>
              <w:spacing w:after="0"/>
              <w:rPr>
                <w:sz w:val="20"/>
                <w:szCs w:val="20"/>
                <w:color w:val="auto"/>
              </w:rPr>
            </w:pPr>
            <w:r>
              <w:rPr>
                <w:rFonts w:ascii="Courier New" w:cs="Courier New" w:eastAsia="Courier New" w:hAnsi="Courier New"/>
                <w:sz w:val="14"/>
                <w:szCs w:val="14"/>
                <w:color w:val="auto"/>
              </w:rPr>
              <w:t>Social Security</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Internal Revenue Service</w:t>
            </w:r>
          </w:p>
        </w:tc>
        <w:tc>
          <w:tcPr>
            <w:tcW w:w="5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("TIN") IN THE BOX AT RIGHT AND CERTIFY BY SIGNING AND DATING</w:t>
            </w:r>
          </w:p>
        </w:tc>
        <w:tc>
          <w:tcPr>
            <w:tcW w:w="1740" w:type="dxa"/>
            <w:vAlign w:val="bottom"/>
          </w:tcPr>
          <w:p>
            <w:pPr>
              <w:ind w:left="340"/>
              <w:spacing w:after="0"/>
              <w:rPr>
                <w:sz w:val="20"/>
                <w:szCs w:val="20"/>
                <w:color w:val="auto"/>
              </w:rPr>
            </w:pPr>
            <w:r>
              <w:rPr>
                <w:rFonts w:ascii="Courier New" w:cs="Courier New" w:eastAsia="Courier New" w:hAnsi="Courier New"/>
                <w:sz w:val="14"/>
                <w:szCs w:val="14"/>
                <w:color w:val="auto"/>
              </w:rPr>
              <w:t>Number or TIN</w:t>
            </w:r>
          </w:p>
        </w:tc>
      </w:tr>
      <w:tr>
        <w:trPr>
          <w:trHeight w:val="167"/>
        </w:trPr>
        <w:tc>
          <w:tcPr>
            <w:tcW w:w="2480" w:type="dxa"/>
            <w:vAlign w:val="bottom"/>
          </w:tcPr>
          <w:p>
            <w:pPr>
              <w:spacing w:after="0"/>
              <w:rPr>
                <w:sz w:val="14"/>
                <w:szCs w:val="14"/>
                <w:color w:val="auto"/>
              </w:rPr>
            </w:pPr>
          </w:p>
        </w:tc>
        <w:tc>
          <w:tcPr>
            <w:tcW w:w="5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INTERNAL REVENUE SERVICE BELOW</w:t>
            </w:r>
          </w:p>
        </w:tc>
        <w:tc>
          <w:tcPr>
            <w:tcW w:w="174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76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Part 2 --</w:t>
            </w:r>
          </w:p>
        </w:tc>
        <w:tc>
          <w:tcPr>
            <w:tcW w:w="6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Check the box if you are NOT subject to backup withholding under the</w:t>
            </w:r>
          </w:p>
        </w:tc>
      </w:tr>
      <w:tr>
        <w:trPr>
          <w:trHeight w:val="167"/>
        </w:trPr>
        <w:tc>
          <w:tcPr>
            <w:tcW w:w="2480" w:type="dxa"/>
            <w:vAlign w:val="bottom"/>
          </w:tcPr>
          <w:p>
            <w:pPr>
              <w:spacing w:after="0"/>
              <w:rPr>
                <w:sz w:val="14"/>
                <w:szCs w:val="14"/>
                <w:color w:val="auto"/>
              </w:rPr>
            </w:pPr>
          </w:p>
        </w:tc>
        <w:tc>
          <w:tcPr>
            <w:tcW w:w="76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provisions of section 3406(a)(1)(C) of the Internal Revenue Code because (1) you have</w:t>
            </w:r>
          </w:p>
        </w:tc>
      </w:tr>
      <w:tr>
        <w:trPr>
          <w:trHeight w:val="167"/>
        </w:trPr>
        <w:tc>
          <w:tcPr>
            <w:tcW w:w="2480" w:type="dxa"/>
            <w:vAlign w:val="bottom"/>
          </w:tcPr>
          <w:p>
            <w:pPr>
              <w:spacing w:after="0"/>
              <w:rPr>
                <w:sz w:val="14"/>
                <w:szCs w:val="14"/>
                <w:color w:val="auto"/>
              </w:rPr>
            </w:pPr>
          </w:p>
        </w:tc>
        <w:tc>
          <w:tcPr>
            <w:tcW w:w="76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not been notified that you are subject to backup withholding as a result of failure</w:t>
            </w:r>
          </w:p>
        </w:tc>
      </w:tr>
      <w:tr>
        <w:trPr>
          <w:trHeight w:val="167"/>
        </w:trPr>
        <w:tc>
          <w:tcPr>
            <w:tcW w:w="2480" w:type="dxa"/>
            <w:vAlign w:val="bottom"/>
          </w:tcPr>
          <w:p>
            <w:pPr>
              <w:spacing w:after="0"/>
              <w:rPr>
                <w:sz w:val="14"/>
                <w:szCs w:val="14"/>
                <w:color w:val="auto"/>
              </w:rPr>
            </w:pPr>
          </w:p>
        </w:tc>
        <w:tc>
          <w:tcPr>
            <w:tcW w:w="76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to report all interest or dividends or (2) the Internal Revenue Service has notified</w:t>
            </w:r>
          </w:p>
        </w:tc>
      </w:tr>
      <w:tr>
        <w:trPr>
          <w:trHeight w:val="167"/>
        </w:trPr>
        <w:tc>
          <w:tcPr>
            <w:tcW w:w="2480" w:type="dxa"/>
            <w:vAlign w:val="bottom"/>
          </w:tcPr>
          <w:p>
            <w:pPr>
              <w:spacing w:after="0"/>
              <w:rPr>
                <w:sz w:val="14"/>
                <w:szCs w:val="14"/>
                <w:color w:val="auto"/>
              </w:rPr>
            </w:pPr>
          </w:p>
        </w:tc>
        <w:tc>
          <w:tcPr>
            <w:tcW w:w="5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you that you are no longer subject to backup withholding. [_]</w:t>
            </w:r>
          </w:p>
        </w:tc>
        <w:tc>
          <w:tcPr>
            <w:tcW w:w="1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700"/>
        <w:spacing w:after="0"/>
        <w:tabs>
          <w:tab w:leader="none" w:pos="9020" w:val="left"/>
        </w:tabs>
        <w:rPr>
          <w:sz w:val="20"/>
          <w:szCs w:val="20"/>
          <w:color w:val="auto"/>
        </w:rPr>
      </w:pPr>
      <w:r>
        <w:rPr>
          <w:rFonts w:ascii="Courier New" w:cs="Courier New" w:eastAsia="Courier New" w:hAnsi="Courier New"/>
          <w:sz w:val="14"/>
          <w:szCs w:val="14"/>
          <w:color w:val="auto"/>
        </w:rPr>
        <w:t>CERTIFICATION - UNDER THE PENALTIES OF PERJURY, I CERTIFY</w:t>
      </w:r>
      <w:r>
        <w:rPr>
          <w:sz w:val="20"/>
          <w:szCs w:val="20"/>
          <w:color w:val="auto"/>
        </w:rPr>
        <w:tab/>
      </w:r>
      <w:r>
        <w:rPr>
          <w:rFonts w:ascii="Courier New" w:cs="Courier New" w:eastAsia="Courier New" w:hAnsi="Courier New"/>
          <w:sz w:val="14"/>
          <w:szCs w:val="14"/>
          <w:color w:val="auto"/>
        </w:rPr>
        <w:t>Part 3 -</w:t>
      </w:r>
    </w:p>
    <w:p>
      <w:pPr>
        <w:spacing w:after="0" w:line="8" w:lineRule="exact"/>
        <w:rPr>
          <w:sz w:val="20"/>
          <w:szCs w:val="20"/>
          <w:color w:val="auto"/>
        </w:rPr>
      </w:pPr>
    </w:p>
    <w:p>
      <w:pPr>
        <w:ind w:left="2700"/>
        <w:spacing w:after="0"/>
        <w:tabs>
          <w:tab w:leader="none" w:pos="8660" w:val="left"/>
        </w:tabs>
        <w:rPr>
          <w:sz w:val="20"/>
          <w:szCs w:val="20"/>
          <w:color w:val="auto"/>
        </w:rPr>
      </w:pPr>
      <w:r>
        <w:rPr>
          <w:rFonts w:ascii="Courier New" w:cs="Courier New" w:eastAsia="Courier New" w:hAnsi="Courier New"/>
          <w:sz w:val="14"/>
          <w:szCs w:val="14"/>
          <w:color w:val="auto"/>
        </w:rPr>
        <w:t>THAT THE INFORMATION PROVIDED ON THIS FORM IS TRUE, CORRECT AND</w:t>
      </w:r>
      <w:r>
        <w:rPr>
          <w:sz w:val="20"/>
          <w:szCs w:val="20"/>
          <w:color w:val="auto"/>
        </w:rPr>
        <w:tab/>
      </w:r>
      <w:r>
        <w:rPr>
          <w:rFonts w:ascii="Courier New" w:cs="Courier New" w:eastAsia="Courier New" w:hAnsi="Courier New"/>
          <w:sz w:val="14"/>
          <w:szCs w:val="14"/>
          <w:color w:val="auto"/>
        </w:rPr>
        <w:t>Awaiting TIN [_]</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COMPLETE.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Note:</w:t>
      </w:r>
      <w:r>
        <w:rPr>
          <w:sz w:val="20"/>
          <w:szCs w:val="20"/>
          <w:color w:val="auto"/>
        </w:rPr>
        <w:tab/>
      </w:r>
      <w:r>
        <w:rPr>
          <w:rFonts w:ascii="Courier New" w:cs="Courier New" w:eastAsia="Courier New" w:hAnsi="Courier New"/>
          <w:sz w:val="14"/>
          <w:szCs w:val="14"/>
          <w:color w:val="auto"/>
        </w:rPr>
        <w:t>FAILURE TO COMPLETE AND RETURN THIS FORM MAY RESULT IN BACKUP</w:t>
      </w:r>
    </w:p>
    <w:p>
      <w:pPr>
        <w:spacing w:after="0" w:line="8" w:lineRule="exact"/>
        <w:rPr>
          <w:sz w:val="20"/>
          <w:szCs w:val="20"/>
          <w:color w:val="auto"/>
        </w:rPr>
      </w:pPr>
    </w:p>
    <w:p>
      <w:pPr>
        <w:ind w:left="800" w:right="3300"/>
        <w:spacing w:after="0" w:line="254" w:lineRule="auto"/>
        <w:rPr>
          <w:sz w:val="20"/>
          <w:szCs w:val="20"/>
          <w:color w:val="auto"/>
        </w:rPr>
      </w:pPr>
      <w:r>
        <w:rPr>
          <w:rFonts w:ascii="Courier New" w:cs="Courier New" w:eastAsia="Courier New" w:hAnsi="Courier New"/>
          <w:sz w:val="14"/>
          <w:szCs w:val="14"/>
          <w:color w:val="auto"/>
        </w:rPr>
        <w:t>WITHHOLDING OF 31% OF ANY PAYMENTS MADE TO YOU PURSUANT TO THE EXCHANGE OFFER. PLEASE REVIEW THE ENCLOSED GUIDELINES FOR CERTIFICATION OF TAXPAYER IDENTIFICATION NUMBER ON SUBSTITUTE FORM W-9 FOR ADDITIONAL DETAILS.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60"/>
          </w:cols>
          <w:pgMar w:left="220" w:top="954" w:right="1419" w:bottom="1440" w:gutter="0" w:footer="0" w:header="0"/>
        </w:sectPr>
      </w:pPr>
    </w:p>
    <w:bookmarkStart w:id="285" w:name="page286"/>
    <w:bookmarkEnd w:id="285"/>
    <w:p>
      <w:pPr>
        <w:ind w:left="1911"/>
        <w:spacing w:after="0"/>
        <w:rPr>
          <w:sz w:val="20"/>
          <w:szCs w:val="20"/>
          <w:color w:val="auto"/>
        </w:rPr>
      </w:pPr>
      <w:r>
        <w:rPr>
          <w:rFonts w:ascii="Courier New" w:cs="Courier New" w:eastAsia="Courier New" w:hAnsi="Courier New"/>
          <w:sz w:val="14"/>
          <w:szCs w:val="14"/>
          <w:color w:val="auto"/>
        </w:rPr>
        <w:t>INSTRUCTIONS TO LETTER OF TRANSMITTAL</w:t>
      </w:r>
    </w:p>
    <w:p>
      <w:pPr>
        <w:spacing w:after="0" w:line="175" w:lineRule="exact"/>
        <w:rPr>
          <w:sz w:val="20"/>
          <w:szCs w:val="20"/>
          <w:color w:val="auto"/>
        </w:rPr>
      </w:pPr>
    </w:p>
    <w:p>
      <w:pPr>
        <w:ind w:left="1731"/>
        <w:spacing w:after="0"/>
        <w:rPr>
          <w:sz w:val="20"/>
          <w:szCs w:val="20"/>
          <w:color w:val="auto"/>
        </w:rPr>
      </w:pPr>
      <w:r>
        <w:rPr>
          <w:rFonts w:ascii="Courier New" w:cs="Courier New" w:eastAsia="Courier New" w:hAnsi="Courier New"/>
          <w:sz w:val="14"/>
          <w:szCs w:val="14"/>
          <w:color w:val="auto"/>
        </w:rPr>
        <w:t>FORMING PART OF THE TERMS AND CONDITIONS</w:t>
      </w:r>
    </w:p>
    <w:p>
      <w:pPr>
        <w:spacing w:after="0" w:line="8" w:lineRule="exact"/>
        <w:rPr>
          <w:sz w:val="20"/>
          <w:szCs w:val="20"/>
          <w:color w:val="auto"/>
        </w:rPr>
      </w:pPr>
    </w:p>
    <w:p>
      <w:pPr>
        <w:ind w:left="2611"/>
        <w:spacing w:after="0"/>
        <w:rPr>
          <w:sz w:val="20"/>
          <w:szCs w:val="20"/>
          <w:color w:val="auto"/>
        </w:rPr>
      </w:pPr>
      <w:r>
        <w:rPr>
          <w:rFonts w:ascii="Courier New" w:cs="Courier New" w:eastAsia="Courier New" w:hAnsi="Courier New"/>
          <w:sz w:val="14"/>
          <w:szCs w:val="14"/>
          <w:color w:val="auto"/>
        </w:rPr>
        <w:t>OF THE EXCHANGE OFFER</w:t>
      </w:r>
    </w:p>
    <w:p>
      <w:pPr>
        <w:spacing w:after="0" w:line="175" w:lineRule="exact"/>
        <w:rPr>
          <w:sz w:val="20"/>
          <w:szCs w:val="20"/>
          <w:color w:val="auto"/>
        </w:rPr>
      </w:pPr>
    </w:p>
    <w:p>
      <w:pPr>
        <w:ind w:left="-9" w:right="3279" w:firstLine="443"/>
        <w:spacing w:after="0" w:line="252" w:lineRule="auto"/>
        <w:tabs>
          <w:tab w:leader="none" w:pos="685" w:val="left"/>
        </w:tabs>
        <w:numPr>
          <w:ilvl w:val="1"/>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this Letter of Transmittal and Notes. A properly completed and duly executed copy of this Letter of Transmittal, including Substitute Form W-9, and any other documents required by this Letter of Transmittal must be received by the Exchange Agent at its address set forth herein, and either certificates for Tendered Notes must be received by the Exchange Agent at its address set forth herein or such Tendered Notes must be transferred pursuant to the procedures for book-entry transfer described in the Prospectus under the caption "Exchange Offer -- Book-Entry Transfer" (and a confirmation of such transfer received by the Exchange Agent), in each case prior to 5:00 p.m., New York City time, on the Expiration Date. The method of delivery of certificates for Tendered Notes, this Letter of Transmittal and all other required documents to the Exchange Agent is at the election and risk of the tendering holder and the delivery will be deemed made only when actually received by the Exchange Agent. If delivery is by mail, registered mail with return receipt requested, properly insured, is recommended. Instead of delivery by mail, it is recommended that the Holder use an overnight or hand delivery service. In all cases, sufficient time should be allowed to assure timely delivery. No Letter of Transmittal or Notes should be sent to the Issuer. Neither the Issuer nor the registrar is under any obligation to notify any tendering holder of the Issuer's acceptance of Tendered Notes prior to the closing of the Exchange Offer.</w:t>
      </w:r>
    </w:p>
    <w:p>
      <w:pPr>
        <w:spacing w:after="0" w:line="174" w:lineRule="exact"/>
        <w:rPr>
          <w:rFonts w:ascii="Courier New" w:cs="Courier New" w:eastAsia="Courier New" w:hAnsi="Courier New"/>
          <w:sz w:val="14"/>
          <w:szCs w:val="14"/>
          <w:color w:val="auto"/>
        </w:rPr>
      </w:pPr>
    </w:p>
    <w:p>
      <w:pPr>
        <w:ind w:left="-9" w:right="3279" w:firstLine="443"/>
        <w:spacing w:after="0" w:line="252" w:lineRule="auto"/>
        <w:tabs>
          <w:tab w:leader="none" w:pos="685" w:val="left"/>
        </w:tabs>
        <w:numPr>
          <w:ilvl w:val="1"/>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Guaranteed Delivery Procedures. Holders who wish to tender their Notes but whose Notes are not immediately available, and who cannot deliver their Notes, this Letter of Transmittal or any other documents required hereby to the Exchange Agent prior to the Expiration Date must tender their Notes according to the guaranteed delivery procedures set forth below, including completion of Box</w:t>
      </w:r>
    </w:p>
    <w:p>
      <w:pPr>
        <w:spacing w:after="0" w:line="1" w:lineRule="exact"/>
        <w:rPr>
          <w:rFonts w:ascii="Courier New" w:cs="Courier New" w:eastAsia="Courier New" w:hAnsi="Courier New"/>
          <w:sz w:val="14"/>
          <w:szCs w:val="14"/>
          <w:color w:val="auto"/>
        </w:rPr>
      </w:pPr>
    </w:p>
    <w:p>
      <w:pPr>
        <w:ind w:left="-9" w:right="3279" w:firstLine="9"/>
        <w:spacing w:after="0" w:line="252" w:lineRule="auto"/>
        <w:tabs>
          <w:tab w:leader="none" w:pos="251"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such procedures: (i) such tender must be made by or through a firm which is a member of a recognized Medallion Program approved by the Securities Transfer Association Inc. (an "Eligible Institution") and the Notice of Guaranteed Delivery must be signed by the holder; (ii) prior to the Expiration Date, the Exchange Agent must have received from the holder and the Eligible Institution a properly completed and duly executed Notice of Guaranteed Delivery (by mail or hand delivery) setting forth the name and address of the holder, the certificate number(s) of the Tendered Notes and the principal amount of Tendered Notes, stating that the tender is being made thereby and guaranteeing that, within five New York Stock Exchange trading days after the Expiration Date, this Letter of Transmittal together with the certificate(s) representing the Notes and any other required documents will be deposited by the Eligible Institution with the Exchange Agent; and (iii) such properly completed and executed Letter of Transmittal, as well as all other documents required by this Letter of Transmittal and the certificate(s) representing all Tendered Notes in proper form for transfer, must be received by the Exchange Agent within five New York Stock Exchange trading days after the Expiration Date. Any holder who wishes to tender Notes pursuant to the guaranteed delivery procedures described above must ensure that the Exchange Agent receives the Notice of Guaranteed Delivery relating to such Notes prior to 5:00 p.m., New York City time, on the Expiration Date. Failure to complete the guaranteed delivery procedures outlined above will not, of itself, affect the validity or effect a revocation of any Letter of Transmittal form properly completed and executed by an Eligible Holder who attempted to use the guaranteed delivery process.</w:t>
      </w:r>
    </w:p>
    <w:p>
      <w:pPr>
        <w:spacing w:after="0" w:line="176" w:lineRule="exact"/>
        <w:rPr>
          <w:rFonts w:ascii="Courier New" w:cs="Courier New" w:eastAsia="Courier New" w:hAnsi="Courier New"/>
          <w:sz w:val="14"/>
          <w:szCs w:val="14"/>
          <w:color w:val="auto"/>
        </w:rPr>
      </w:pPr>
    </w:p>
    <w:p>
      <w:pPr>
        <w:ind w:left="-9" w:right="3379" w:firstLine="443"/>
        <w:spacing w:after="0" w:line="253" w:lineRule="auto"/>
        <w:tabs>
          <w:tab w:leader="none" w:pos="685" w:val="left"/>
        </w:tabs>
        <w:numPr>
          <w:ilvl w:val="1"/>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 Instructions to Registered Holders. Only a holder in whose name Tendered Notes are registered on the books of the registrar (or the legal representative or attorney-in-fact of such registered holder) may execute and deliver this Letter of Transmittal. Any Beneficial Owner of Tendered Notes who is not the registered holder must arrange promptly with the registered holder to execute and deliver this Letter of Transmittal on his or her behalf through the execution and delivery to the registered holder of the Instructions to Registered Holder and/or Book-Entry Transfer Facility Participant from Beneficial Owner form accompanying this Letter of Transmittal.</w:t>
      </w:r>
    </w:p>
    <w:p>
      <w:pPr>
        <w:spacing w:after="0" w:line="164" w:lineRule="exact"/>
        <w:rPr>
          <w:rFonts w:ascii="Courier New" w:cs="Courier New" w:eastAsia="Courier New" w:hAnsi="Courier New"/>
          <w:sz w:val="14"/>
          <w:szCs w:val="14"/>
          <w:color w:val="auto"/>
        </w:rPr>
      </w:pPr>
    </w:p>
    <w:p>
      <w:pPr>
        <w:ind w:left="-9" w:right="3279" w:firstLine="443"/>
        <w:spacing w:after="0" w:line="253" w:lineRule="auto"/>
        <w:tabs>
          <w:tab w:leader="none" w:pos="685" w:val="left"/>
        </w:tabs>
        <w:numPr>
          <w:ilvl w:val="1"/>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Partial Tenders. Tenders of Notes will be accepted only in integral multiples of $1,000 in principal amount. If less than the entire principal amount of Notes held by the holder is tendered, the tendering holder should fill in the principal amount tendered in the column labeled "Aggregate Principal Amount Tendered" of the box entitled "Description of Notes Tendered" (Box 1) above. The entire principal amount of Notes delivered to the Exchange Agent will be deemed to have been tendered unless otherwise indicated. If the entire principal amount of all Notes held by the holder is not tendered, then Notes for the principal amount of Notes not tendered and Exchange Notes issued in exchange for any Notes tendered and accepted will be sent to the Holder at his or her registered address, unless a</w:t>
      </w:r>
    </w:p>
    <w:p>
      <w:pPr>
        <w:spacing w:after="0" w:line="331"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0"/>
          </w:cols>
          <w:pgMar w:left="229" w:top="620" w:right="1440" w:bottom="1440" w:gutter="0" w:footer="0" w:header="0"/>
        </w:sectPr>
      </w:pPr>
    </w:p>
    <w:bookmarkStart w:id="286" w:name="page287"/>
    <w:bookmarkEnd w:id="286"/>
    <w:p>
      <w:pPr>
        <w:ind w:right="4159"/>
        <w:spacing w:after="0" w:line="258" w:lineRule="auto"/>
        <w:rPr>
          <w:sz w:val="20"/>
          <w:szCs w:val="20"/>
          <w:color w:val="auto"/>
        </w:rPr>
      </w:pPr>
      <w:r>
        <w:rPr>
          <w:rFonts w:ascii="Courier New" w:cs="Courier New" w:eastAsia="Courier New" w:hAnsi="Courier New"/>
          <w:sz w:val="14"/>
          <w:szCs w:val="14"/>
          <w:color w:val="auto"/>
        </w:rPr>
        <w:t>different address is provided in the appropriate box on this Letter of Transmittal, as soon as practicable following the Expiration Date.</w:t>
      </w:r>
    </w:p>
    <w:p>
      <w:pPr>
        <w:spacing w:after="0" w:line="160" w:lineRule="exact"/>
        <w:rPr>
          <w:sz w:val="20"/>
          <w:szCs w:val="20"/>
          <w:color w:val="auto"/>
        </w:rPr>
      </w:pPr>
    </w:p>
    <w:p>
      <w:pPr>
        <w:ind w:right="3459" w:firstLine="443"/>
        <w:spacing w:after="0" w:line="254" w:lineRule="auto"/>
        <w:tabs>
          <w:tab w:leader="none" w:pos="694"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Signatures on the Letter of Transmittal; Bond Powers and Endorsements; Guarantee of Signatures. If this Letter of Transmittal is signed by the registered holder(s) of the Tendered Notes, the signature must correspond with the name(s) as written on the face of the Tendered Notes without alteration, enlargement or any change whatsoever.</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If any of the Tendered Notes are owned of record by two or more joint owners, all such owners must sign this Letter of Transmittal. If any Tendered Notes are held in different names, it will be necessary to complete, sign and submit as many separate copies of the Letter of Transmittal as there are different names in which Tendered Notes are held.</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this Letter of Transmittal is signed by the registered holder(s) of Tendered Notes, and Exchange Notes issued in exchange therefor are to be issued (and any untendered principal amount of Notes is to be reissued) in the name of the registered holder(s), then such registered holder(s) need not and should not endorse any Tendered Notes, nor provide a separate bond power. In any other case, such registered holder(s) must either properly endorse the Tendered Notes or transmit a properly completed separate bond power with this Letter of Transmittal, with the signature(s) on the endorsement or bond power guaranteed by an Eligible Institution.</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If this Letter of Transmittal is signed by a person other than the registered holder(s) of any Tendered Notes, such Tendered Notes must be endorsed or accompanied by appropriate bond powers, in each case, signed as the name(s) of the registered holder(s) appear(s) on the Tendered Notes, with the signature(s) on the endorsement or bond power guaranteed by an Eligible Institution.</w:t>
      </w:r>
    </w:p>
    <w:p>
      <w:pPr>
        <w:spacing w:after="0" w:line="329"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this Letter of Transmittal or any Tendered Notes or bond powers are signed by trustees, executors, administrators, guardians, attorneys-in-fact, officers of corporations, or others acting in a fiduciary or representative capacity, such persons should so indicate when signing and, unless waived by the Issuer, evidence satisfactory to the Issuer of their authority to so act must be submitted with this Letter of Transmittal.</w:t>
      </w:r>
    </w:p>
    <w:p>
      <w:pPr>
        <w:spacing w:after="0" w:line="16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Endorsements on Tendered Notes or signatures on bond powers required by this Instruction 5 must be guaranteed by an Eligible Institution.</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Signatures on this Letter of Transmittal must be guaranteed by an Eligible Institution unless the Tendered Notes are tendered (i) by a registered holder who has not completed the box set forth herein entitled "Special Delivery Instructions" (Box 3) or (ii) by an Eligible Institution.</w:t>
      </w:r>
    </w:p>
    <w:p>
      <w:pPr>
        <w:spacing w:after="0" w:line="163" w:lineRule="exact"/>
        <w:rPr>
          <w:sz w:val="20"/>
          <w:szCs w:val="20"/>
          <w:color w:val="auto"/>
        </w:rPr>
      </w:pPr>
    </w:p>
    <w:p>
      <w:pPr>
        <w:ind w:right="3279" w:firstLine="443"/>
        <w:spacing w:after="0" w:line="253" w:lineRule="auto"/>
        <w:tabs>
          <w:tab w:leader="none" w:pos="694"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Delivery Instructions. Tendering holders should indicate, in the applicable box (Box 3), the name and address to which the Exchange Notes and/or substitute Notes for principal amounts not tendered or not accepted for exchange are to be sent, if different from the name and address of the person signing this Letter of Transmittal. In the case of issuance in a different name, the taxpayer identification or social security number of the person named must also be indicated.</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694"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Taxes. The Issuer will pay all transfer taxes, if any, applicable to the exchange of Tendered Notes pursuant to the Exchange Offer. If, however, a transfer tax is imposed for any reason other than the transfer and exchange of Tendered Notes pursuant to the Exchange Offer, then the amount of any such transfer taxes (whether imposed on the registered holder or on any other person) will be payable by the tendering holder. If satisfactory evidence of payment of such taxes or exemption therefrom is not submitted with this Letter of Transmittal, the amount of such transfer taxes will be billed directly to such tendering holder.</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Except as provided in this Instruction 7, it will not be necessary for transfer tax stamps to be affixed to the Tendered Notes listed in this Letter of Transmittal.</w:t>
      </w:r>
    </w:p>
    <w:p>
      <w:pPr>
        <w:spacing w:after="0" w:line="162" w:lineRule="exact"/>
        <w:rPr>
          <w:sz w:val="20"/>
          <w:szCs w:val="20"/>
          <w:color w:val="auto"/>
        </w:rPr>
      </w:pPr>
    </w:p>
    <w:p>
      <w:pPr>
        <w:ind w:right="3279" w:firstLine="443"/>
        <w:spacing w:after="0" w:line="253" w:lineRule="auto"/>
        <w:tabs>
          <w:tab w:leader="none" w:pos="694"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Identification Number. Federal income tax law requires that the holder(s) of any Tendered Notes which are accepted for exchange must provide the Issuer (as payor) with its correct taxpayer identification number ("TIN"), which, in the case of a holder who is an individual, is his or her social security number. If the Issuer is not provided with the correct TIN, the Holder may be subject to backup withholding and a $50 penalty imposed by the Internal Revenue Service. (If withholding results in an over-payment of taxes, a refund may be obtained.) Certain holders (including,</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1" w:right="1440" w:bottom="1440" w:gutter="0" w:footer="0" w:header="0"/>
        </w:sectPr>
      </w:pPr>
    </w:p>
    <w:bookmarkStart w:id="287" w:name="page288"/>
    <w:bookmarkEnd w:id="287"/>
    <w:p>
      <w:pPr>
        <w:ind w:right="3379"/>
        <w:spacing w:after="0" w:line="254" w:lineRule="auto"/>
        <w:rPr>
          <w:sz w:val="20"/>
          <w:szCs w:val="20"/>
          <w:color w:val="auto"/>
        </w:rPr>
      </w:pPr>
      <w:r>
        <w:rPr>
          <w:rFonts w:ascii="Courier New" w:cs="Courier New" w:eastAsia="Courier New" w:hAnsi="Courier New"/>
          <w:sz w:val="14"/>
          <w:szCs w:val="14"/>
          <w:color w:val="auto"/>
        </w:rPr>
        <w:t>among others, all corporations and certain foreign individuals) are not subject to these backup withholding and reporting requirements. See the enclosed "Guidelines for Certification of Taxpayer Identification Number on Substitute Form W-9" for additional instructions.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To prevent backup withholding, each holder of Tendered Notes must provide such holder's correct TIN by completing the Substitute Form W-9 set forth herein, certifying that the TIN provided is correct (or that such holder is awaiting a TIN), and that (i) the holder has not been notified by the Internal Revenue Service that such holder is subject to backup withholding as a result of failure to report all interest or dividends or (ii) the Internal Revenue Service has notified the holder that such holder is no longer subject to backup withholding. If the Tendered Notes are registered in more than one name or are not in the name of the actual owner, consult the "Guidelines for Certification of Taxpayer Identification Number on Substitute Form W-9" for information on which TIN to report.</w:t>
      </w:r>
    </w:p>
    <w:p>
      <w:pPr>
        <w:spacing w:after="0" w:line="164"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The Issuer reserves the right in its sole discretion to take whatever steps are necessary to comply with the Issuer's obligation regarding backup withholding.</w:t>
      </w:r>
    </w:p>
    <w:p>
      <w:pPr>
        <w:spacing w:after="0" w:line="162" w:lineRule="exact"/>
        <w:rPr>
          <w:sz w:val="20"/>
          <w:szCs w:val="20"/>
          <w:color w:val="auto"/>
        </w:rPr>
      </w:pPr>
    </w:p>
    <w:p>
      <w:pPr>
        <w:ind w:left="800" w:hanging="357"/>
        <w:spacing w:after="0"/>
        <w:tabs>
          <w:tab w:leader="none" w:pos="800"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Validity of Tenders. All questions as to the validity, form,</w:t>
      </w:r>
    </w:p>
    <w:p>
      <w:pPr>
        <w:spacing w:after="0" w:line="8" w:lineRule="exact"/>
        <w:rPr>
          <w:rFonts w:ascii="Courier New" w:cs="Courier New" w:eastAsia="Courier New" w:hAnsi="Courier New"/>
          <w:sz w:val="14"/>
          <w:szCs w:val="14"/>
          <w:color w:val="auto"/>
        </w:rPr>
      </w:pPr>
    </w:p>
    <w:p>
      <w:pPr>
        <w:ind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(including time of receipt), acceptance and withdrawal of Tendered Notes will be determined by the Issuer in its sole discretion, which determination will be final and binding. The Issuer reserves the right to reject any and all Notes not validly tendered or any Notes the Issuer's acceptance of which would, in the opinion of the Issuer or its counsel, be unlawful. The Issuer also reserves the right to waive any conditions of the Exchange Offer or defects or irregularities in tenders of Notes as to any ineligibility of any holder who seeks to tender Notes in the Exchange Offer. The interpretation of the terms and conditions of the Exchange Offer (including this Letter of Transmittal and the instructions hereto) by the Issuer shall be final and binding on all parties. Unless waived, any defects or irregularities in connection with tenders of Notes must be cured within such time as the Issuer shall determine. Neither the Issuer, the Exchange Agent nor any other person shall be under any duty to give notification of defects or irregularities with respect to tenders of Notes, nor shall any of them incur any liability for failure to give such notification. Tenders of Notes will not be deemed to have been made until such defects or irregularities have been cured or waived. Any Notes received by the Exchange Agent that are not properly tendered and as to which the defects or irregularities have not been cured or waived will be returned by the Exchange Agent to the tendering holders, unless otherwise provided in this Letter of Transmittal, as soon as practicable following the Expiration Date.</w:t>
      </w:r>
    </w:p>
    <w:p>
      <w:pPr>
        <w:spacing w:after="0" w:line="341" w:lineRule="exact"/>
        <w:rPr>
          <w:rFonts w:ascii="Courier New" w:cs="Courier New" w:eastAsia="Courier New" w:hAnsi="Courier New"/>
          <w:sz w:val="14"/>
          <w:szCs w:val="14"/>
          <w:color w:val="auto"/>
        </w:rPr>
      </w:pPr>
    </w:p>
    <w:p>
      <w:pPr>
        <w:ind w:right="3379" w:firstLine="443"/>
        <w:spacing w:after="0" w:line="255" w:lineRule="auto"/>
        <w:tabs>
          <w:tab w:leader="none" w:pos="781"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Conditions. The Issuer reserves the absolute right to amend, waive or modify any of the conditions in the New Exchange Offer in the case of any Tendered Notes.</w:t>
      </w:r>
    </w:p>
    <w:p>
      <w:pPr>
        <w:spacing w:after="0" w:line="162" w:lineRule="exact"/>
        <w:rPr>
          <w:rFonts w:ascii="Courier New" w:cs="Courier New" w:eastAsia="Courier New" w:hAnsi="Courier New"/>
          <w:sz w:val="14"/>
          <w:szCs w:val="14"/>
          <w:color w:val="auto"/>
        </w:rPr>
      </w:pPr>
    </w:p>
    <w:p>
      <w:pPr>
        <w:ind w:right="3379" w:firstLine="443"/>
        <w:spacing w:after="0" w:line="255" w:lineRule="auto"/>
        <w:tabs>
          <w:tab w:leader="none" w:pos="781"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Conditional Tender. No alternative, conditional, irregular, or contingent tender of Notes or transmittal of this Letter of Transmittal will be accepted.</w:t>
      </w:r>
    </w:p>
    <w:p>
      <w:pPr>
        <w:spacing w:after="0" w:line="162" w:lineRule="exact"/>
        <w:rPr>
          <w:rFonts w:ascii="Courier New" w:cs="Courier New" w:eastAsia="Courier New" w:hAnsi="Courier New"/>
          <w:sz w:val="14"/>
          <w:szCs w:val="14"/>
          <w:color w:val="auto"/>
        </w:rPr>
      </w:pPr>
    </w:p>
    <w:p>
      <w:pPr>
        <w:ind w:right="3279" w:firstLine="443"/>
        <w:spacing w:after="0" w:line="255" w:lineRule="auto"/>
        <w:tabs>
          <w:tab w:leader="none" w:pos="781"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Mutilated, Lost, Stolen or Destroyed Notes. Any tendering Holder whose Notes have been mutilated, lost, stolen or destroyed should contact the Exchange Agent at the address indicated herein for further instructions.</w:t>
      </w:r>
    </w:p>
    <w:p>
      <w:pPr>
        <w:spacing w:after="0" w:line="162" w:lineRule="exact"/>
        <w:rPr>
          <w:rFonts w:ascii="Courier New" w:cs="Courier New" w:eastAsia="Courier New" w:hAnsi="Courier New"/>
          <w:sz w:val="14"/>
          <w:szCs w:val="14"/>
          <w:color w:val="auto"/>
        </w:rPr>
      </w:pPr>
    </w:p>
    <w:p>
      <w:pPr>
        <w:ind w:right="3539" w:firstLine="443"/>
        <w:spacing w:after="0" w:line="253" w:lineRule="auto"/>
        <w:tabs>
          <w:tab w:leader="none" w:pos="781"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Requests for Assistance or Additional Copies. Questions and requests for assistance and requests for additional copies of the Prospectus or this Letter of Transmittal may be directed to the Exchange Agent at the address indicated herein. Holders may also contact their broker, dealer, commercial bank, trust company or other nominee for assistance concerning the Exchange Offer.</w:t>
      </w:r>
    </w:p>
    <w:p>
      <w:pPr>
        <w:spacing w:after="0" w:line="165" w:lineRule="exact"/>
        <w:rPr>
          <w:rFonts w:ascii="Courier New" w:cs="Courier New" w:eastAsia="Courier New" w:hAnsi="Courier New"/>
          <w:sz w:val="14"/>
          <w:szCs w:val="14"/>
          <w:color w:val="auto"/>
        </w:rPr>
      </w:pPr>
    </w:p>
    <w:p>
      <w:pPr>
        <w:ind w:right="3379" w:firstLine="443"/>
        <w:spacing w:after="0" w:line="253" w:lineRule="auto"/>
        <w:tabs>
          <w:tab w:leader="none" w:pos="781"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of Tendered Notes and Issuance of Notes; Return of Notes. Subject to the terms and conditions of the Exchange Offer, the Issuer will accept for exchange all validly tendered Notes as soon as practicable after the Expiration Date and will issue Exchange Notes therefor as soon as practicable thereafter. For purposes of the Exchange Offer, the Issuer shall be deemed to have accepted tendered Notes when, as and if the Issuer has given written or oral notice (immediately followed in writing) thereof to the Exchange Agent. If any Tendered Notes are not exchanged pursuant to the Exchange Offer for any reason, such unexchanged Notes will be returned, without expense, to the undersigned at the address shown in Box 1 or at a different address as may be indicated herein under "Special Delivery Instructions" (Box 3).</w:t>
      </w:r>
    </w:p>
    <w:p>
      <w:pPr>
        <w:spacing w:after="0" w:line="163" w:lineRule="exact"/>
        <w:rPr>
          <w:rFonts w:ascii="Courier New" w:cs="Courier New" w:eastAsia="Courier New" w:hAnsi="Courier New"/>
          <w:sz w:val="14"/>
          <w:szCs w:val="14"/>
          <w:color w:val="auto"/>
        </w:rPr>
      </w:pPr>
    </w:p>
    <w:p>
      <w:pPr>
        <w:ind w:right="3539" w:firstLine="443"/>
        <w:spacing w:after="0" w:line="258" w:lineRule="auto"/>
        <w:tabs>
          <w:tab w:leader="none" w:pos="781"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Withdrawal. Tenders may be withdrawn only pursuant to the procedures set forth in the Prospectus under the caption "The Exchange Offer."</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288" w:name="page289"/>
    <w:bookmarkEnd w:id="288"/>
    <w:p>
      <w:pPr>
        <w:jc w:val="right"/>
        <w:ind w:right="3279"/>
        <w:spacing w:after="0"/>
        <w:rPr>
          <w:sz w:val="20"/>
          <w:szCs w:val="20"/>
          <w:color w:val="auto"/>
        </w:rPr>
      </w:pPr>
      <w:r>
        <w:rPr>
          <w:rFonts w:ascii="Courier New" w:cs="Courier New" w:eastAsia="Courier New" w:hAnsi="Courier New"/>
          <w:sz w:val="14"/>
          <w:szCs w:val="14"/>
          <w:color w:val="auto"/>
        </w:rPr>
        <w:t>Exhibit 99.2</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INSTRUCTIONS TO REGISTERED HOLDER AND/OR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BOOK-ENTRY TRANSFER FACILITY PARTICIPANT FROM BENEFICIAL OWNER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OF</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RADIO ONE, INC.</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8 7/8% SENIOR SUBORDINATED NOTES DUE 2011</w:t>
      </w: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Registered Holder and/or Participant of the Book-Entry Transfer Facility:</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undersigned hereby acknowledges receipt of the Prospectus, dated ., 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"Prospectus"), of Radio One, Inc., a Delaware corporation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accompanying Letter of Transmittal (the "Letter of Transmittal"), that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together constitute the Company's offer (the "Exchange Offer") to exchange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in principal amount of its 8 7/8% Series B Senior Subordinated Notes due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2011 (the "Exchange Notes"), which have been registered under the Securities Act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1933, as amended (the "Act"), for each $1,000 in principal amount of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8 7/8% Series A Senior Subordinated Notes due 2011 (the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Capitalized terms used but not defined herein have the meanings ascribed to them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Prospectus.</w:t>
      </w:r>
    </w:p>
    <w:p>
      <w:pPr>
        <w:spacing w:after="0" w:line="175" w:lineRule="exact"/>
        <w:rPr>
          <w:sz w:val="20"/>
          <w:szCs w:val="20"/>
          <w:color w:val="auto"/>
        </w:rPr>
      </w:pPr>
    </w:p>
    <w:p>
      <w:pPr>
        <w:ind w:right="3379" w:firstLine="174"/>
        <w:spacing w:after="0" w:line="255" w:lineRule="auto"/>
        <w:rPr>
          <w:sz w:val="20"/>
          <w:szCs w:val="20"/>
          <w:color w:val="auto"/>
        </w:rPr>
      </w:pPr>
      <w:r>
        <w:rPr>
          <w:rFonts w:ascii="Courier New" w:cs="Courier New" w:eastAsia="Courier New" w:hAnsi="Courier New"/>
          <w:sz w:val="14"/>
          <w:szCs w:val="14"/>
          <w:color w:val="auto"/>
        </w:rPr>
        <w:t>This will instruct you, the registered holder and/or book-entry transfer facility participant, as to action to be taken by you relating to the Exchange Offer with respect to the Notes held by you for the account of the undersigned.</w:t>
      </w:r>
    </w:p>
    <w:p>
      <w:pPr>
        <w:spacing w:after="0" w:line="162" w:lineRule="exact"/>
        <w:rPr>
          <w:sz w:val="20"/>
          <w:szCs w:val="20"/>
          <w:color w:val="auto"/>
        </w:rPr>
      </w:pPr>
    </w:p>
    <w:p>
      <w:pPr>
        <w:ind w:right="3719" w:firstLine="174"/>
        <w:spacing w:after="0" w:line="258" w:lineRule="auto"/>
        <w:rPr>
          <w:sz w:val="20"/>
          <w:szCs w:val="20"/>
          <w:color w:val="auto"/>
        </w:rPr>
      </w:pPr>
      <w:r>
        <w:rPr>
          <w:rFonts w:ascii="Courier New" w:cs="Courier New" w:eastAsia="Courier New" w:hAnsi="Courier New"/>
          <w:sz w:val="14"/>
          <w:szCs w:val="14"/>
          <w:color w:val="auto"/>
        </w:rPr>
        <w:t>The aggregate face amount of the Notes held by you for the account of the undersigned is (fill in amount):</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$_____________ of the Notes.</w:t>
      </w:r>
    </w:p>
    <w:p>
      <w:pPr>
        <w:spacing w:after="0" w:line="175" w:lineRule="exact"/>
        <w:rPr>
          <w:sz w:val="20"/>
          <w:szCs w:val="20"/>
          <w:color w:val="auto"/>
        </w:rPr>
      </w:pPr>
    </w:p>
    <w:p>
      <w:pPr>
        <w:ind w:right="3799" w:firstLine="174"/>
        <w:spacing w:after="0" w:line="258" w:lineRule="auto"/>
        <w:rPr>
          <w:sz w:val="20"/>
          <w:szCs w:val="20"/>
          <w:color w:val="auto"/>
        </w:rPr>
      </w:pPr>
      <w:r>
        <w:rPr>
          <w:rFonts w:ascii="Courier New" w:cs="Courier New" w:eastAsia="Courier New" w:hAnsi="Courier New"/>
          <w:sz w:val="14"/>
          <w:szCs w:val="14"/>
          <w:color w:val="auto"/>
        </w:rPr>
        <w:t>With respect to the Exchange Offer, the undersigned hereby instructs you (check appropriate box):</w:t>
      </w:r>
    </w:p>
    <w:p>
      <w:pPr>
        <w:spacing w:after="0" w:line="160" w:lineRule="exact"/>
        <w:rPr>
          <w:sz w:val="20"/>
          <w:szCs w:val="20"/>
          <w:color w:val="auto"/>
        </w:rPr>
      </w:pPr>
    </w:p>
    <w:p>
      <w:pPr>
        <w:ind w:left="620" w:right="3539" w:hanging="433"/>
        <w:spacing w:after="0" w:line="255" w:lineRule="auto"/>
        <w:tabs>
          <w:tab w:leader="none" w:pos="600" w:val="left"/>
        </w:tabs>
        <w:rPr>
          <w:sz w:val="20"/>
          <w:szCs w:val="20"/>
          <w:color w:val="auto"/>
        </w:rPr>
      </w:pPr>
      <w:r>
        <w:rPr>
          <w:rFonts w:ascii="Courier New" w:cs="Courier New" w:eastAsia="Courier New" w:hAnsi="Courier New"/>
          <w:sz w:val="14"/>
          <w:szCs w:val="14"/>
          <w:color w:val="auto"/>
        </w:rPr>
        <w:t>[_]</w:t>
        <w:tab/>
        <w:t>TO TENDER the following Notes held by you for the account of the undersigned (insert principal amount of Notes to be tendered, if any): $___________________________.</w:t>
      </w:r>
    </w:p>
    <w:p>
      <w:pPr>
        <w:spacing w:after="0" w:line="162" w:lineRule="exact"/>
        <w:rPr>
          <w:sz w:val="20"/>
          <w:szCs w:val="20"/>
          <w:color w:val="auto"/>
        </w:rPr>
      </w:pPr>
    </w:p>
    <w:p>
      <w:pPr>
        <w:ind w:left="180"/>
        <w:spacing w:after="0"/>
        <w:tabs>
          <w:tab w:leader="none" w:pos="600" w:val="left"/>
        </w:tabs>
        <w:rPr>
          <w:sz w:val="20"/>
          <w:szCs w:val="20"/>
          <w:color w:val="auto"/>
        </w:rPr>
      </w:pPr>
      <w:r>
        <w:rPr>
          <w:rFonts w:ascii="Courier New" w:cs="Courier New" w:eastAsia="Courier New" w:hAnsi="Courier New"/>
          <w:sz w:val="14"/>
          <w:szCs w:val="14"/>
          <w:color w:val="auto"/>
        </w:rPr>
        <w:t>[_]</w:t>
        <w:tab/>
        <w:t>NOT TO TENDER any Notes held by you for the account of the undersigned.</w:t>
      </w:r>
    </w:p>
    <w:p>
      <w:pPr>
        <w:spacing w:after="0" w:line="175" w:lineRule="exact"/>
        <w:rPr>
          <w:sz w:val="20"/>
          <w:szCs w:val="20"/>
          <w:color w:val="auto"/>
        </w:rPr>
      </w:pPr>
    </w:p>
    <w:p>
      <w:pPr>
        <w:ind w:right="3279" w:firstLine="174"/>
        <w:spacing w:after="0" w:line="252" w:lineRule="auto"/>
        <w:rPr>
          <w:sz w:val="20"/>
          <w:szCs w:val="20"/>
          <w:color w:val="auto"/>
        </w:rPr>
      </w:pPr>
      <w:r>
        <w:rPr>
          <w:rFonts w:ascii="Courier New" w:cs="Courier New" w:eastAsia="Courier New" w:hAnsi="Courier New"/>
          <w:sz w:val="14"/>
          <w:szCs w:val="14"/>
          <w:color w:val="auto"/>
        </w:rPr>
        <w:t>If the undersigned instructs you to tender the Notes held by you for the account of the undersigned, it is understood that you are authorized (a) to make, on behalf of the undersigned (and the undersigned, by its signature below, hereby makes to you), the representation and warranties contained in the Letter of Transmittal that are to be made with respect to the undersigned as a beneficial owner, including but not limited to the representations that (i) the undersigned's principal residence is in the state of ___________ (fill in</w:t>
      </w:r>
    </w:p>
    <w:p>
      <w:pPr>
        <w:spacing w:after="0" w:line="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state), (ii) the undersigned is acquiring the Exchange Notes in the ordinary course of business of the undersigned, (iii) the undersigned is not participating, does not participate, and has no arrangement or understanding with any person to participate in the distribution of the Exchange Notes, (iv) the undersigned acknowledges that any person participating in the Exchange Offer for the purpose of distributing the Exchange Notes must comply with the registration and prospectus delivery requirements of the Act, in connection with a secondary resale transaction of the Exchange Notes acquired by such person and cannot rely on the position of the Staff of the Securities and Exchange Commission set forth in no-action letters that are discussed in the section of the Prospectus entitled "Exchange Offer; Registration Rights--Resales of the Exchange Notes," and (v) the undersigned is not an "affiliate," as defined in Rule 405 under the Act, of the Company; (b) to agree, on behalf of the undersigned, as set forth in the Letter of Transmittal; and (c) to take such other action as necessary under the Prospectus or the Letter of Transmittal to effect the valid tender of such Notes.</w:t>
      </w:r>
    </w:p>
    <w:p>
      <w:pPr>
        <w:sectPr>
          <w:pgSz w:w="11900" w:h="16838" w:orient="portrait"/>
          <w:cols w:equalWidth="0" w:num="1">
            <w:col w:w="10239"/>
          </w:cols>
          <w:pgMar w:left="220" w:top="476" w:right="1440" w:bottom="1440" w:gutter="0" w:footer="0" w:header="0"/>
        </w:sectPr>
      </w:pPr>
    </w:p>
    <w:bookmarkStart w:id="289" w:name="page290"/>
    <w:bookmarkEnd w:id="289"/>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SIGN HERE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beneficial owner(s):____________________________________________________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Signature(s):___________________________________________________________________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(please print):____________________________________________________________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Address:________________________________________________________________________</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Telephone number: (___)_________________________________________________________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Taxpayer Identification or Social Security Number:______________________________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Date:___________________________________________________________________________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90" w:name="page291"/>
    <w:bookmarkEnd w:id="290"/>
    <w:p>
      <w:pPr>
        <w:ind w:left="5920"/>
        <w:spacing w:after="0"/>
        <w:rPr>
          <w:sz w:val="20"/>
          <w:szCs w:val="20"/>
          <w:color w:val="auto"/>
        </w:rPr>
      </w:pPr>
      <w:r>
        <w:rPr>
          <w:rFonts w:ascii="Courier New" w:cs="Courier New" w:eastAsia="Courier New" w:hAnsi="Courier New"/>
          <w:sz w:val="14"/>
          <w:szCs w:val="14"/>
          <w:color w:val="auto"/>
        </w:rPr>
        <w:t>Exhibit 99.3</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NOTICE OF GUARANTEED DELIVERY</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WITH RESPECT TO</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87/8% SENIOR SUBORDINATED NOTES DUE 2011</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OF</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RADIO ONE, INC.</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PURSUANT TO THE PROSPECTUS DATED ., 2001.</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form must be used by a holder of 87/8% Senior Subordinated Notes due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2011 (the "Notes") of Radio One, Inc., a Delaware corporation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 wishes to tender Notes to the Exchange Agent pursuant to the guaranteed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delivery procedures described in "Exchange Offer; Registration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Rights--Guaranteed Delivery Procedures" of the Company's Prospectus, dated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(the "Prospectus"), and in Instruction 2 to the related Letter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Transmittal. Any holder who wishes to tender Notes pursuant to such guaranteed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delivery procedures must ensure that the Exchange Agent receives this Notice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Guaranteed Delivery prior to the Expiration Date of the Exchange Offer.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Capitalized terms used but not defined herein have the meanings ascribed to them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Prospectus or the Letter of Transmittal.</w:t>
      </w:r>
    </w:p>
    <w:p>
      <w:pPr>
        <w:spacing w:after="0" w:line="175" w:lineRule="exact"/>
        <w:rPr>
          <w:sz w:val="20"/>
          <w:szCs w:val="20"/>
          <w:color w:val="auto"/>
        </w:rPr>
      </w:pPr>
    </w:p>
    <w:p>
      <w:pPr>
        <w:ind w:left="180" w:hanging="171"/>
        <w:spacing w:after="0"/>
        <w:tabs>
          <w:tab w:leader="none" w:pos="180"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OFFER AND WITHDRAWAL RIGHTS WILL EXPIRE AT 5:00 P.M., NEW YORK CITY TIME, ON ., 2001, UNLESS EXTENDED (THE "EXPIRATION DATE").</w:t>
      </w:r>
    </w:p>
    <w:p>
      <w:pPr>
        <w:ind w:left="180" w:hanging="171"/>
        <w:spacing w:after="0"/>
        <w:tabs>
          <w:tab w:leader="none" w:pos="180"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United States Trust Company of New York</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(the "Exchange Agent")</w:t>
      </w:r>
    </w:p>
    <w:p>
      <w:pPr>
        <w:sectPr>
          <w:pgSz w:w="11900" w:h="16838" w:orient="portrait"/>
          <w:cols w:equalWidth="0" w:num="1">
            <w:col w:w="10239"/>
          </w:cols>
          <w:pgMar w:left="220" w:top="475"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By Overnight Courier and by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Hand Delivery After 4:30 p.m.: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By Hand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4:30 p.m.: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right"/>
        <w:ind w:right="1119"/>
        <w:spacing w:after="0"/>
        <w:rPr>
          <w:sz w:val="20"/>
          <w:szCs w:val="20"/>
          <w:color w:val="auto"/>
        </w:rPr>
      </w:pPr>
      <w:r>
        <w:rPr>
          <w:rFonts w:ascii="Courier New" w:cs="Courier New" w:eastAsia="Courier New" w:hAnsi="Courier New"/>
          <w:sz w:val="14"/>
          <w:szCs w:val="14"/>
          <w:color w:val="auto"/>
        </w:rPr>
        <w:t>By Registered or</w:t>
      </w:r>
    </w:p>
    <w:p>
      <w:pPr>
        <w:spacing w:after="0" w:line="8" w:lineRule="exact"/>
        <w:rPr>
          <w:sz w:val="20"/>
          <w:szCs w:val="20"/>
          <w:color w:val="auto"/>
        </w:rPr>
      </w:pPr>
    </w:p>
    <w:p>
      <w:pPr>
        <w:jc w:val="right"/>
        <w:ind w:right="1119"/>
        <w:spacing w:after="0"/>
        <w:rPr>
          <w:sz w:val="20"/>
          <w:szCs w:val="20"/>
          <w:color w:val="auto"/>
        </w:rPr>
      </w:pPr>
      <w:r>
        <w:rPr>
          <w:rFonts w:ascii="Courier New" w:cs="Courier New" w:eastAsia="Courier New" w:hAnsi="Courier New"/>
          <w:sz w:val="14"/>
          <w:szCs w:val="14"/>
          <w:color w:val="auto"/>
        </w:rPr>
        <w:t>Certified Mail:</w:t>
      </w:r>
    </w:p>
    <w:p>
      <w:pPr>
        <w:spacing w:after="0" w:line="175" w:lineRule="exact"/>
        <w:rPr>
          <w:sz w:val="20"/>
          <w:szCs w:val="20"/>
          <w:color w:val="auto"/>
        </w:rPr>
      </w:pPr>
    </w:p>
    <w:p>
      <w:pPr>
        <w:sectPr>
          <w:pgSz w:w="11900" w:h="16838" w:orient="portrait"/>
          <w:cols w:equalWidth="0" w:num="3">
            <w:col w:w="3620" w:space="720"/>
            <w:col w:w="2680" w:space="720"/>
            <w:col w:w="2499"/>
          </w:cols>
          <w:pgMar w:left="220" w:top="475"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United States Trust Company</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of New York</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30 Broad Street, 14th Floor</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York, New York 10004-2304</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United States Trust Company</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of New York</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30 Broad Street, B-Level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10004-2304</w:t>
      </w:r>
    </w:p>
    <w:p>
      <w:pPr>
        <w:spacing w:after="0" w:line="20" w:lineRule="exact"/>
        <w:rPr>
          <w:sz w:val="20"/>
          <w:szCs w:val="20"/>
          <w:color w:val="auto"/>
        </w:rPr>
      </w:pPr>
      <w:r>
        <w:rPr>
          <w:sz w:val="20"/>
          <w:szCs w:val="20"/>
          <w:color w:val="auto"/>
        </w:rPr>
        <w:br w:type="column"/>
      </w:r>
    </w:p>
    <w:p>
      <w:pPr>
        <w:jc w:val="center"/>
        <w:ind w:right="599"/>
        <w:spacing w:after="0"/>
        <w:rPr>
          <w:sz w:val="20"/>
          <w:szCs w:val="20"/>
          <w:color w:val="auto"/>
        </w:rPr>
      </w:pPr>
      <w:r>
        <w:rPr>
          <w:rFonts w:ascii="Courier New" w:cs="Courier New" w:eastAsia="Courier New" w:hAnsi="Courier New"/>
          <w:sz w:val="14"/>
          <w:szCs w:val="14"/>
          <w:color w:val="auto"/>
        </w:rPr>
        <w:t>United States Trust Company</w:t>
      </w:r>
    </w:p>
    <w:p>
      <w:pPr>
        <w:spacing w:after="0" w:line="8"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4"/>
          <w:szCs w:val="14"/>
          <w:color w:val="auto"/>
        </w:rPr>
        <w:t>of New York</w:t>
      </w:r>
    </w:p>
    <w:p>
      <w:pPr>
        <w:spacing w:after="0" w:line="8"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4"/>
          <w:szCs w:val="14"/>
          <w:color w:val="auto"/>
        </w:rPr>
        <w:t>112 Bowling Green Station</w:t>
      </w:r>
    </w:p>
    <w:p>
      <w:pPr>
        <w:spacing w:after="0" w:line="8"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4"/>
          <w:szCs w:val="14"/>
          <w:color w:val="auto"/>
        </w:rPr>
        <w:t>New York, New York 10274-0084</w:t>
      </w:r>
    </w:p>
    <w:p>
      <w:pPr>
        <w:spacing w:after="0" w:line="200" w:lineRule="exact"/>
        <w:rPr>
          <w:sz w:val="20"/>
          <w:szCs w:val="20"/>
          <w:color w:val="auto"/>
        </w:rPr>
      </w:pPr>
    </w:p>
    <w:p>
      <w:pPr>
        <w:sectPr>
          <w:pgSz w:w="11900" w:h="16838" w:orient="portrait"/>
          <w:cols w:equalWidth="0" w:num="3">
            <w:col w:w="3100" w:space="720"/>
            <w:col w:w="2580" w:space="720"/>
            <w:col w:w="3119"/>
          </w:cols>
          <w:pgMar w:left="220" w:top="475" w:right="1440" w:bottom="1440" w:gutter="0" w:footer="0" w:header="0"/>
          <w:type w:val="continuous"/>
        </w:sectPr>
      </w:pPr>
    </w:p>
    <w:p>
      <w:pPr>
        <w:spacing w:after="0" w:line="142"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Delivery of this instrument to an address other than as set forth above will not constitute a valid delivery.</w:t>
      </w:r>
    </w:p>
    <w:p>
      <w:pPr>
        <w:spacing w:after="0" w:line="16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For any questions regarding the Letter of Transmittal or for any additional information, you may contact the Exchange Agent by telephone at 800-548-6565 or by facsimile at 646-458-1111.</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This form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ectPr>
          <w:pgSz w:w="11900" w:h="16838" w:orient="portrait"/>
          <w:cols w:equalWidth="0" w:num="1">
            <w:col w:w="10239"/>
          </w:cols>
          <w:pgMar w:left="220" w:top="475" w:right="1440" w:bottom="1440" w:gutter="0" w:footer="0" w:header="0"/>
          <w:type w:val="continuous"/>
        </w:sectPr>
      </w:pPr>
    </w:p>
    <w:bookmarkStart w:id="291" w:name="page292"/>
    <w:bookmarkEnd w:id="291"/>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undersigned hereby tenders to the Company, upon the terms and subject to the conditions set forth in the Prospectus and the related Letter of Transmittal, receipt of which is hereby acknowledged, the principal amount of Notes set forth below pursuant to the guaranteed delivery procedures set forth in the Prospectus and in Instruction 2 of the Letter of Transmittal.</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undersigned hereby tenders the Notes listed below:</w:t>
      </w:r>
    </w:p>
    <w:p>
      <w:pPr>
        <w:spacing w:after="0" w:line="200" w:lineRule="exact"/>
        <w:rPr>
          <w:sz w:val="20"/>
          <w:szCs w:val="20"/>
          <w:color w:val="auto"/>
        </w:rPr>
      </w:pPr>
    </w:p>
    <w:p>
      <w:pPr>
        <w:spacing w:after="0" w:line="30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20"/>
        <w:spacing w:after="0"/>
        <w:tabs>
          <w:tab w:leader="none" w:pos="4940" w:val="left"/>
          <w:tab w:leader="none" w:pos="7360" w:val="left"/>
        </w:tabs>
        <w:rPr>
          <w:sz w:val="20"/>
          <w:szCs w:val="20"/>
          <w:color w:val="auto"/>
        </w:rPr>
      </w:pPr>
      <w:r>
        <w:rPr>
          <w:rFonts w:ascii="Courier New" w:cs="Courier New" w:eastAsia="Courier New" w:hAnsi="Courier New"/>
          <w:sz w:val="14"/>
          <w:szCs w:val="14"/>
          <w:color w:val="auto"/>
        </w:rPr>
        <w:t>Certificate Number(s) (if known) of Notes or</w:t>
      </w:r>
      <w:r>
        <w:rPr>
          <w:sz w:val="20"/>
          <w:szCs w:val="20"/>
          <w:color w:val="auto"/>
        </w:rPr>
        <w:tab/>
      </w:r>
      <w:r>
        <w:rPr>
          <w:rFonts w:ascii="Courier New" w:cs="Courier New" w:eastAsia="Courier New" w:hAnsi="Courier New"/>
          <w:sz w:val="14"/>
          <w:szCs w:val="14"/>
          <w:color w:val="auto"/>
        </w:rPr>
        <w:t>Aggregate Principal</w:t>
      </w:r>
      <w:r>
        <w:rPr>
          <w:sz w:val="20"/>
          <w:szCs w:val="20"/>
          <w:color w:val="auto"/>
        </w:rPr>
        <w:tab/>
      </w:r>
      <w:r>
        <w:rPr>
          <w:rFonts w:ascii="Courier New" w:cs="Courier New" w:eastAsia="Courier New" w:hAnsi="Courier New"/>
          <w:sz w:val="14"/>
          <w:szCs w:val="14"/>
          <w:color w:val="auto"/>
        </w:rPr>
        <w:t>Aggregate Principal</w:t>
      </w:r>
    </w:p>
    <w:p>
      <w:pPr>
        <w:spacing w:after="0" w:line="8" w:lineRule="exact"/>
        <w:rPr>
          <w:sz w:val="20"/>
          <w:szCs w:val="20"/>
          <w:color w:val="auto"/>
        </w:rPr>
      </w:pPr>
    </w:p>
    <w:p>
      <w:pPr>
        <w:ind w:left="620"/>
        <w:spacing w:after="0"/>
        <w:tabs>
          <w:tab w:leader="none" w:pos="5020" w:val="left"/>
          <w:tab w:leader="none" w:pos="7540" w:val="left"/>
        </w:tabs>
        <w:rPr>
          <w:sz w:val="20"/>
          <w:szCs w:val="20"/>
          <w:color w:val="auto"/>
        </w:rPr>
      </w:pPr>
      <w:r>
        <w:rPr>
          <w:rFonts w:ascii="Courier New" w:cs="Courier New" w:eastAsia="Courier New" w:hAnsi="Courier New"/>
          <w:sz w:val="14"/>
          <w:szCs w:val="14"/>
          <w:color w:val="auto"/>
        </w:rPr>
        <w:t>Account Number at the Book-Entry Facility</w:t>
      </w:r>
      <w:r>
        <w:rPr>
          <w:sz w:val="20"/>
          <w:szCs w:val="20"/>
          <w:color w:val="auto"/>
        </w:rPr>
        <w:tab/>
      </w:r>
      <w:r>
        <w:rPr>
          <w:rFonts w:ascii="Courier New" w:cs="Courier New" w:eastAsia="Courier New" w:hAnsi="Courier New"/>
          <w:sz w:val="14"/>
          <w:szCs w:val="14"/>
          <w:color w:val="auto"/>
        </w:rPr>
        <w:t>Amount Represented</w:t>
      </w:r>
      <w:r>
        <w:rPr>
          <w:sz w:val="20"/>
          <w:szCs w:val="20"/>
          <w:color w:val="auto"/>
        </w:rPr>
        <w:tab/>
      </w:r>
      <w:r>
        <w:rPr>
          <w:rFonts w:ascii="Courier New" w:cs="Courier New" w:eastAsia="Courier New" w:hAnsi="Courier New"/>
          <w:sz w:val="14"/>
          <w:szCs w:val="14"/>
          <w:color w:val="auto"/>
        </w:rPr>
        <w:t>Amount Tendered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92" w:name="page293"/>
    <w:bookmarkEnd w:id="292"/>
    <w:p>
      <w:pPr>
        <w:ind w:left="180" w:hanging="171"/>
        <w:spacing w:after="0"/>
        <w:tabs>
          <w:tab w:leader="none" w:pos="180"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SIGN AND COMPLETE</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20"/>
                <w:szCs w:val="20"/>
                <w:color w:val="auto"/>
              </w:rPr>
            </w:pPr>
            <w:r>
              <w:rPr>
                <w:rFonts w:ascii="Courier New" w:cs="Courier New" w:eastAsia="Courier New" w:hAnsi="Courier New"/>
                <w:sz w:val="14"/>
                <w:szCs w:val="14"/>
                <w:color w:val="auto"/>
              </w:rPr>
              <w:t>Signatures of Registered Holder(s) or</w:t>
            </w:r>
          </w:p>
        </w:tc>
        <w:tc>
          <w:tcPr>
            <w:tcW w:w="5260" w:type="dxa"/>
            <w:vAlign w:val="bottom"/>
          </w:tcPr>
          <w:p>
            <w:pPr>
              <w:jc w:val="right"/>
              <w:ind w:right="3148"/>
              <w:spacing w:after="0"/>
              <w:rPr>
                <w:sz w:val="20"/>
                <w:szCs w:val="20"/>
                <w:color w:val="auto"/>
              </w:rPr>
            </w:pPr>
            <w:r>
              <w:rPr>
                <w:rFonts w:ascii="Courier New" w:cs="Courier New" w:eastAsia="Courier New" w:hAnsi="Courier New"/>
                <w:sz w:val="14"/>
                <w:szCs w:val="14"/>
                <w:color w:val="auto"/>
              </w:rPr>
              <w:t>Date: _______, 2001</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Authorized Signatory:</w:t>
            </w:r>
          </w:p>
        </w:tc>
        <w:tc>
          <w:tcPr>
            <w:tcW w:w="5260" w:type="dxa"/>
            <w:vAlign w:val="bottom"/>
          </w:tcPr>
          <w:p>
            <w:pPr>
              <w:spacing w:after="0"/>
              <w:rPr>
                <w:sz w:val="14"/>
                <w:szCs w:val="14"/>
                <w:color w:val="auto"/>
              </w:rPr>
            </w:pPr>
          </w:p>
        </w:tc>
      </w:tr>
      <w:tr>
        <w:trPr>
          <w:trHeight w:val="334"/>
        </w:trPr>
        <w:tc>
          <w:tcPr>
            <w:tcW w:w="4820" w:type="dxa"/>
            <w:vAlign w:val="bottom"/>
          </w:tcPr>
          <w:p>
            <w:pPr>
              <w:spacing w:after="0"/>
              <w:rPr>
                <w:sz w:val="24"/>
                <w:szCs w:val="24"/>
                <w:color w:val="auto"/>
              </w:rPr>
            </w:pPr>
          </w:p>
        </w:tc>
        <w:tc>
          <w:tcPr>
            <w:tcW w:w="5260" w:type="dxa"/>
            <w:vAlign w:val="bottom"/>
          </w:tcPr>
          <w:p>
            <w:pPr>
              <w:jc w:val="right"/>
              <w:spacing w:after="0"/>
              <w:rPr>
                <w:sz w:val="20"/>
                <w:szCs w:val="20"/>
                <w:color w:val="auto"/>
              </w:rPr>
            </w:pPr>
            <w:r>
              <w:rPr>
                <w:rFonts w:ascii="Courier New" w:cs="Courier New" w:eastAsia="Courier New" w:hAnsi="Courier New"/>
                <w:sz w:val="14"/>
                <w:szCs w:val="14"/>
                <w:color w:val="auto"/>
              </w:rPr>
              <w:t>Address:________________________________________________</w:t>
            </w:r>
          </w:p>
        </w:tc>
      </w:tr>
      <w:tr>
        <w:trPr>
          <w:trHeight w:val="167"/>
        </w:trPr>
        <w:tc>
          <w:tcPr>
            <w:tcW w:w="4820" w:type="dxa"/>
            <w:vAlign w:val="bottom"/>
          </w:tcPr>
          <w:p>
            <w:pPr>
              <w:spacing w:after="0"/>
              <w:rPr>
                <w:sz w:val="14"/>
                <w:szCs w:val="14"/>
                <w:color w:val="auto"/>
              </w:rPr>
            </w:pPr>
          </w:p>
        </w:tc>
        <w:tc>
          <w:tcPr>
            <w:tcW w:w="526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________________________________________________</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___________________________________________________</w:t>
            </w:r>
          </w:p>
        </w:tc>
        <w:tc>
          <w:tcPr>
            <w:tcW w:w="526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________________________________________________</w:t>
            </w:r>
          </w:p>
        </w:tc>
      </w:tr>
      <w:tr>
        <w:trPr>
          <w:trHeight w:val="334"/>
        </w:trPr>
        <w:tc>
          <w:tcPr>
            <w:tcW w:w="4820" w:type="dxa"/>
            <w:vAlign w:val="bottom"/>
          </w:tcPr>
          <w:p>
            <w:pPr>
              <w:spacing w:after="0"/>
              <w:rPr>
                <w:sz w:val="20"/>
                <w:szCs w:val="20"/>
                <w:color w:val="auto"/>
              </w:rPr>
            </w:pPr>
            <w:r>
              <w:rPr>
                <w:rFonts w:ascii="Courier New" w:cs="Courier New" w:eastAsia="Courier New" w:hAnsi="Courier New"/>
                <w:sz w:val="14"/>
                <w:szCs w:val="14"/>
                <w:color w:val="auto"/>
              </w:rPr>
              <w:t>Name(s) of Registered Holder(s):</w:t>
            </w:r>
          </w:p>
        </w:tc>
        <w:tc>
          <w:tcPr>
            <w:tcW w:w="5260" w:type="dxa"/>
            <w:vAlign w:val="bottom"/>
          </w:tcPr>
          <w:p>
            <w:pPr>
              <w:jc w:val="right"/>
              <w:spacing w:after="0"/>
              <w:rPr>
                <w:sz w:val="20"/>
                <w:szCs w:val="20"/>
                <w:color w:val="auto"/>
              </w:rPr>
            </w:pPr>
            <w:r>
              <w:rPr>
                <w:rFonts w:ascii="Courier New" w:cs="Courier New" w:eastAsia="Courier New" w:hAnsi="Courier New"/>
                <w:sz w:val="14"/>
                <w:szCs w:val="14"/>
                <w:color w:val="auto"/>
              </w:rPr>
              <w:t>Area Code and Telephone No._____________________________</w:t>
            </w:r>
          </w:p>
        </w:tc>
      </w:tr>
      <w:tr>
        <w:trPr>
          <w:trHeight w:val="334"/>
        </w:trPr>
        <w:tc>
          <w:tcPr>
            <w:tcW w:w="4820" w:type="dxa"/>
            <w:vAlign w:val="bottom"/>
          </w:tcPr>
          <w:p>
            <w:pPr>
              <w:spacing w:after="0"/>
              <w:rPr>
                <w:sz w:val="20"/>
                <w:szCs w:val="20"/>
                <w:color w:val="auto"/>
              </w:rPr>
            </w:pPr>
            <w:r>
              <w:rPr>
                <w:rFonts w:ascii="Courier New" w:cs="Courier New" w:eastAsia="Courier New" w:hAnsi="Courier New"/>
                <w:sz w:val="14"/>
                <w:szCs w:val="14"/>
                <w:color w:val="auto"/>
              </w:rPr>
              <w:t>___________________________________________________</w:t>
            </w:r>
          </w:p>
        </w:tc>
        <w:tc>
          <w:tcPr>
            <w:tcW w:w="5260" w:type="dxa"/>
            <w:vAlign w:val="bottom"/>
          </w:tcPr>
          <w:p>
            <w:pPr>
              <w:spacing w:after="0"/>
              <w:rPr>
                <w:sz w:val="24"/>
                <w:szCs w:val="24"/>
                <w:color w:val="auto"/>
              </w:rPr>
            </w:pPr>
          </w:p>
        </w:tc>
      </w:tr>
      <w:tr>
        <w:trPr>
          <w:trHeight w:val="334"/>
        </w:trPr>
        <w:tc>
          <w:tcPr>
            <w:tcW w:w="4820" w:type="dxa"/>
            <w:vAlign w:val="bottom"/>
          </w:tcPr>
          <w:p>
            <w:pPr>
              <w:spacing w:after="0"/>
              <w:rPr>
                <w:sz w:val="20"/>
                <w:szCs w:val="20"/>
                <w:color w:val="auto"/>
              </w:rPr>
            </w:pPr>
            <w:r>
              <w:rPr>
                <w:rFonts w:ascii="Courier New" w:cs="Courier New" w:eastAsia="Courier New" w:hAnsi="Courier New"/>
                <w:sz w:val="14"/>
                <w:szCs w:val="14"/>
                <w:color w:val="auto"/>
              </w:rPr>
              <w:t>___________________________________________________</w:t>
            </w:r>
          </w:p>
        </w:tc>
        <w:tc>
          <w:tcPr>
            <w:tcW w:w="5260" w:type="dxa"/>
            <w:vAlign w:val="bottom"/>
          </w:tcPr>
          <w:p>
            <w:pPr>
              <w:spacing w:after="0"/>
              <w:rPr>
                <w:sz w:val="24"/>
                <w:szCs w:val="24"/>
                <w:color w:val="auto"/>
              </w:rPr>
            </w:pPr>
          </w:p>
        </w:tc>
      </w:tr>
      <w:tr>
        <w:trPr>
          <w:trHeight w:val="334"/>
        </w:trPr>
        <w:tc>
          <w:tcPr>
            <w:tcW w:w="4820" w:type="dxa"/>
            <w:vAlign w:val="bottom"/>
          </w:tcPr>
          <w:p>
            <w:pPr>
              <w:spacing w:after="0"/>
              <w:rPr>
                <w:sz w:val="20"/>
                <w:szCs w:val="20"/>
                <w:color w:val="auto"/>
              </w:rPr>
            </w:pPr>
            <w:r>
              <w:rPr>
                <w:rFonts w:ascii="Courier New" w:cs="Courier New" w:eastAsia="Courier New" w:hAnsi="Courier New"/>
                <w:sz w:val="14"/>
                <w:szCs w:val="14"/>
                <w:color w:val="auto"/>
              </w:rPr>
              <w:t>___________________________________________________</w:t>
            </w:r>
          </w:p>
        </w:tc>
        <w:tc>
          <w:tcPr>
            <w:tcW w:w="5260" w:type="dxa"/>
            <w:vAlign w:val="bottom"/>
          </w:tcPr>
          <w:p>
            <w:pPr>
              <w:spacing w:after="0"/>
              <w:rPr>
                <w:sz w:val="24"/>
                <w:szCs w:val="24"/>
                <w:color w:val="auto"/>
              </w:rPr>
            </w:pPr>
          </w:p>
        </w:tc>
      </w:tr>
    </w:tbl>
    <w:p>
      <w:pPr>
        <w:spacing w:after="0" w:line="171" w:lineRule="exact"/>
        <w:rPr>
          <w:sz w:val="20"/>
          <w:szCs w:val="20"/>
          <w:color w:val="auto"/>
        </w:rPr>
      </w:pPr>
    </w:p>
    <w:p>
      <w:pPr>
        <w:ind w:left="180" w:hanging="171"/>
        <w:spacing w:after="0"/>
        <w:tabs>
          <w:tab w:leader="none" w:pos="180"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60" w:firstLine="781"/>
        <w:spacing w:after="0" w:line="253" w:lineRule="auto"/>
        <w:rPr>
          <w:sz w:val="20"/>
          <w:szCs w:val="20"/>
          <w:color w:val="auto"/>
        </w:rPr>
      </w:pPr>
      <w:r>
        <w:rPr>
          <w:rFonts w:ascii="Courier New" w:cs="Courier New" w:eastAsia="Courier New" w:hAnsi="Courier New"/>
          <w:sz w:val="14"/>
          <w:szCs w:val="14"/>
          <w:color w:val="auto"/>
        </w:rPr>
        <w:t>This Notice of Guaranteed Delivery must be signed by the Holder(s) exactly as their name(s) appear on certificates for Notes or on a security position listing as the owner of Notes, or by person(s) authorized to become Holder(s) by endorsements and documents transmitted with this Notice of Guaranteed Delivery. If signature is by a trustee, executor, administrator, guardian, attorney-in-fact, officer or other person acting in a fiduciary or representative capacity, such person must provide the following information.</w:t>
      </w:r>
    </w:p>
    <w:p>
      <w:pPr>
        <w:spacing w:after="0" w:line="165"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4"/>
          <w:szCs w:val="14"/>
          <w:color w:val="auto"/>
        </w:rPr>
        <w:t>Please print name(s) and address(es)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Name(s):________________________________________________________________________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Capacity:_______________________________________________________________________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Address(es):____________________________________________________________________</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____________________________________________________________________</w:t>
      </w:r>
    </w:p>
    <w:p>
      <w:pPr>
        <w:spacing w:after="0" w:line="175" w:lineRule="exact"/>
        <w:rPr>
          <w:sz w:val="20"/>
          <w:szCs w:val="20"/>
          <w:color w:val="auto"/>
        </w:rPr>
      </w:pPr>
    </w:p>
    <w:p>
      <w:pPr>
        <w:ind w:left="180" w:hanging="171"/>
        <w:spacing w:after="0"/>
        <w:tabs>
          <w:tab w:leader="none" w:pos="180"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3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ectPr>
          <w:pgSz w:w="11900" w:h="16838" w:orient="portrait"/>
          <w:cols w:equalWidth="0" w:num="1">
            <w:col w:w="10260"/>
          </w:cols>
          <w:pgMar w:left="220" w:top="954" w:right="1419" w:bottom="1440" w:gutter="0" w:footer="0" w:header="0"/>
        </w:sectPr>
      </w:pPr>
    </w:p>
    <w:bookmarkStart w:id="293" w:name="page294"/>
    <w:bookmarkEnd w:id="293"/>
    <w:p>
      <w:pPr>
        <w:ind w:left="180" w:hanging="171"/>
        <w:spacing w:after="0"/>
        <w:tabs>
          <w:tab w:leader="none" w:pos="180"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(Not to be used for signature guarantee)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undersigned, a firm which is a member of a registered national securities exchange or of the National Association of Securities Dealers, Inc., or is a commercial bank or trust company having an office or correspondent in the United States, or is otherwise an "eligible guarantor institution" within the meaning of Rule 17Ad-15 under the Securities Exchange Act of 1934, as amended, guarantees deposit with the Exchange Agent of the Letter of Transmittal (or facsimile thereof), together with the Notes tendered hereby in proper form for transfer (or confirmation of the book-entry transfer of such Notes into the Exchange Agent's account at the Book-Entry Transfer Facility described in the Prospectus under the caption "Exchange Offer--Guaranteed Delivery Procedures" and in the Letter of Transmittal) and any other required documents, all by 5:00 p.m., New York City time, on the fifth New York Stock Exchange trading day following the Expiration Date.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Name of Firm:____________________________</w:t>
            </w:r>
          </w:p>
        </w:tc>
        <w:tc>
          <w:tcPr>
            <w:tcW w:w="3120" w:type="dxa"/>
            <w:vAlign w:val="bottom"/>
          </w:tcPr>
          <w:p>
            <w:pPr>
              <w:ind w:left="180"/>
              <w:spacing w:after="0"/>
              <w:rPr>
                <w:sz w:val="20"/>
                <w:szCs w:val="20"/>
                <w:color w:val="auto"/>
              </w:rPr>
            </w:pPr>
            <w:r>
              <w:rPr>
                <w:rFonts w:ascii="Courier New" w:cs="Courier New" w:eastAsia="Courier New" w:hAnsi="Courier New"/>
                <w:sz w:val="14"/>
                <w:szCs w:val="14"/>
                <w:color w:val="auto"/>
              </w:rPr>
              <w:t>__________________________________</w:t>
            </w:r>
          </w:p>
        </w:tc>
      </w:tr>
      <w:tr>
        <w:trPr>
          <w:trHeight w:val="167"/>
        </w:trPr>
        <w:tc>
          <w:tcPr>
            <w:tcW w:w="3740" w:type="dxa"/>
            <w:vAlign w:val="bottom"/>
          </w:tcPr>
          <w:p>
            <w:pPr>
              <w:spacing w:after="0"/>
              <w:rPr>
                <w:sz w:val="14"/>
                <w:szCs w:val="14"/>
                <w:color w:val="auto"/>
              </w:rPr>
            </w:pPr>
          </w:p>
        </w:tc>
        <w:tc>
          <w:tcPr>
            <w:tcW w:w="3120" w:type="dxa"/>
            <w:vAlign w:val="bottom"/>
          </w:tcPr>
          <w:p>
            <w:pPr>
              <w:ind w:left="860"/>
              <w:spacing w:after="0"/>
              <w:rPr>
                <w:sz w:val="20"/>
                <w:szCs w:val="20"/>
                <w:color w:val="auto"/>
              </w:rPr>
            </w:pPr>
            <w:r>
              <w:rPr>
                <w:rFonts w:ascii="Courier New" w:cs="Courier New" w:eastAsia="Courier New" w:hAnsi="Courier New"/>
                <w:sz w:val="14"/>
                <w:szCs w:val="14"/>
                <w:color w:val="auto"/>
              </w:rPr>
              <w:t>Authorized Signature</w:t>
            </w:r>
          </w:p>
        </w:tc>
      </w:tr>
      <w:tr>
        <w:trPr>
          <w:trHeight w:val="334"/>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Address:_________________________________</w:t>
            </w:r>
          </w:p>
        </w:tc>
        <w:tc>
          <w:tcPr>
            <w:tcW w:w="3120" w:type="dxa"/>
            <w:vAlign w:val="bottom"/>
          </w:tcPr>
          <w:p>
            <w:pPr>
              <w:ind w:left="180"/>
              <w:spacing w:after="0"/>
              <w:rPr>
                <w:sz w:val="20"/>
                <w:szCs w:val="20"/>
                <w:color w:val="auto"/>
              </w:rPr>
            </w:pPr>
            <w:r>
              <w:rPr>
                <w:rFonts w:ascii="Courier New" w:cs="Courier New" w:eastAsia="Courier New" w:hAnsi="Courier New"/>
                <w:sz w:val="14"/>
                <w:szCs w:val="14"/>
                <w:color w:val="auto"/>
              </w:rPr>
              <w:t>Name:_____________________________</w:t>
            </w:r>
          </w:p>
        </w:tc>
      </w:tr>
      <w:tr>
        <w:trPr>
          <w:trHeight w:val="167"/>
        </w:trPr>
        <w:tc>
          <w:tcPr>
            <w:tcW w:w="3740" w:type="dxa"/>
            <w:vAlign w:val="bottom"/>
          </w:tcPr>
          <w:p>
            <w:pPr>
              <w:spacing w:after="0"/>
              <w:rPr>
                <w:sz w:val="14"/>
                <w:szCs w:val="14"/>
                <w:color w:val="auto"/>
              </w:rPr>
            </w:pPr>
          </w:p>
        </w:tc>
        <w:tc>
          <w:tcPr>
            <w:tcW w:w="3120" w:type="dxa"/>
            <w:vAlign w:val="bottom"/>
          </w:tcPr>
          <w:p>
            <w:pPr>
              <w:ind w:left="1300"/>
              <w:spacing w:after="0"/>
              <w:rPr>
                <w:sz w:val="20"/>
                <w:szCs w:val="20"/>
                <w:color w:val="auto"/>
              </w:rPr>
            </w:pPr>
            <w:r>
              <w:rPr>
                <w:rFonts w:ascii="Courier New" w:cs="Courier New" w:eastAsia="Courier New" w:hAnsi="Courier New"/>
                <w:sz w:val="14"/>
                <w:szCs w:val="14"/>
                <w:color w:val="auto"/>
              </w:rPr>
              <w:t>(Please Print)</w:t>
            </w:r>
          </w:p>
        </w:tc>
      </w:tr>
      <w:tr>
        <w:trPr>
          <w:trHeight w:val="167"/>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_________________________________</w:t>
            </w:r>
          </w:p>
        </w:tc>
        <w:tc>
          <w:tcPr>
            <w:tcW w:w="3120" w:type="dxa"/>
            <w:vAlign w:val="bottom"/>
          </w:tcPr>
          <w:p>
            <w:pPr>
              <w:spacing w:after="0"/>
              <w:rPr>
                <w:sz w:val="14"/>
                <w:szCs w:val="14"/>
                <w:color w:val="auto"/>
              </w:rPr>
            </w:pPr>
          </w:p>
        </w:tc>
      </w:tr>
      <w:tr>
        <w:trPr>
          <w:trHeight w:val="167"/>
        </w:trPr>
        <w:tc>
          <w:tcPr>
            <w:tcW w:w="37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(Include Zip Code)</w:t>
            </w:r>
          </w:p>
        </w:tc>
        <w:tc>
          <w:tcPr>
            <w:tcW w:w="3120" w:type="dxa"/>
            <w:vAlign w:val="bottom"/>
          </w:tcPr>
          <w:p>
            <w:pPr>
              <w:ind w:left="180"/>
              <w:spacing w:after="0"/>
              <w:rPr>
                <w:sz w:val="20"/>
                <w:szCs w:val="20"/>
                <w:color w:val="auto"/>
              </w:rPr>
            </w:pPr>
            <w:r>
              <w:rPr>
                <w:rFonts w:ascii="Courier New" w:cs="Courier New" w:eastAsia="Courier New" w:hAnsi="Courier New"/>
                <w:sz w:val="14"/>
                <w:szCs w:val="14"/>
                <w:color w:val="auto"/>
              </w:rPr>
              <w:t>Title:____________________________</w:t>
            </w:r>
          </w:p>
        </w:tc>
      </w:tr>
      <w:tr>
        <w:trPr>
          <w:trHeight w:val="334"/>
        </w:trPr>
        <w:tc>
          <w:tcPr>
            <w:tcW w:w="3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Area Code and Tel. No. (___)_____________</w:t>
            </w:r>
          </w:p>
        </w:tc>
        <w:tc>
          <w:tcPr>
            <w:tcW w:w="3120" w:type="dxa"/>
            <w:vAlign w:val="bottom"/>
          </w:tcPr>
          <w:p>
            <w:pPr>
              <w:ind w:left="180"/>
              <w:spacing w:after="0"/>
              <w:rPr>
                <w:sz w:val="20"/>
                <w:szCs w:val="20"/>
                <w:color w:val="auto"/>
              </w:rPr>
            </w:pPr>
            <w:r>
              <w:rPr>
                <w:rFonts w:ascii="Courier New" w:cs="Courier New" w:eastAsia="Courier New" w:hAnsi="Courier New"/>
                <w:sz w:val="14"/>
                <w:szCs w:val="14"/>
                <w:color w:val="auto"/>
              </w:rPr>
              <w:t>Dated:______________________, 2001</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DO NOT SEND SECURITIES WITH THIS FORM. ACTUAL SURRENDER OF SECURITIES MUST BE MADE PURSUANT TO, AND BE ACCOMPANIED BY, AN EXECUTED LETTER OF TRANSMITTAL.</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294" w:name="page295"/>
    <w:bookmarkEnd w:id="294"/>
    <w:p>
      <w:pPr>
        <w:ind w:left="1480"/>
        <w:spacing w:after="0"/>
        <w:rPr>
          <w:sz w:val="20"/>
          <w:szCs w:val="20"/>
          <w:color w:val="auto"/>
        </w:rPr>
      </w:pPr>
      <w:r>
        <w:rPr>
          <w:rFonts w:ascii="Courier New" w:cs="Courier New" w:eastAsia="Courier New" w:hAnsi="Courier New"/>
          <w:sz w:val="14"/>
          <w:szCs w:val="14"/>
          <w:color w:val="auto"/>
        </w:rPr>
        <w:t>INSTRUCTIONS FOR NOTICE OF GUARANTEED DELIVERY</w:t>
      </w:r>
    </w:p>
    <w:p>
      <w:pPr>
        <w:spacing w:after="0" w:line="175" w:lineRule="exact"/>
        <w:rPr>
          <w:sz w:val="20"/>
          <w:szCs w:val="20"/>
          <w:color w:val="auto"/>
        </w:rPr>
      </w:pPr>
    </w:p>
    <w:p>
      <w:pPr>
        <w:ind w:right="3279" w:firstLine="443"/>
        <w:spacing w:after="0" w:line="253" w:lineRule="auto"/>
        <w:tabs>
          <w:tab w:leader="none" w:pos="694"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this Notice of Guaranteed Delivery. A properly completed and duly executed copy of this Notice of Guaranteed Delivery and any other documents required by this Notice of Guaranteed Delivery must be received by the Exchange Agent at its address set forth herein prior to the Expiration Date. The method of delivery of this Notice of Guaranteed Delivery and any other required documents to the Exchange Agent is at the election and sole risk of the holder, and the delivery will be deemed made only when actually received by the Exchange Agent. If delivery is by mail, registered mail with return receipt requested, proper insurance is recommended. As an alternative to delivery by mail, the holders may wish to consider using an overnight or hand delivery service. In all cases, sufficient time should be allowed to assure timely delivery. For a description of the guaranteed delivery procedures, see Instruction 2 of the Letter of Transmittal.</w:t>
      </w:r>
    </w:p>
    <w:p>
      <w:pPr>
        <w:spacing w:after="0" w:line="163" w:lineRule="exact"/>
        <w:rPr>
          <w:rFonts w:ascii="Courier New" w:cs="Courier New" w:eastAsia="Courier New" w:hAnsi="Courier New"/>
          <w:sz w:val="14"/>
          <w:szCs w:val="14"/>
          <w:color w:val="auto"/>
        </w:rPr>
      </w:pPr>
    </w:p>
    <w:p>
      <w:pPr>
        <w:ind w:right="3279" w:firstLine="443"/>
        <w:spacing w:after="0" w:line="253" w:lineRule="auto"/>
        <w:tabs>
          <w:tab w:leader="none" w:pos="694"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Signatures on this Notice of Guaranteed Delivery. If this Notice of Guaranteed Delivery is signed by the registered holder(s) of the Notes referred to herein, the signature must correspond with the name(s) written on the face of the Notes without alteration, enlargement, or any change whatsoever. If this Notice of Guaranteed Delivery is signed by a participant of the Book-Entry Transfer Facility whose name appears on a security position listing such participant as the owner of the Notes, the signature must correspond with the name shown on the security position listing as the owner of the Notes.</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If this Notice of Guaranteed Delivery is signed by a person other than the registered holder(s) of any Notes listed or a participant of the Book-Entry Transfer Facility, this Notice of Guaranteed Delivery must be accompanied by appropriate bond powers, signed as the name of the registered holder(s) appears on the Notes or signed as the name of the participant shown on the Book-Entry Transfer Facility's security position listing.</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If this Notice of Guaranteed Delivery is signed by a trustee, executor, administrator, guardian, attorney-in-fact, officer of a corporation, or other person acting in a fiduciary or representative capacity, such person should so indicate when signing and submit with the Letter of Transmittal evidence satisfactory to the Company of such person's authority to so act.</w:t>
      </w:r>
    </w:p>
    <w:p>
      <w:pPr>
        <w:spacing w:after="0" w:line="162" w:lineRule="exact"/>
        <w:rPr>
          <w:sz w:val="20"/>
          <w:szCs w:val="20"/>
          <w:color w:val="auto"/>
        </w:rPr>
      </w:pPr>
    </w:p>
    <w:p>
      <w:pPr>
        <w:ind w:right="3279" w:firstLine="443"/>
        <w:spacing w:after="0" w:line="254" w:lineRule="auto"/>
        <w:tabs>
          <w:tab w:leader="none" w:pos="694"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Requests for Assistance or Additional Copies. Questions and requests for assistance and requests for additional copies of the Prospectus may be directed to the Exchange Agent at the address specified in the Prospectus. Holders may also contact their broker, dealer, commercial bank, trust company, or other nominee for assistance concerning the Exchange Offer.</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sectPr>
      <w:pgSz w:w="11900" w:h="16838" w:orient="portrait"/>
      <w:cols w:equalWidth="0" w:num="1">
        <w:col w:w="10239"/>
      </w:cols>
      <w:pgMar w:left="220" w:top="6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A52566"/>
    <w:multiLevelType w:val="hybridMultilevel"/>
    <w:lvl w:ilvl="0">
      <w:lvlJc w:val="left"/>
      <w:lvlText w:val="-"/>
      <w:numFmt w:val="bullet"/>
      <w:start w:val="1"/>
    </w:lvl>
  </w:abstractNum>
  <w:abstractNum w:abstractNumId="1">
    <w:nsid w:val="335A1DF1"/>
    <w:multiLevelType w:val="hybridMultilevel"/>
    <w:lvl w:ilvl="0">
      <w:lvlJc w:val="left"/>
      <w:lvlText w:val="*"/>
      <w:numFmt w:val="bullet"/>
      <w:start w:val="1"/>
    </w:lvl>
    <w:lvl w:ilvl="1">
      <w:lvlJc w:val="left"/>
      <w:lvlText w:val="(%2)"/>
      <w:numFmt w:val="decimal"/>
      <w:start w:val="202"/>
    </w:lvl>
  </w:abstractNum>
  <w:abstractNum w:abstractNumId="2">
    <w:nsid w:val="28677B7C"/>
    <w:multiLevelType w:val="hybridMultilevel"/>
    <w:lvl w:ilvl="0">
      <w:lvlJc w:val="left"/>
      <w:lvlText w:val="-"/>
      <w:numFmt w:val="bullet"/>
      <w:start w:val="1"/>
    </w:lvl>
  </w:abstractNum>
  <w:abstractNum w:abstractNumId="3">
    <w:nsid w:val="378D97C0"/>
    <w:multiLevelType w:val="hybridMultilevel"/>
    <w:lvl w:ilvl="0">
      <w:lvlJc w:val="left"/>
      <w:lvlText w:val="-"/>
      <w:numFmt w:val="bullet"/>
      <w:start w:val="1"/>
    </w:lvl>
  </w:abstractNum>
  <w:abstractNum w:abstractNumId="4">
    <w:nsid w:val="1D91467C"/>
    <w:multiLevelType w:val="hybridMultilevel"/>
    <w:lvl w:ilvl="0">
      <w:lvlJc w:val="left"/>
      <w:lvlText w:val="-"/>
      <w:numFmt w:val="bullet"/>
      <w:start w:val="1"/>
    </w:lvl>
  </w:abstractNum>
  <w:abstractNum w:abstractNumId="5">
    <w:nsid w:val="316032BB"/>
    <w:multiLevelType w:val="hybridMultilevel"/>
    <w:lvl w:ilvl="0">
      <w:lvlJc w:val="left"/>
      <w:lvlText w:val="-"/>
      <w:numFmt w:val="bullet"/>
      <w:start w:val="1"/>
    </w:lvl>
  </w:abstractNum>
  <w:abstractNum w:abstractNumId="6">
    <w:nsid w:val="44344C22"/>
    <w:multiLevelType w:val="hybridMultilevel"/>
    <w:lvl w:ilvl="0">
      <w:lvlJc w:val="left"/>
      <w:lvlText w:val="*"/>
      <w:numFmt w:val="bullet"/>
      <w:start w:val="1"/>
    </w:lvl>
  </w:abstractNum>
  <w:abstractNum w:abstractNumId="7">
    <w:nsid w:val="13CDFCFC"/>
    <w:multiLevelType w:val="hybridMultilevel"/>
    <w:lvl w:ilvl="0">
      <w:lvlJc w:val="left"/>
      <w:lvlText w:val="-"/>
      <w:numFmt w:val="bullet"/>
      <w:start w:val="1"/>
    </w:lvl>
  </w:abstractNum>
  <w:abstractNum w:abstractNumId="8">
    <w:nsid w:val="471745E4"/>
    <w:multiLevelType w:val="hybridMultilevel"/>
    <w:lvl w:ilvl="0">
      <w:lvlJc w:val="left"/>
      <w:lvlText w:val="."/>
      <w:numFmt w:val="bullet"/>
      <w:start w:val="1"/>
    </w:lvl>
  </w:abstractNum>
  <w:abstractNum w:abstractNumId="9">
    <w:nsid w:val="1DDBC66"/>
    <w:multiLevelType w:val="hybridMultilevel"/>
    <w:lvl w:ilvl="0">
      <w:lvlJc w:val="left"/>
      <w:lvlText w:val="."/>
      <w:numFmt w:val="bullet"/>
      <w:start w:val="1"/>
    </w:lvl>
  </w:abstractNum>
  <w:abstractNum w:abstractNumId="10">
    <w:nsid w:val="30AADFDA"/>
    <w:multiLevelType w:val="hybridMultilevel"/>
    <w:lvl w:ilvl="0">
      <w:lvlJc w:val="left"/>
      <w:lvlText w:val="."/>
      <w:numFmt w:val="bullet"/>
      <w:start w:val="1"/>
    </w:lvl>
    <w:lvl w:ilvl="1">
      <w:lvlJc w:val="left"/>
      <w:lvlText w:val=","/>
      <w:numFmt w:val="bullet"/>
      <w:start w:val="1"/>
    </w:lvl>
  </w:abstractNum>
  <w:abstractNum w:abstractNumId="11">
    <w:nsid w:val="30EADA61"/>
    <w:multiLevelType w:val="hybridMultilevel"/>
    <w:lvl w:ilvl="0">
      <w:lvlJc w:val="left"/>
      <w:lvlText w:val="."/>
      <w:numFmt w:val="bullet"/>
      <w:start w:val="1"/>
    </w:lvl>
  </w:abstractNum>
  <w:abstractNum w:abstractNumId="12">
    <w:nsid w:val="27179C0B"/>
    <w:multiLevelType w:val="hybridMultilevel"/>
    <w:lvl w:ilvl="0">
      <w:lvlJc w:val="left"/>
      <w:lvlText w:val="."/>
      <w:numFmt w:val="bullet"/>
      <w:start w:val="1"/>
    </w:lvl>
  </w:abstractNum>
  <w:abstractNum w:abstractNumId="13">
    <w:nsid w:val="5E636063"/>
    <w:multiLevelType w:val="hybridMultilevel"/>
    <w:lvl w:ilvl="0">
      <w:lvlJc w:val="left"/>
      <w:lvlText w:val="."/>
      <w:numFmt w:val="bullet"/>
      <w:start w:val="1"/>
    </w:lvl>
  </w:abstractNum>
  <w:abstractNum w:abstractNumId="14">
    <w:nsid w:val="215641AF"/>
    <w:multiLevelType w:val="hybridMultilevel"/>
    <w:lvl w:ilvl="0">
      <w:lvlJc w:val="left"/>
      <w:lvlText w:val="."/>
      <w:numFmt w:val="bullet"/>
      <w:start w:val="1"/>
    </w:lvl>
  </w:abstractNum>
  <w:abstractNum w:abstractNumId="15">
    <w:nsid w:val="53280662"/>
    <w:multiLevelType w:val="hybridMultilevel"/>
    <w:lvl w:ilvl="0">
      <w:lvlJc w:val="left"/>
      <w:lvlText w:val="."/>
      <w:numFmt w:val="bullet"/>
      <w:start w:val="1"/>
    </w:lvl>
    <w:lvl w:ilvl="1">
      <w:lvlJc w:val="left"/>
      <w:lvlText w:val="--"/>
      <w:numFmt w:val="bullet"/>
      <w:start w:val="1"/>
    </w:lvl>
  </w:abstractNum>
  <w:abstractNum w:abstractNumId="16">
    <w:nsid w:val="46B24DBC"/>
    <w:multiLevelType w:val="hybridMultilevel"/>
    <w:lvl w:ilvl="0">
      <w:lvlJc w:val="left"/>
      <w:lvlText w:val="."/>
      <w:numFmt w:val="bullet"/>
      <w:start w:val="1"/>
    </w:lvl>
    <w:lvl w:ilvl="1">
      <w:lvlJc w:val="left"/>
      <w:lvlText w:val="--"/>
      <w:numFmt w:val="bullet"/>
      <w:start w:val="1"/>
    </w:lvl>
  </w:abstractNum>
  <w:abstractNum w:abstractNumId="17">
    <w:nsid w:val="75B52783"/>
    <w:multiLevelType w:val="hybridMultilevel"/>
    <w:lvl w:ilvl="0">
      <w:lvlJc w:val="left"/>
      <w:lvlText w:val="."/>
      <w:numFmt w:val="bullet"/>
      <w:start w:val="1"/>
    </w:lvl>
  </w:abstractNum>
  <w:abstractNum w:abstractNumId="18">
    <w:nsid w:val="57CE66B4"/>
    <w:multiLevelType w:val="hybridMultilevel"/>
    <w:lvl w:ilvl="0">
      <w:lvlJc w:val="left"/>
      <w:lvlText w:val="."/>
      <w:numFmt w:val="bullet"/>
      <w:start w:val="1"/>
    </w:lvl>
  </w:abstractNum>
  <w:abstractNum w:abstractNumId="19">
    <w:nsid w:val="67A70B69"/>
    <w:multiLevelType w:val="hybridMultilevel"/>
    <w:lvl w:ilvl="0">
      <w:lvlJc w:val="left"/>
      <w:lvlText w:val="."/>
      <w:numFmt w:val="bullet"/>
      <w:start w:val="1"/>
    </w:lvl>
  </w:abstractNum>
  <w:abstractNum w:abstractNumId="20">
    <w:nsid w:val="5953172F"/>
    <w:multiLevelType w:val="hybridMultilevel"/>
    <w:lvl w:ilvl="0">
      <w:lvlJc w:val="left"/>
      <w:lvlText w:val="(%1)"/>
      <w:numFmt w:val="lowerLetter"/>
      <w:start w:val="12"/>
    </w:lvl>
  </w:abstractNum>
  <w:abstractNum w:abstractNumId="21">
    <w:nsid w:val="27EDFE3A"/>
    <w:multiLevelType w:val="hybridMultilevel"/>
    <w:lvl w:ilvl="0">
      <w:lvlJc w:val="left"/>
      <w:lvlText w:val="."/>
      <w:numFmt w:val="bullet"/>
      <w:start w:val="1"/>
    </w:lvl>
  </w:abstractNum>
  <w:abstractNum w:abstractNumId="22">
    <w:nsid w:val="52AC7DFF"/>
    <w:multiLevelType w:val="hybridMultilevel"/>
    <w:lvl w:ilvl="0">
      <w:lvlJc w:val="left"/>
      <w:lvlText w:val="."/>
      <w:numFmt w:val="bullet"/>
      <w:start w:val="1"/>
    </w:lvl>
  </w:abstractNum>
  <w:abstractNum w:abstractNumId="23">
    <w:nsid w:val="C4C3AF"/>
    <w:multiLevelType w:val="hybridMultilevel"/>
    <w:lvl w:ilvl="0">
      <w:lvlJc w:val="left"/>
      <w:lvlText w:val="."/>
      <w:numFmt w:val="bullet"/>
      <w:start w:val="1"/>
    </w:lvl>
  </w:abstractNum>
  <w:abstractNum w:abstractNumId="24">
    <w:nsid w:val="44380727"/>
    <w:multiLevelType w:val="hybridMultilevel"/>
    <w:lvl w:ilvl="0">
      <w:lvlJc w:val="left"/>
      <w:lvlText w:val="."/>
      <w:numFmt w:val="bullet"/>
      <w:start w:val="1"/>
    </w:lvl>
  </w:abstractNum>
  <w:abstractNum w:abstractNumId="25">
    <w:nsid w:val="6C053B16"/>
    <w:multiLevelType w:val="hybridMultilevel"/>
    <w:lvl w:ilvl="0">
      <w:lvlJc w:val="left"/>
      <w:lvlText w:val="."/>
      <w:numFmt w:val="bullet"/>
      <w:start w:val="1"/>
    </w:lvl>
  </w:abstractNum>
  <w:abstractNum w:abstractNumId="26">
    <w:nsid w:val="4F294393"/>
    <w:multiLevelType w:val="hybridMultilevel"/>
    <w:lvl w:ilvl="0">
      <w:lvlJc w:val="left"/>
      <w:lvlText w:val="."/>
      <w:numFmt w:val="bullet"/>
      <w:start w:val="1"/>
    </w:lvl>
  </w:abstractNum>
  <w:abstractNum w:abstractNumId="27">
    <w:nsid w:val="5243BFAC"/>
    <w:multiLevelType w:val="hybridMultilevel"/>
    <w:lvl w:ilvl="0">
      <w:lvlJc w:val="left"/>
      <w:lvlText w:val="."/>
      <w:numFmt w:val="bullet"/>
      <w:start w:val="1"/>
    </w:lvl>
  </w:abstractNum>
  <w:abstractNum w:abstractNumId="28">
    <w:nsid w:val="425EB207"/>
    <w:multiLevelType w:val="hybridMultilevel"/>
    <w:lvl w:ilvl="0">
      <w:lvlJc w:val="left"/>
      <w:lvlText w:val="."/>
      <w:numFmt w:val="bullet"/>
      <w:start w:val="1"/>
    </w:lvl>
  </w:abstractNum>
  <w:abstractNum w:abstractNumId="29">
    <w:nsid w:val="334A6F1F"/>
    <w:multiLevelType w:val="hybridMultilevel"/>
    <w:lvl w:ilvl="0">
      <w:lvlJc w:val="left"/>
      <w:lvlText w:val="."/>
      <w:numFmt w:val="bullet"/>
      <w:start w:val="1"/>
    </w:lvl>
  </w:abstractNum>
  <w:abstractNum w:abstractNumId="30">
    <w:nsid w:val="2E5B12B8"/>
    <w:multiLevelType w:val="hybridMultilevel"/>
    <w:lvl w:ilvl="0">
      <w:lvlJc w:val="left"/>
      <w:lvlText w:val="."/>
      <w:numFmt w:val="bullet"/>
      <w:start w:val="1"/>
    </w:lvl>
  </w:abstractNum>
  <w:abstractNum w:abstractNumId="31">
    <w:nsid w:val="5C03D76D"/>
    <w:multiLevelType w:val="hybridMultilevel"/>
    <w:lvl w:ilvl="0">
      <w:lvlJc w:val="left"/>
      <w:lvlText w:val="."/>
      <w:numFmt w:val="bullet"/>
      <w:start w:val="1"/>
    </w:lvl>
  </w:abstractNum>
  <w:abstractNum w:abstractNumId="32">
    <w:nsid w:val="66A48D11"/>
    <w:multiLevelType w:val="hybridMultilevel"/>
    <w:lvl w:ilvl="0">
      <w:lvlJc w:val="left"/>
      <w:lvlText w:val="."/>
      <w:numFmt w:val="bullet"/>
      <w:start w:val="1"/>
    </w:lvl>
  </w:abstractNum>
  <w:abstractNum w:abstractNumId="33">
    <w:nsid w:val="56C28E34"/>
    <w:multiLevelType w:val="hybridMultilevel"/>
    <w:lvl w:ilvl="0">
      <w:lvlJc w:val="left"/>
      <w:lvlText w:val="."/>
      <w:numFmt w:val="bullet"/>
      <w:start w:val="1"/>
    </w:lvl>
  </w:abstractNum>
  <w:abstractNum w:abstractNumId="34">
    <w:nsid w:val="13916F2D"/>
    <w:multiLevelType w:val="hybridMultilevel"/>
    <w:lvl w:ilvl="0">
      <w:lvlJc w:val="left"/>
      <w:lvlText w:val="."/>
      <w:numFmt w:val="bullet"/>
      <w:start w:val="1"/>
    </w:lvl>
  </w:abstractNum>
  <w:abstractNum w:abstractNumId="35">
    <w:nsid w:val="435D38D"/>
    <w:multiLevelType w:val="hybridMultilevel"/>
    <w:lvl w:ilvl="0">
      <w:lvlJc w:val="left"/>
      <w:lvlText w:val="."/>
      <w:numFmt w:val="bullet"/>
      <w:start w:val="1"/>
    </w:lvl>
  </w:abstractNum>
  <w:abstractNum w:abstractNumId="36">
    <w:nsid w:val="822C0EF"/>
    <w:multiLevelType w:val="hybridMultilevel"/>
    <w:lvl w:ilvl="0">
      <w:lvlJc w:val="left"/>
      <w:lvlText w:val="."/>
      <w:numFmt w:val="bullet"/>
      <w:start w:val="1"/>
    </w:lvl>
  </w:abstractNum>
  <w:abstractNum w:abstractNumId="37">
    <w:nsid w:val="57C5BB4F"/>
    <w:multiLevelType w:val="hybridMultilevel"/>
    <w:lvl w:ilvl="0">
      <w:lvlJc w:val="left"/>
      <w:lvlText w:val="."/>
      <w:numFmt w:val="bullet"/>
      <w:start w:val="1"/>
    </w:lvl>
  </w:abstractNum>
  <w:abstractNum w:abstractNumId="38">
    <w:nsid w:val="1803D089"/>
    <w:multiLevelType w:val="hybridMultilevel"/>
    <w:lvl w:ilvl="0">
      <w:lvlJc w:val="left"/>
      <w:lvlText w:val="."/>
      <w:numFmt w:val="bullet"/>
      <w:start w:val="1"/>
    </w:lvl>
  </w:abstractNum>
  <w:abstractNum w:abstractNumId="39">
    <w:nsid w:val="4F3A06D4"/>
    <w:multiLevelType w:val="hybridMultilevel"/>
    <w:lvl w:ilvl="0">
      <w:lvlJc w:val="left"/>
      <w:lvlText w:val="."/>
      <w:numFmt w:val="bullet"/>
      <w:start w:val="1"/>
    </w:lvl>
  </w:abstractNum>
  <w:abstractNum w:abstractNumId="40">
    <w:nsid w:val="59A377B6"/>
    <w:multiLevelType w:val="hybridMultilevel"/>
    <w:lvl w:ilvl="0">
      <w:lvlJc w:val="left"/>
      <w:lvlText w:val="."/>
      <w:numFmt w:val="bullet"/>
      <w:start w:val="1"/>
    </w:lvl>
  </w:abstractNum>
  <w:abstractNum w:abstractNumId="41">
    <w:nsid w:val="48AEB063"/>
    <w:multiLevelType w:val="hybridMultilevel"/>
    <w:lvl w:ilvl="0">
      <w:lvlJc w:val="left"/>
      <w:lvlText w:val="(%1)"/>
      <w:numFmt w:val="decimal"/>
      <w:start w:val="1"/>
    </w:lvl>
  </w:abstractNum>
  <w:abstractNum w:abstractNumId="42">
    <w:nsid w:val="24E135"/>
    <w:multiLevelType w:val="hybridMultilevel"/>
    <w:lvl w:ilvl="0">
      <w:lvlJc w:val="left"/>
      <w:lvlText w:val="(%1)"/>
      <w:numFmt w:val="decimal"/>
      <w:start w:val="1"/>
    </w:lvl>
  </w:abstractNum>
  <w:abstractNum w:abstractNumId="43">
    <w:nsid w:val="BB13C1"/>
    <w:multiLevelType w:val="hybridMultilevel"/>
    <w:lvl w:ilvl="0">
      <w:lvlJc w:val="left"/>
      <w:lvlText w:val=","/>
      <w:numFmt w:val="bullet"/>
      <w:start w:val="1"/>
    </w:lvl>
  </w:abstractNum>
  <w:abstractNum w:abstractNumId="44">
    <w:nsid w:val="271210C7"/>
    <w:multiLevelType w:val="hybridMultilevel"/>
    <w:lvl w:ilvl="0">
      <w:lvlJc w:val="left"/>
      <w:lvlText w:val="(%1)"/>
      <w:numFmt w:val="decimal"/>
      <w:start w:val="1"/>
    </w:lvl>
  </w:abstractNum>
  <w:abstractNum w:abstractNumId="45">
    <w:nsid w:val="217B22E4"/>
    <w:multiLevelType w:val="hybridMultilevel"/>
    <w:lvl w:ilvl="0">
      <w:lvlJc w:val="left"/>
      <w:lvlText w:val="(%1)"/>
      <w:numFmt w:val="upperLetter"/>
      <w:start w:val="1"/>
    </w:lvl>
  </w:abstractNum>
  <w:abstractNum w:abstractNumId="46">
    <w:nsid w:val="53E31A24"/>
    <w:multiLevelType w:val="hybridMultilevel"/>
    <w:lvl w:ilvl="0">
      <w:lvlJc w:val="left"/>
      <w:lvlText w:val="(%1)"/>
      <w:numFmt w:val="decimal"/>
      <w:start w:val="1"/>
    </w:lvl>
  </w:abstractNum>
  <w:abstractNum w:abstractNumId="47">
    <w:nsid w:val="6DC45E83"/>
    <w:multiLevelType w:val="hybridMultilevel"/>
    <w:lvl w:ilvl="0">
      <w:lvlJc w:val="left"/>
      <w:lvlText w:val="(%1)"/>
      <w:numFmt w:val="decimal"/>
      <w:start w:val="1"/>
    </w:lvl>
  </w:abstractNum>
  <w:abstractNum w:abstractNumId="48">
    <w:nsid w:val="17304A67"/>
    <w:multiLevelType w:val="hybridMultilevel"/>
    <w:lvl w:ilvl="0">
      <w:lvlJc w:val="left"/>
      <w:lvlText w:val="(%1)"/>
      <w:numFmt w:val="decimal"/>
      <w:start w:val="1"/>
    </w:lvl>
  </w:abstractNum>
  <w:abstractNum w:abstractNumId="49">
    <w:nsid w:val="2BB180D8"/>
    <w:multiLevelType w:val="hybridMultilevel"/>
    <w:lvl w:ilvl="0">
      <w:lvlJc w:val="left"/>
      <w:lvlText w:val="(%1)"/>
      <w:numFmt w:val="decimal"/>
      <w:start w:val="2"/>
    </w:lvl>
  </w:abstractNum>
  <w:abstractNum w:abstractNumId="50">
    <w:nsid w:val="556B69ED"/>
    <w:multiLevelType w:val="hybridMultilevel"/>
    <w:lvl w:ilvl="0">
      <w:lvlJc w:val="left"/>
      <w:lvlText w:val="."/>
      <w:numFmt w:val="bullet"/>
      <w:start w:val="1"/>
    </w:lvl>
    <w:lvl w:ilvl="1">
      <w:lvlJc w:val="left"/>
      <w:lvlText w:val="--"/>
      <w:numFmt w:val="bullet"/>
      <w:start w:val="1"/>
    </w:lvl>
  </w:abstractNum>
  <w:abstractNum w:abstractNumId="51">
    <w:nsid w:val="70836196"/>
    <w:multiLevelType w:val="hybridMultilevel"/>
    <w:lvl w:ilvl="0">
      <w:lvlJc w:val="left"/>
      <w:lvlText w:val="."/>
      <w:numFmt w:val="bullet"/>
      <w:start w:val="1"/>
    </w:lvl>
  </w:abstractNum>
  <w:abstractNum w:abstractNumId="52">
    <w:nsid w:val="539F7F12"/>
    <w:multiLevelType w:val="hybridMultilevel"/>
    <w:lvl w:ilvl="0">
      <w:lvlJc w:val="left"/>
      <w:lvlText w:val="."/>
      <w:numFmt w:val="bullet"/>
      <w:start w:val="1"/>
    </w:lvl>
    <w:lvl w:ilvl="1">
      <w:lvlJc w:val="left"/>
      <w:lvlText w:val="--"/>
      <w:numFmt w:val="bullet"/>
      <w:start w:val="1"/>
    </w:lvl>
  </w:abstractNum>
  <w:abstractNum w:abstractNumId="53">
    <w:nsid w:val="2817E7EC"/>
    <w:multiLevelType w:val="hybridMultilevel"/>
    <w:lvl w:ilvl="0">
      <w:lvlJc w:val="left"/>
      <w:lvlText w:val="."/>
      <w:numFmt w:val="bullet"/>
      <w:start w:val="1"/>
    </w:lvl>
    <w:lvl w:ilvl="1">
      <w:lvlJc w:val="left"/>
      <w:lvlText w:val="--"/>
      <w:numFmt w:val="bullet"/>
      <w:start w:val="1"/>
    </w:lvl>
  </w:abstractNum>
  <w:abstractNum w:abstractNumId="54">
    <w:nsid w:val="71482545"/>
    <w:multiLevelType w:val="hybridMultilevel"/>
    <w:lvl w:ilvl="0">
      <w:lvlJc w:val="left"/>
      <w:lvlText w:val="."/>
      <w:numFmt w:val="bullet"/>
      <w:start w:val="1"/>
    </w:lvl>
  </w:abstractNum>
  <w:abstractNum w:abstractNumId="55">
    <w:nsid w:val="17D78639"/>
    <w:multiLevelType w:val="hybridMultilevel"/>
    <w:lvl w:ilvl="0">
      <w:lvlJc w:val="left"/>
      <w:lvlText w:val="."/>
      <w:numFmt w:val="bullet"/>
      <w:start w:val="1"/>
    </w:lvl>
  </w:abstractNum>
  <w:abstractNum w:abstractNumId="56">
    <w:nsid w:val="141D2302"/>
    <w:multiLevelType w:val="hybridMultilevel"/>
    <w:lvl w:ilvl="0">
      <w:lvlJc w:val="left"/>
      <w:lvlText w:val="."/>
      <w:numFmt w:val="bullet"/>
      <w:start w:val="1"/>
    </w:lvl>
  </w:abstractNum>
  <w:abstractNum w:abstractNumId="57">
    <w:nsid w:val="407168D8"/>
    <w:multiLevelType w:val="hybridMultilevel"/>
    <w:lvl w:ilvl="0">
      <w:lvlJc w:val="left"/>
      <w:lvlText w:val="(%1)"/>
      <w:numFmt w:val="lowerLetter"/>
      <w:start w:val="1"/>
    </w:lvl>
  </w:abstractNum>
  <w:abstractNum w:abstractNumId="58">
    <w:nsid w:val="6A1B45E5"/>
    <w:multiLevelType w:val="hybridMultilevel"/>
    <w:lvl w:ilvl="0">
      <w:lvlJc w:val="left"/>
      <w:lvlText w:val="(%1)"/>
      <w:numFmt w:val="lowerLetter"/>
      <w:start w:val="3"/>
    </w:lvl>
  </w:abstractNum>
  <w:abstractNum w:abstractNumId="59">
    <w:nsid w:val="567BD50A"/>
    <w:multiLevelType w:val="hybridMultilevel"/>
    <w:lvl w:ilvl="0">
      <w:lvlJc w:val="left"/>
      <w:lvlText w:val="(%1)"/>
      <w:numFmt w:val="lowerLetter"/>
      <w:start w:val="4"/>
    </w:lvl>
  </w:abstractNum>
  <w:abstractNum w:abstractNumId="60">
    <w:nsid w:val="73BBD7F8"/>
    <w:multiLevelType w:val="hybridMultilevel"/>
    <w:lvl w:ilvl="0">
      <w:lvlJc w:val="left"/>
      <w:lvlText w:val="(%1)"/>
      <w:numFmt w:val="lowerLetter"/>
      <w:start w:val="5"/>
    </w:lvl>
  </w:abstractNum>
  <w:abstractNum w:abstractNumId="61">
    <w:nsid w:val="1876589D"/>
    <w:multiLevelType w:val="hybridMultilevel"/>
    <w:lvl w:ilvl="0">
      <w:lvlJc w:val="left"/>
      <w:lvlText w:val="(%1)"/>
      <w:numFmt w:val="lowerLetter"/>
      <w:start w:val="1"/>
    </w:lvl>
  </w:abstractNum>
  <w:abstractNum w:abstractNumId="62">
    <w:nsid w:val="327FAC77"/>
    <w:multiLevelType w:val="hybridMultilevel"/>
    <w:lvl w:ilvl="0">
      <w:lvlJc w:val="left"/>
      <w:lvlText w:val="(%1)"/>
      <w:numFmt w:val="lowerLetter"/>
      <w:start w:val="3"/>
    </w:lvl>
  </w:abstractNum>
  <w:abstractNum w:abstractNumId="63">
    <w:nsid w:val="5A606509"/>
    <w:multiLevelType w:val="hybridMultilevel"/>
    <w:lvl w:ilvl="0">
      <w:lvlJc w:val="left"/>
      <w:lvlText w:val="(%1)"/>
      <w:numFmt w:val="lowerLetter"/>
      <w:start w:val="4"/>
    </w:lvl>
  </w:abstractNum>
  <w:abstractNum w:abstractNumId="64">
    <w:nsid w:val="6F38E6D1"/>
    <w:multiLevelType w:val="hybridMultilevel"/>
    <w:lvl w:ilvl="0">
      <w:lvlJc w:val="left"/>
      <w:lvlText w:val="(%1)"/>
      <w:numFmt w:val="lowerLetter"/>
      <w:start w:val="1"/>
    </w:lvl>
  </w:abstractNum>
  <w:abstractNum w:abstractNumId="65">
    <w:nsid w:val="46111BA5"/>
    <w:multiLevelType w:val="hybridMultilevel"/>
    <w:lvl w:ilvl="0">
      <w:lvlJc w:val="left"/>
      <w:lvlText w:val="(%1)"/>
      <w:numFmt w:val="lowerLetter"/>
      <w:start w:val="2"/>
    </w:lvl>
  </w:abstractNum>
  <w:abstractNum w:abstractNumId="66">
    <w:nsid w:val="5E963896"/>
    <w:multiLevelType w:val="hybridMultilevel"/>
    <w:lvl w:ilvl="0">
      <w:lvlJc w:val="left"/>
      <w:lvlText w:val="(%1)"/>
      <w:numFmt w:val="lowerLetter"/>
      <w:start w:val="3"/>
    </w:lvl>
  </w:abstractNum>
  <w:abstractNum w:abstractNumId="67">
    <w:nsid w:val="775BA7C1"/>
    <w:multiLevelType w:val="hybridMultilevel"/>
    <w:lvl w:ilvl="0">
      <w:lvlJc w:val="left"/>
      <w:lvlText w:val="(%1)"/>
      <w:numFmt w:val="lowerLetter"/>
      <w:start w:val="4"/>
    </w:lvl>
  </w:abstractNum>
  <w:abstractNum w:abstractNumId="68">
    <w:nsid w:val="1DD6D6F4"/>
    <w:multiLevelType w:val="hybridMultilevel"/>
    <w:lvl w:ilvl="0">
      <w:lvlJc w:val="left"/>
      <w:lvlText w:val="(%1)"/>
      <w:numFmt w:val="lowerLetter"/>
      <w:start w:val="5"/>
    </w:lvl>
  </w:abstractNum>
  <w:abstractNum w:abstractNumId="69">
    <w:nsid w:val="769A091F"/>
    <w:multiLevelType w:val="hybridMultilevel"/>
    <w:lvl w:ilvl="0">
      <w:lvlJc w:val="left"/>
      <w:lvlText w:val="."/>
      <w:numFmt w:val="bullet"/>
      <w:start w:val="1"/>
    </w:lvl>
  </w:abstractNum>
  <w:abstractNum w:abstractNumId="70">
    <w:nsid w:val="4695AE95"/>
    <w:multiLevelType w:val="hybridMultilevel"/>
    <w:lvl w:ilvl="0">
      <w:lvlJc w:val="left"/>
      <w:lvlText w:val="."/>
      <w:numFmt w:val="bullet"/>
      <w:start w:val="1"/>
    </w:lvl>
  </w:abstractNum>
  <w:abstractNum w:abstractNumId="71">
    <w:nsid w:val="777A4EAA"/>
    <w:multiLevelType w:val="hybridMultilevel"/>
    <w:lvl w:ilvl="0">
      <w:lvlJc w:val="left"/>
      <w:lvlText w:val="."/>
      <w:numFmt w:val="bullet"/>
      <w:start w:val="1"/>
    </w:lvl>
  </w:abstractNum>
  <w:abstractNum w:abstractNumId="72">
    <w:nsid w:val="3F48B982"/>
    <w:multiLevelType w:val="hybridMultilevel"/>
    <w:lvl w:ilvl="0">
      <w:lvlJc w:val="left"/>
      <w:lvlText w:val="."/>
      <w:numFmt w:val="bullet"/>
      <w:start w:val="1"/>
    </w:lvl>
  </w:abstractNum>
  <w:abstractNum w:abstractNumId="73">
    <w:nsid w:val="46BA8FCA"/>
    <w:multiLevelType w:val="hybridMultilevel"/>
    <w:lvl w:ilvl="0">
      <w:lvlJc w:val="left"/>
      <w:lvlText w:val="."/>
      <w:numFmt w:val="bullet"/>
      <w:start w:val="1"/>
    </w:lvl>
  </w:abstractNum>
  <w:abstractNum w:abstractNumId="74">
    <w:nsid w:val="7835626C"/>
    <w:multiLevelType w:val="hybridMultilevel"/>
    <w:lvl w:ilvl="0">
      <w:lvlJc w:val="left"/>
      <w:lvlText w:val="."/>
      <w:numFmt w:val="bullet"/>
      <w:start w:val="1"/>
    </w:lvl>
  </w:abstractNum>
  <w:abstractNum w:abstractNumId="75">
    <w:nsid w:val="665ACA49"/>
    <w:multiLevelType w:val="hybridMultilevel"/>
    <w:lvl w:ilvl="0">
      <w:lvlJc w:val="left"/>
      <w:lvlText w:val="."/>
      <w:numFmt w:val="bullet"/>
      <w:start w:val="1"/>
    </w:lvl>
  </w:abstractNum>
  <w:abstractNum w:abstractNumId="76">
    <w:nsid w:val="6835B2AE"/>
    <w:multiLevelType w:val="hybridMultilevel"/>
    <w:lvl w:ilvl="0">
      <w:lvlJc w:val="left"/>
      <w:lvlText w:val="(%1)"/>
      <w:numFmt w:val="decimal"/>
      <w:start w:val="1"/>
    </w:lvl>
    <w:lvl w:ilvl="1">
      <w:lvlJc w:val="left"/>
      <w:lvlText w:val="(%2)"/>
      <w:numFmt w:val="lowerLetter"/>
      <w:start w:val="1"/>
    </w:lvl>
  </w:abstractNum>
  <w:abstractNum w:abstractNumId="77">
    <w:nsid w:val="4C187C90"/>
    <w:multiLevelType w:val="hybridMultilevel"/>
    <w:lvl w:ilvl="0">
      <w:lvlJc w:val="left"/>
      <w:lvlText w:val="(%1)"/>
      <w:numFmt w:val="decimal"/>
      <w:start w:val="1"/>
    </w:lvl>
  </w:abstractNum>
  <w:abstractNum w:abstractNumId="78">
    <w:nsid w:val="541F28CD"/>
    <w:multiLevelType w:val="hybridMultilevel"/>
    <w:lvl w:ilvl="0">
      <w:lvlJc w:val="left"/>
      <w:lvlText w:val="(%1)"/>
      <w:numFmt w:val="decimal"/>
      <w:start w:val="1"/>
    </w:lvl>
  </w:abstractNum>
  <w:abstractNum w:abstractNumId="79">
    <w:nsid w:val="7F65FD16"/>
    <w:multiLevelType w:val="hybridMultilevel"/>
    <w:lvl w:ilvl="0">
      <w:lvlJc w:val="left"/>
      <w:lvlText w:val="(%1)"/>
      <w:numFmt w:val="decimal"/>
      <w:start w:val="1"/>
    </w:lvl>
  </w:abstractNum>
  <w:abstractNum w:abstractNumId="80">
    <w:nsid w:val="77C9FD68"/>
    <w:multiLevelType w:val="hybridMultilevel"/>
    <w:lvl w:ilvl="0">
      <w:lvlJc w:val="left"/>
      <w:lvlText w:val="(%1)"/>
      <w:numFmt w:val="decimal"/>
      <w:start w:val="1"/>
    </w:lvl>
  </w:abstractNum>
  <w:abstractNum w:abstractNumId="81">
    <w:nsid w:val="298A92BA"/>
    <w:multiLevelType w:val="hybridMultilevel"/>
    <w:lvl w:ilvl="0">
      <w:lvlJc w:val="left"/>
      <w:lvlText w:val="(%1)"/>
      <w:numFmt w:val="decimal"/>
      <w:start w:val="1"/>
    </w:lvl>
  </w:abstractNum>
  <w:abstractNum w:abstractNumId="82">
    <w:nsid w:val="6FE95EAC"/>
    <w:multiLevelType w:val="hybridMultilevel"/>
    <w:lvl w:ilvl="0">
      <w:lvlJc w:val="left"/>
      <w:lvlText w:val="(%1)"/>
      <w:numFmt w:val="decimal"/>
      <w:start w:val="1"/>
    </w:lvl>
  </w:abstractNum>
  <w:abstractNum w:abstractNumId="83">
    <w:nsid w:val="4B697C7A"/>
    <w:multiLevelType w:val="hybridMultilevel"/>
    <w:lvl w:ilvl="0">
      <w:lvlJc w:val="left"/>
      <w:lvlText w:val="(%1)"/>
      <w:numFmt w:val="decimal"/>
      <w:start w:val="1"/>
    </w:lvl>
  </w:abstractNum>
  <w:abstractNum w:abstractNumId="84">
    <w:nsid w:val="51A27AA6"/>
    <w:multiLevelType w:val="hybridMultilevel"/>
    <w:lvl w:ilvl="0">
      <w:lvlJc w:val="left"/>
      <w:lvlText w:val="(%1)"/>
      <w:numFmt w:val="decimal"/>
      <w:start w:val="1"/>
    </w:lvl>
  </w:abstractNum>
  <w:abstractNum w:abstractNumId="85">
    <w:nsid w:val="613183F2"/>
    <w:multiLevelType w:val="hybridMultilevel"/>
    <w:lvl w:ilvl="0">
      <w:lvlJc w:val="left"/>
      <w:lvlText w:val="(%1)"/>
      <w:numFmt w:val="decimal"/>
      <w:start w:val="1"/>
    </w:lvl>
  </w:abstractNum>
  <w:abstractNum w:abstractNumId="86">
    <w:nsid w:val="634102B4"/>
    <w:multiLevelType w:val="hybridMultilevel"/>
    <w:lvl w:ilvl="0">
      <w:lvlJc w:val="left"/>
      <w:lvlText w:val="(%1)"/>
      <w:numFmt w:val="decimal"/>
      <w:start w:val="1"/>
    </w:lvl>
  </w:abstractNum>
  <w:abstractNum w:abstractNumId="87">
    <w:nsid w:val="65BF9DA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8">
    <w:nsid w:val="21A2ECCA"/>
    <w:multiLevelType w:val="hybridMultilevel"/>
    <w:lvl w:ilvl="0">
      <w:lvlJc w:val="left"/>
      <w:lvlText w:val="(%1)"/>
      <w:numFmt w:val="lowerLetter"/>
      <w:start w:val="24"/>
    </w:lvl>
  </w:abstractNum>
  <w:abstractNum w:abstractNumId="89">
    <w:nsid w:val="4D5C4899"/>
    <w:multiLevelType w:val="hybridMultilevel"/>
    <w:lvl w:ilvl="0">
      <w:lvlJc w:val="left"/>
      <w:lvlText w:val="(%1)"/>
      <w:numFmt w:val="upperLetter"/>
      <w:start w:val="2"/>
    </w:lvl>
    <w:lvl w:ilvl="1">
      <w:lvlJc w:val="left"/>
      <w:lvlText w:val="(%2)"/>
      <w:numFmt w:val="decimal"/>
      <w:start w:val="1"/>
    </w:lvl>
  </w:abstractNum>
  <w:abstractNum w:abstractNumId="90">
    <w:nsid w:val="3C3B72B2"/>
    <w:multiLevelType w:val="hybridMultilevel"/>
    <w:lvl w:ilvl="0">
      <w:lvlJc w:val="left"/>
      <w:lvlText w:val="(%1)"/>
      <w:numFmt w:val="upperLetter"/>
      <w:start w:val="3"/>
    </w:lvl>
  </w:abstractNum>
  <w:abstractNum w:abstractNumId="91">
    <w:nsid w:val="155EC4C2"/>
    <w:multiLevelType w:val="hybridMultilevel"/>
    <w:lvl w:ilvl="0">
      <w:lvlJc w:val="left"/>
      <w:lvlText w:val="(%1)"/>
      <w:numFmt w:val="decimal"/>
      <w:start w:val="1"/>
    </w:lvl>
  </w:abstractNum>
  <w:abstractNum w:abstractNumId="92">
    <w:nsid w:val="65D2A137"/>
    <w:multiLevelType w:val="hybridMultilevel"/>
    <w:lvl w:ilvl="0">
      <w:lvlJc w:val="left"/>
      <w:lvlText w:val="(%1)"/>
      <w:numFmt w:val="decimal"/>
      <w:start w:val="1"/>
    </w:lvl>
  </w:abstractNum>
  <w:abstractNum w:abstractNumId="93">
    <w:nsid w:val="6EBB1F2A"/>
    <w:multiLevelType w:val="hybridMultilevel"/>
    <w:lvl w:ilvl="0">
      <w:lvlJc w:val="left"/>
      <w:lvlText w:val="(%1)"/>
      <w:numFmt w:val="decimal"/>
      <w:start w:val="2"/>
    </w:lvl>
  </w:abstractNum>
  <w:abstractNum w:abstractNumId="94">
    <w:nsid w:val="6FBF29CB"/>
    <w:multiLevelType w:val="hybridMultilevel"/>
    <w:lvl w:ilvl="0">
      <w:lvlJc w:val="left"/>
      <w:lvlText w:val="(%1)"/>
      <w:numFmt w:val="decimal"/>
      <w:start w:val="1"/>
    </w:lvl>
    <w:lvl w:ilvl="1">
      <w:lvlJc w:val="left"/>
      <w:lvlText w:val="(%2)"/>
      <w:numFmt w:val="lowerLetter"/>
      <w:start w:val="1"/>
    </w:lvl>
  </w:abstractNum>
  <w:abstractNum w:abstractNumId="95">
    <w:nsid w:val="550B8808"/>
    <w:multiLevelType w:val="hybridMultilevel"/>
    <w:lvl w:ilvl="0">
      <w:lvlJc w:val="left"/>
      <w:lvlText w:val="(%1)"/>
      <w:numFmt w:val="lowerLetter"/>
      <w:start w:val="4"/>
    </w:lvl>
  </w:abstractNum>
  <w:abstractNum w:abstractNumId="96">
    <w:nsid w:val="34CC3ACF"/>
    <w:multiLevelType w:val="hybridMultilevel"/>
    <w:lvl w:ilvl="0">
      <w:lvlJc w:val="left"/>
      <w:lvlText w:val="%1"/>
      <w:numFmt w:val="decimal"/>
      <w:start w:val="1"/>
    </w:lvl>
    <w:lvl w:ilvl="1">
      <w:lvlJc w:val="left"/>
      <w:lvlText w:val="(%2)"/>
      <w:numFmt w:val="decimal"/>
      <w:start w:val="1"/>
    </w:lvl>
  </w:abstractNum>
  <w:abstractNum w:abstractNumId="97">
    <w:nsid w:val="4E556261"/>
    <w:multiLevelType w:val="hybridMultilevel"/>
    <w:lvl w:ilvl="0">
      <w:lvlJc w:val="left"/>
      <w:lvlText w:val="(%1)"/>
      <w:numFmt w:val="decimal"/>
      <w:start w:val="3"/>
    </w:lvl>
    <w:lvl w:ilvl="1">
      <w:lvlJc w:val="left"/>
      <w:lvlText w:val="(%2)"/>
      <w:numFmt w:val="decimal"/>
      <w:start w:val="3"/>
    </w:lvl>
  </w:abstractNum>
  <w:abstractNum w:abstractNumId="98">
    <w:nsid w:val="4C672FC9"/>
    <w:multiLevelType w:val="hybridMultilevel"/>
    <w:lvl w:ilvl="0">
      <w:lvlJc w:val="left"/>
      <w:lvlText w:val="(%1)"/>
      <w:numFmt w:val="decimal"/>
      <w:start w:val="11"/>
    </w:lvl>
  </w:abstractNum>
  <w:abstractNum w:abstractNumId="99">
    <w:nsid w:val="52A311C3"/>
    <w:multiLevelType w:val="hybridMultilevel"/>
    <w:lvl w:ilvl="0">
      <w:lvlJc w:val="left"/>
      <w:lvlText w:val="(%1)"/>
      <w:numFmt w:val="decimal"/>
      <w:start w:val="1"/>
    </w:lvl>
  </w:abstractNum>
  <w:abstractNum w:abstractNumId="100">
    <w:nsid w:val="44EF6B80"/>
    <w:multiLevelType w:val="hybridMultilevel"/>
    <w:lvl w:ilvl="0">
      <w:lvlJc w:val="left"/>
      <w:lvlText w:val="%1"/>
      <w:numFmt w:val="lowerRoman"/>
      <w:start w:val="1"/>
    </w:lvl>
    <w:lvl w:ilvl="1">
      <w:lvlJc w:val="left"/>
      <w:lvlText w:val="(%2)"/>
      <w:numFmt w:val="decimal"/>
      <w:start w:val="6"/>
    </w:lvl>
  </w:abstractNum>
  <w:abstractNum w:abstractNumId="101">
    <w:nsid w:val="12FCDE5E"/>
    <w:multiLevelType w:val="hybridMultilevel"/>
    <w:lvl w:ilvl="0">
      <w:lvlJc w:val="left"/>
      <w:lvlText w:val="(%1)"/>
      <w:numFmt w:val="lowerRoman"/>
      <w:start w:val="10"/>
    </w:lvl>
    <w:lvl w:ilvl="1">
      <w:lvlJc w:val="left"/>
      <w:lvlText w:val="(%2)"/>
      <w:numFmt w:val="decimal"/>
      <w:start w:val="8"/>
    </w:lvl>
  </w:abstractNum>
  <w:abstractNum w:abstractNumId="102">
    <w:nsid w:val="4A1D606E"/>
    <w:multiLevelType w:val="hybridMultilevel"/>
    <w:lvl w:ilvl="0">
      <w:lvlJc w:val="left"/>
      <w:lvlText w:val="(%1)"/>
      <w:numFmt w:val="decimal"/>
      <w:start w:val="15"/>
    </w:lvl>
  </w:abstractNum>
  <w:abstractNum w:abstractNumId="103">
    <w:nsid w:val="4382503"/>
    <w:multiLevelType w:val="hybridMultilevel"/>
    <w:lvl w:ilvl="0">
      <w:lvlJc w:val="left"/>
      <w:lvlText w:val="(%1)"/>
      <w:numFmt w:val="decimal"/>
      <w:start w:val="1"/>
    </w:lvl>
  </w:abstractNum>
  <w:abstractNum w:abstractNumId="104">
    <w:nsid w:val="59B76E28"/>
    <w:multiLevelType w:val="hybridMultilevel"/>
    <w:lvl w:ilvl="0">
      <w:lvlJc w:val="left"/>
      <w:lvlText w:val="(%1)"/>
      <w:numFmt w:val="decimal"/>
      <w:start w:val="1"/>
    </w:lvl>
  </w:abstractNum>
  <w:abstractNum w:abstractNumId="105">
    <w:nsid w:val="4252C2DA"/>
    <w:multiLevelType w:val="hybridMultilevel"/>
    <w:lvl w:ilvl="0">
      <w:lvlJc w:val="left"/>
      <w:lvlText w:val="(%1)"/>
      <w:numFmt w:val="decimal"/>
      <w:start w:val="1"/>
    </w:lvl>
  </w:abstractNum>
  <w:abstractNum w:abstractNumId="106">
    <w:nsid w:val="6A92EF4C"/>
    <w:multiLevelType w:val="hybridMultilevel"/>
    <w:lvl w:ilvl="0">
      <w:lvlJc w:val="left"/>
      <w:lvlText w:val="(%1)"/>
      <w:numFmt w:val="decimal"/>
      <w:start w:val="2"/>
    </w:lvl>
  </w:abstractNum>
  <w:abstractNum w:abstractNumId="107">
    <w:nsid w:val="41ED20D7"/>
    <w:multiLevelType w:val="hybridMultilevel"/>
    <w:lvl w:ilvl="0">
      <w:lvlJc w:val="left"/>
      <w:lvlText w:val="(%1)"/>
      <w:numFmt w:val="decimal"/>
      <w:start w:val="2"/>
    </w:lvl>
  </w:abstractNum>
  <w:abstractNum w:abstractNumId="108">
    <w:nsid w:val="E6B3F6A"/>
    <w:multiLevelType w:val="hybridMultilevel"/>
    <w:lvl w:ilvl="0">
      <w:lvlJc w:val="left"/>
      <w:lvlText w:val="(%1)"/>
      <w:numFmt w:val="decimal"/>
      <w:start w:val="1"/>
    </w:lvl>
  </w:abstractNum>
  <w:abstractNum w:abstractNumId="109">
    <w:nsid w:val="3EB21819"/>
    <w:multiLevelType w:val="hybridMultilevel"/>
    <w:lvl w:ilvl="0">
      <w:lvlJc w:val="left"/>
      <w:lvlText w:val="(%1)"/>
      <w:numFmt w:val="decimal"/>
      <w:start w:val="1"/>
    </w:lvl>
    <w:lvl w:ilvl="1">
      <w:lvlJc w:val="left"/>
      <w:lvlText w:val="(%2)"/>
      <w:numFmt w:val="lowerLetter"/>
      <w:start w:val="1"/>
    </w:lvl>
  </w:abstractNum>
  <w:abstractNum w:abstractNumId="110">
    <w:nsid w:val="41531DED"/>
    <w:multiLevelType w:val="hybridMultilevel"/>
    <w:lvl w:ilvl="0">
      <w:lvlJc w:val="left"/>
      <w:lvlText w:val="(%1)"/>
      <w:numFmt w:val="lowerLetter"/>
      <w:start w:val="1"/>
    </w:lvl>
  </w:abstractNum>
  <w:abstractNum w:abstractNumId="111">
    <w:nsid w:val="6353CD2"/>
    <w:multiLevelType w:val="hybridMultilevel"/>
    <w:lvl w:ilvl="0">
      <w:lvlJc w:val="left"/>
      <w:lvlText w:val="(%1)"/>
      <w:numFmt w:val="decimal"/>
      <w:start w:val="1"/>
    </w:lvl>
  </w:abstractNum>
  <w:abstractNum w:abstractNumId="112">
    <w:nsid w:val="683CAAD3"/>
    <w:multiLevelType w:val="hybridMultilevel"/>
    <w:lvl w:ilvl="0">
      <w:lvlJc w:val="left"/>
      <w:lvlText w:val="(%1)"/>
      <w:numFmt w:val="decimal"/>
      <w:start w:val="6"/>
    </w:lvl>
  </w:abstractNum>
  <w:abstractNum w:abstractNumId="113">
    <w:nsid w:val="313C7C99"/>
    <w:multiLevelType w:val="hybridMultilevel"/>
    <w:lvl w:ilvl="0">
      <w:lvlJc w:val="left"/>
      <w:lvlText w:val="(%1)"/>
      <w:numFmt w:val="decimal"/>
      <w:start w:val="1"/>
    </w:lvl>
  </w:abstractNum>
  <w:abstractNum w:abstractNumId="114">
    <w:nsid w:val="519EB94C"/>
    <w:multiLevelType w:val="hybridMultilevel"/>
    <w:lvl w:ilvl="0">
      <w:lvlJc w:val="left"/>
      <w:lvlText w:val="(%1)"/>
      <w:numFmt w:val="decimal"/>
      <w:start w:val="1"/>
    </w:lvl>
  </w:abstractNum>
  <w:abstractNum w:abstractNumId="115">
    <w:nsid w:val="39DF2579"/>
    <w:multiLevelType w:val="hybridMultilevel"/>
    <w:lvl w:ilvl="0">
      <w:lvlJc w:val="left"/>
      <w:lvlText w:val="(%1)"/>
      <w:numFmt w:val="decimal"/>
      <w:start w:val="1"/>
    </w:lvl>
  </w:abstractNum>
  <w:abstractNum w:abstractNumId="116">
    <w:nsid w:val="126E008B"/>
    <w:multiLevelType w:val="hybridMultilevel"/>
    <w:lvl w:ilvl="0">
      <w:lvlJc w:val="left"/>
      <w:lvlText w:val="(%1)"/>
      <w:numFmt w:val="lowerLetter"/>
      <w:start w:val="1"/>
    </w:lvl>
  </w:abstractNum>
  <w:abstractNum w:abstractNumId="117">
    <w:nsid w:val="34DFBC00"/>
    <w:multiLevelType w:val="hybridMultilevel"/>
    <w:lvl w:ilvl="0">
      <w:lvlJc w:val="left"/>
      <w:lvlText w:val="(%1)"/>
      <w:numFmt w:val="decimal"/>
      <w:start w:val="7"/>
    </w:lvl>
  </w:abstractNum>
  <w:abstractNum w:abstractNumId="118">
    <w:nsid w:val="1F9EC322"/>
    <w:multiLevelType w:val="hybridMultilevel"/>
    <w:lvl w:ilvl="0">
      <w:lvlJc w:val="left"/>
      <w:lvlText w:val="(%1)"/>
      <w:numFmt w:val="decimal"/>
      <w:start w:val="1"/>
    </w:lvl>
  </w:abstractNum>
  <w:abstractNum w:abstractNumId="119">
    <w:nsid w:val="3410ED56"/>
    <w:multiLevelType w:val="hybridMultilevel"/>
    <w:lvl w:ilvl="0">
      <w:lvlJc w:val="left"/>
      <w:lvlText w:val="(%1)"/>
      <w:numFmt w:val="decimal"/>
      <w:start w:val="1"/>
    </w:lvl>
  </w:abstractNum>
  <w:abstractNum w:abstractNumId="120">
    <w:nsid w:val="23C049A"/>
    <w:multiLevelType w:val="hybridMultilevel"/>
    <w:lvl w:ilvl="0">
      <w:lvlJc w:val="left"/>
      <w:lvlText w:val="(%1)"/>
      <w:numFmt w:val="decimal"/>
      <w:start w:val="1"/>
    </w:lvl>
  </w:abstractNum>
  <w:abstractNum w:abstractNumId="121">
    <w:nsid w:val="5BDA35D4"/>
    <w:multiLevelType w:val="hybridMultilevel"/>
    <w:lvl w:ilvl="0">
      <w:lvlJc w:val="left"/>
      <w:lvlText w:val="(%1)"/>
      <w:numFmt w:val="decimal"/>
      <w:start w:val="2"/>
    </w:lvl>
  </w:abstractNum>
  <w:abstractNum w:abstractNumId="122">
    <w:nsid w:val="496FB218"/>
    <w:multiLevelType w:val="hybridMultilevel"/>
    <w:lvl w:ilvl="0">
      <w:lvlJc w:val="left"/>
      <w:lvlText w:val="(%1)"/>
      <w:numFmt w:val="decimal"/>
      <w:start w:val="1"/>
    </w:lvl>
  </w:abstractNum>
  <w:abstractNum w:abstractNumId="123">
    <w:nsid w:val="680EA5D1"/>
    <w:multiLevelType w:val="hybridMultilevel"/>
    <w:lvl w:ilvl="0">
      <w:lvlJc w:val="left"/>
      <w:lvlText w:val="(%1)"/>
      <w:numFmt w:val="decimal"/>
      <w:start w:val="3"/>
    </w:lvl>
  </w:abstractNum>
  <w:abstractNum w:abstractNumId="124">
    <w:nsid w:val="4A9554FE"/>
    <w:multiLevelType w:val="hybridMultilevel"/>
    <w:lvl w:ilvl="0">
      <w:lvlJc w:val="left"/>
      <w:lvlText w:val="(%1)"/>
      <w:numFmt w:val="decimal"/>
      <w:start w:val="1"/>
    </w:lvl>
  </w:abstractNum>
  <w:abstractNum w:abstractNumId="125">
    <w:nsid w:val="392EDBE4"/>
    <w:multiLevelType w:val="hybridMultilevel"/>
    <w:lvl w:ilvl="0">
      <w:lvlJc w:val="left"/>
      <w:lvlText w:val="(%1)"/>
      <w:numFmt w:val="decimal"/>
      <w:start w:val="1"/>
    </w:lvl>
    <w:lvl w:ilvl="1">
      <w:lvlJc w:val="left"/>
      <w:lvlText w:val="(%2)"/>
      <w:numFmt w:val="lowerLetter"/>
      <w:start w:val="1"/>
    </w:lvl>
  </w:abstractNum>
  <w:abstractNum w:abstractNumId="126">
    <w:nsid w:val="3D1A2DD9"/>
    <w:multiLevelType w:val="hybridMultilevel"/>
    <w:lvl w:ilvl="0">
      <w:lvlJc w:val="left"/>
      <w:lvlText w:val="(%1)"/>
      <w:numFmt w:val="lowerLetter"/>
      <w:start w:val="1"/>
    </w:lvl>
  </w:abstractNum>
  <w:abstractNum w:abstractNumId="127">
    <w:nsid w:val="7F618FCD"/>
    <w:multiLevelType w:val="hybridMultilevel"/>
    <w:lvl w:ilvl="0">
      <w:lvlJc w:val="left"/>
      <w:lvlText w:val="(%1)"/>
      <w:numFmt w:val="decimal"/>
      <w:start w:val="2"/>
    </w:lvl>
  </w:abstractNum>
  <w:abstractNum w:abstractNumId="128">
    <w:nsid w:val="7843E45"/>
    <w:multiLevelType w:val="hybridMultilevel"/>
    <w:lvl w:ilvl="0">
      <w:lvlJc w:val="left"/>
      <w:lvlText w:val="(%1)"/>
      <w:numFmt w:val="decimal"/>
      <w:start w:val="1"/>
    </w:lvl>
  </w:abstractNum>
  <w:abstractNum w:abstractNumId="129">
    <w:nsid w:val="9815DA3"/>
    <w:multiLevelType w:val="hybridMultilevel"/>
    <w:lvl w:ilvl="0">
      <w:lvlJc w:val="left"/>
      <w:lvlText w:val="(%1)"/>
      <w:numFmt w:val="decimal"/>
      <w:start w:val="1"/>
    </w:lvl>
  </w:abstractNum>
  <w:abstractNum w:abstractNumId="130">
    <w:nsid w:val="5204A191"/>
    <w:multiLevelType w:val="hybridMultilevel"/>
    <w:lvl w:ilvl="0">
      <w:lvlJc w:val="left"/>
      <w:lvlText w:val="(%1)"/>
      <w:numFmt w:val="decimal"/>
      <w:start w:val="1"/>
    </w:lvl>
  </w:abstractNum>
  <w:abstractNum w:abstractNumId="131">
    <w:nsid w:val="4C73A9C6"/>
    <w:multiLevelType w:val="hybridMultilevel"/>
    <w:lvl w:ilvl="0">
      <w:lvlJc w:val="left"/>
      <w:lvlText w:val="(%1)"/>
      <w:numFmt w:val="decimal"/>
      <w:start w:val="1"/>
    </w:lvl>
    <w:lvl w:ilvl="1">
      <w:lvlJc w:val="left"/>
      <w:lvlText w:val="(%2)"/>
      <w:numFmt w:val="lowerLetter"/>
      <w:start w:val="1"/>
    </w:lvl>
  </w:abstractNum>
  <w:abstractNum w:abstractNumId="132">
    <w:nsid w:val="1C7E3C01"/>
    <w:multiLevelType w:val="hybridMultilevel"/>
    <w:lvl w:ilvl="0">
      <w:lvlJc w:val="left"/>
      <w:lvlText w:val="(%1)"/>
      <w:numFmt w:val="decimal"/>
      <w:start w:val="1"/>
    </w:lvl>
    <w:lvl w:ilvl="1">
      <w:lvlJc w:val="left"/>
      <w:lvlText w:val="(%2)"/>
      <w:numFmt w:val="lowerLetter"/>
      <w:start w:val="1"/>
    </w:lvl>
  </w:abstractNum>
  <w:abstractNum w:abstractNumId="133">
    <w:nsid w:val="1C2201FF"/>
    <w:multiLevelType w:val="hybridMultilevel"/>
    <w:lvl w:ilvl="0">
      <w:lvlJc w:val="left"/>
      <w:lvlText w:val="(%1)"/>
      <w:numFmt w:val="decimal"/>
      <w:start w:val="1"/>
    </w:lvl>
  </w:abstractNum>
  <w:abstractNum w:abstractNumId="134">
    <w:nsid w:val="50ABCEC9"/>
    <w:multiLevelType w:val="hybridMultilevel"/>
    <w:lvl w:ilvl="0">
      <w:lvlJc w:val="left"/>
      <w:lvlText w:val="(%1)"/>
      <w:numFmt w:val="decimal"/>
      <w:start w:val="1"/>
    </w:lvl>
  </w:abstractNum>
  <w:abstractNum w:abstractNumId="135">
    <w:nsid w:val="7635AA2A"/>
    <w:multiLevelType w:val="hybridMultilevel"/>
    <w:lvl w:ilvl="0">
      <w:lvlJc w:val="left"/>
      <w:lvlText w:val="(%1)"/>
      <w:numFmt w:val="decimal"/>
      <w:start w:val="1"/>
    </w:lvl>
  </w:abstractNum>
  <w:abstractNum w:abstractNumId="136">
    <w:nsid w:val="5E74C4D9"/>
    <w:multiLevelType w:val="hybridMultilevel"/>
    <w:lvl w:ilvl="0">
      <w:lvlJc w:val="left"/>
      <w:lvlText w:val="(%1)"/>
      <w:numFmt w:val="decimal"/>
      <w:start w:val="4"/>
    </w:lvl>
  </w:abstractNum>
  <w:abstractNum w:abstractNumId="137">
    <w:nsid w:val="3B3EBE15"/>
    <w:multiLevelType w:val="hybridMultilevel"/>
    <w:lvl w:ilvl="0">
      <w:lvlJc w:val="left"/>
      <w:lvlText w:val="(%1)"/>
      <w:numFmt w:val="decimal"/>
      <w:start w:val="1"/>
    </w:lvl>
  </w:abstractNum>
  <w:abstractNum w:abstractNumId="138">
    <w:nsid w:val="3822CB01"/>
    <w:multiLevelType w:val="hybridMultilevel"/>
    <w:lvl w:ilvl="0">
      <w:lvlJc w:val="left"/>
      <w:lvlText w:val="(%1)"/>
      <w:numFmt w:val="decimal"/>
      <w:start w:val="1"/>
    </w:lvl>
  </w:abstractNum>
  <w:abstractNum w:abstractNumId="139">
    <w:nsid w:val="6CE00443"/>
    <w:multiLevelType w:val="hybridMultilevel"/>
    <w:lvl w:ilvl="0">
      <w:lvlJc w:val="left"/>
      <w:lvlText w:val="(%1)"/>
      <w:numFmt w:val="decimal"/>
      <w:start w:val="1"/>
    </w:lvl>
  </w:abstractNum>
  <w:abstractNum w:abstractNumId="140">
    <w:nsid w:val="79F0D62F"/>
    <w:multiLevelType w:val="hybridMultilevel"/>
    <w:lvl w:ilvl="0">
      <w:lvlJc w:val="left"/>
      <w:lvlText w:val="(%1)"/>
      <w:numFmt w:val="decimal"/>
      <w:start w:val="4"/>
    </w:lvl>
  </w:abstractNum>
  <w:abstractNum w:abstractNumId="141">
    <w:nsid w:val="7975E8EE"/>
    <w:multiLevelType w:val="hybridMultilevel"/>
    <w:lvl w:ilvl="0">
      <w:lvlJc w:val="left"/>
      <w:lvlText w:val="(%1)"/>
      <w:numFmt w:val="decimal"/>
      <w:start w:val="1"/>
    </w:lvl>
  </w:abstractNum>
  <w:abstractNum w:abstractNumId="142">
    <w:nsid w:val="73154115"/>
    <w:multiLevelType w:val="hybridMultilevel"/>
    <w:lvl w:ilvl="0">
      <w:lvlJc w:val="left"/>
      <w:lvlText w:val="(%1)"/>
      <w:numFmt w:val="decimal"/>
      <w:start w:val="1"/>
    </w:lvl>
  </w:abstractNum>
  <w:abstractNum w:abstractNumId="143">
    <w:nsid w:val="622D8102"/>
    <w:multiLevelType w:val="hybridMultilevel"/>
    <w:lvl w:ilvl="0">
      <w:lvlJc w:val="left"/>
      <w:lvlText w:val="(%1)"/>
      <w:numFmt w:val="decimal"/>
      <w:start w:val="5"/>
    </w:lvl>
  </w:abstractNum>
  <w:abstractNum w:abstractNumId="144">
    <w:nsid w:val="2AB26587"/>
    <w:multiLevelType w:val="hybridMultilevel"/>
    <w:lvl w:ilvl="0">
      <w:lvlJc w:val="left"/>
      <w:lvlText w:val="(%1)"/>
      <w:numFmt w:val="decimal"/>
      <w:start w:val="1"/>
    </w:lvl>
    <w:lvl w:ilvl="1">
      <w:lvlJc w:val="left"/>
      <w:lvlText w:val="(%2)"/>
      <w:numFmt w:val="lowerLetter"/>
      <w:start w:val="1"/>
    </w:lvl>
  </w:abstractNum>
  <w:abstractNum w:abstractNumId="145">
    <w:nsid w:val="44B3FA61"/>
    <w:multiLevelType w:val="hybridMultilevel"/>
    <w:lvl w:ilvl="0">
      <w:lvlJc w:val="left"/>
      <w:lvlText w:val="(%1)"/>
      <w:numFmt w:val="lowerLetter"/>
      <w:start w:val="1"/>
    </w:lvl>
  </w:abstractNum>
  <w:abstractNum w:abstractNumId="146">
    <w:nsid w:val="1C0CA67C"/>
    <w:multiLevelType w:val="hybridMultilevel"/>
    <w:lvl w:ilvl="0">
      <w:lvlJc w:val="left"/>
      <w:lvlText w:val="(%1)"/>
      <w:numFmt w:val="decimal"/>
      <w:start w:val="1"/>
    </w:lvl>
  </w:abstractNum>
  <w:abstractNum w:abstractNumId="147">
    <w:nsid w:val="3D206613"/>
    <w:multiLevelType w:val="hybridMultilevel"/>
    <w:lvl w:ilvl="0">
      <w:lvlJc w:val="left"/>
      <w:lvlText w:val="(%1)"/>
      <w:numFmt w:val="decimal"/>
      <w:start w:val="1"/>
    </w:lvl>
  </w:abstractNum>
  <w:abstractNum w:abstractNumId="148">
    <w:nsid w:val="7993B662"/>
    <w:multiLevelType w:val="hybridMultilevel"/>
    <w:lvl w:ilvl="0">
      <w:lvlJc w:val="left"/>
      <w:lvlText w:val="(%1)"/>
      <w:numFmt w:val="decimal"/>
      <w:start w:val="2"/>
    </w:lvl>
  </w:abstractNum>
  <w:abstractNum w:abstractNumId="149">
    <w:nsid w:val="3BAB699E"/>
    <w:multiLevelType w:val="hybridMultilevel"/>
    <w:lvl w:ilvl="0">
      <w:lvlJc w:val="left"/>
      <w:lvlText w:val="(%1)"/>
      <w:numFmt w:val="decimal"/>
      <w:start w:val="1"/>
    </w:lvl>
  </w:abstractNum>
  <w:abstractNum w:abstractNumId="150">
    <w:nsid w:val="71315369"/>
    <w:multiLevelType w:val="hybridMultilevel"/>
    <w:lvl w:ilvl="0">
      <w:lvlJc w:val="left"/>
      <w:lvlText w:val="(%1)"/>
      <w:numFmt w:val="decimal"/>
      <w:start w:val="1"/>
    </w:lvl>
  </w:abstractNum>
  <w:abstractNum w:abstractNumId="151">
    <w:nsid w:val="7BCFBAFC"/>
    <w:multiLevelType w:val="hybridMultilevel"/>
    <w:lvl w:ilvl="0">
      <w:lvlJc w:val="left"/>
      <w:lvlText w:val="(%1)"/>
      <w:numFmt w:val="decimal"/>
      <w:start w:val="5"/>
    </w:lvl>
  </w:abstractNum>
  <w:abstractNum w:abstractNumId="152">
    <w:nsid w:val="17859F72"/>
    <w:multiLevelType w:val="hybridMultilevel"/>
    <w:lvl w:ilvl="0">
      <w:lvlJc w:val="left"/>
      <w:lvlText w:val="(%1)"/>
      <w:numFmt w:val="decimal"/>
      <w:start w:val="1"/>
    </w:lvl>
  </w:abstractNum>
  <w:abstractNum w:abstractNumId="153">
    <w:nsid w:val="3AA10581"/>
    <w:multiLevelType w:val="hybridMultilevel"/>
    <w:lvl w:ilvl="0">
      <w:lvlJc w:val="left"/>
      <w:lvlText w:val="(%1)"/>
      <w:numFmt w:val="decimal"/>
      <w:start w:val="1"/>
    </w:lvl>
  </w:abstractNum>
  <w:abstractNum w:abstractNumId="154">
    <w:nsid w:val="63DE60CD"/>
    <w:multiLevelType w:val="hybridMultilevel"/>
    <w:lvl w:ilvl="0">
      <w:lvlJc w:val="left"/>
      <w:lvlText w:val="(%1)"/>
      <w:numFmt w:val="lowerRoman"/>
      <w:start w:val="4"/>
    </w:lvl>
  </w:abstractNum>
  <w:abstractNum w:abstractNumId="155">
    <w:nsid w:val="621AF471"/>
    <w:multiLevelType w:val="hybridMultilevel"/>
    <w:lvl w:ilvl="0">
      <w:lvlJc w:val="left"/>
      <w:lvlText w:val="(%1)"/>
      <w:numFmt w:val="decimal"/>
      <w:start w:val="1"/>
    </w:lvl>
  </w:abstractNum>
  <w:abstractNum w:abstractNumId="156">
    <w:nsid w:val="73CFE165"/>
    <w:multiLevelType w:val="hybridMultilevel"/>
    <w:lvl w:ilvl="0">
      <w:lvlJc w:val="left"/>
      <w:lvlText w:val="(%1)"/>
      <w:numFmt w:val="decimal"/>
      <w:start w:val="1"/>
    </w:lvl>
    <w:lvl w:ilvl="1">
      <w:lvlJc w:val="left"/>
      <w:lvlText w:val="(%2)"/>
      <w:numFmt w:val="lowerLetter"/>
      <w:start w:val="1"/>
    </w:lvl>
  </w:abstractNum>
  <w:abstractNum w:abstractNumId="157">
    <w:nsid w:val="20F88EA6"/>
    <w:multiLevelType w:val="hybridMultilevel"/>
    <w:lvl w:ilvl="0">
      <w:lvlJc w:val="left"/>
      <w:lvlText w:val="(%1)"/>
      <w:numFmt w:val="decimal"/>
      <w:start w:val="7"/>
    </w:lvl>
  </w:abstractNum>
  <w:abstractNum w:abstractNumId="158">
    <w:nsid w:val="617C843E"/>
    <w:multiLevelType w:val="hybridMultilevel"/>
    <w:lvl w:ilvl="0">
      <w:lvlJc w:val="left"/>
      <w:lvlText w:val="(%1)"/>
      <w:numFmt w:val="decimal"/>
      <w:start w:val="1"/>
    </w:lvl>
  </w:abstractNum>
  <w:abstractNum w:abstractNumId="159">
    <w:nsid w:val="7B541FAB"/>
    <w:multiLevelType w:val="hybridMultilevel"/>
    <w:lvl w:ilvl="0">
      <w:lvlJc w:val="left"/>
      <w:lvlText w:val="(%1)"/>
      <w:numFmt w:val="decimal"/>
      <w:start w:val="14"/>
    </w:lvl>
  </w:abstractNum>
  <w:abstractNum w:abstractNumId="160">
    <w:nsid w:val="2A79EC49"/>
    <w:multiLevelType w:val="hybridMultilevel"/>
    <w:lvl w:ilvl="0">
      <w:lvlJc w:val="left"/>
      <w:lvlText w:val="(%1)"/>
      <w:numFmt w:val="decimal"/>
      <w:start w:val="1"/>
    </w:lvl>
  </w:abstractNum>
  <w:abstractNum w:abstractNumId="161">
    <w:nsid w:val="338125CF"/>
    <w:multiLevelType w:val="hybridMultilevel"/>
    <w:lvl w:ilvl="0">
      <w:lvlJc w:val="left"/>
      <w:lvlText w:val="(%1)"/>
      <w:numFmt w:val="decimal"/>
      <w:start w:val="1"/>
    </w:lvl>
  </w:abstractNum>
  <w:abstractNum w:abstractNumId="162">
    <w:nsid w:val="47C7C971"/>
    <w:multiLevelType w:val="hybridMultilevel"/>
    <w:lvl w:ilvl="0">
      <w:lvlJc w:val="left"/>
      <w:lvlText w:val="(%1)"/>
      <w:numFmt w:val="decimal"/>
      <w:start w:val="1"/>
    </w:lvl>
  </w:abstractNum>
  <w:abstractNum w:abstractNumId="163">
    <w:nsid w:val="46F8284B"/>
    <w:multiLevelType w:val="hybridMultilevel"/>
    <w:lvl w:ilvl="0">
      <w:lvlJc w:val="left"/>
      <w:lvlText w:val="(%1)"/>
      <w:numFmt w:val="decimal"/>
      <w:start w:val="1"/>
    </w:lvl>
  </w:abstractNum>
  <w:abstractNum w:abstractNumId="164">
    <w:nsid w:val="4FA327CE"/>
    <w:multiLevelType w:val="hybridMultilevel"/>
    <w:lvl w:ilvl="0">
      <w:lvlJc w:val="left"/>
      <w:lvlText w:val="(%1)"/>
      <w:numFmt w:val="decimal"/>
      <w:start w:val="3"/>
    </w:lvl>
  </w:abstractNum>
  <w:abstractNum w:abstractNumId="165">
    <w:nsid w:val="1873983A"/>
    <w:multiLevelType w:val="hybridMultilevel"/>
    <w:lvl w:ilvl="0">
      <w:lvlJc w:val="left"/>
      <w:lvlText w:val="(%1)"/>
      <w:numFmt w:val="decimal"/>
      <w:start w:val="1"/>
    </w:lvl>
  </w:abstractNum>
  <w:abstractNum w:abstractNumId="166">
    <w:nsid w:val="3D2DD275"/>
    <w:multiLevelType w:val="hybridMultilevel"/>
    <w:lvl w:ilvl="0">
      <w:lvlJc w:val="left"/>
      <w:lvlText w:val="(%1)"/>
      <w:numFmt w:val="decimal"/>
      <w:start w:val="1"/>
    </w:lvl>
  </w:abstractNum>
  <w:abstractNum w:abstractNumId="167">
    <w:nsid w:val="2E17ECA7"/>
    <w:multiLevelType w:val="hybridMultilevel"/>
    <w:lvl w:ilvl="0">
      <w:lvlJc w:val="left"/>
      <w:lvlText w:val="(%1)"/>
      <w:numFmt w:val="decimal"/>
      <w:start w:val="1"/>
    </w:lvl>
  </w:abstractNum>
  <w:abstractNum w:abstractNumId="168">
    <w:nsid w:val="53B2564F"/>
    <w:multiLevelType w:val="hybridMultilevel"/>
    <w:lvl w:ilvl="0">
      <w:lvlJc w:val="left"/>
      <w:lvlText w:val="(%1)"/>
      <w:numFmt w:val="decimal"/>
      <w:start w:val="1"/>
    </w:lvl>
  </w:abstractNum>
  <w:abstractNum w:abstractNumId="169">
    <w:nsid w:val="75509D76"/>
    <w:multiLevelType w:val="hybridMultilevel"/>
    <w:lvl w:ilvl="0">
      <w:lvlJc w:val="left"/>
      <w:lvlText w:val="."/>
      <w:numFmt w:val="bullet"/>
      <w:start w:val="1"/>
    </w:lvl>
  </w:abstractNum>
  <w:abstractNum w:abstractNumId="170">
    <w:nsid w:val="1AF7F0EA"/>
    <w:multiLevelType w:val="hybridMultilevel"/>
    <w:lvl w:ilvl="0">
      <w:lvlJc w:val="left"/>
      <w:lvlText w:val="."/>
      <w:numFmt w:val="bullet"/>
      <w:start w:val="1"/>
    </w:lvl>
  </w:abstractNum>
  <w:abstractNum w:abstractNumId="171">
    <w:nsid w:val="4DA32C7E"/>
    <w:multiLevelType w:val="hybridMultilevel"/>
    <w:lvl w:ilvl="0">
      <w:lvlJc w:val="left"/>
      <w:lvlText w:val="."/>
      <w:numFmt w:val="bullet"/>
      <w:start w:val="1"/>
    </w:lvl>
  </w:abstractNum>
  <w:abstractNum w:abstractNumId="172">
    <w:nsid w:val="6EC68664"/>
    <w:multiLevelType w:val="hybridMultilevel"/>
    <w:lvl w:ilvl="0">
      <w:lvlJc w:val="left"/>
      <w:lvlText w:val="."/>
      <w:numFmt w:val="bullet"/>
      <w:start w:val="1"/>
    </w:lvl>
  </w:abstractNum>
  <w:abstractNum w:abstractNumId="173">
    <w:nsid w:val="E0D31FF"/>
    <w:multiLevelType w:val="hybridMultilevel"/>
    <w:lvl w:ilvl="0">
      <w:lvlJc w:val="left"/>
      <w:lvlText w:val="-"/>
      <w:numFmt w:val="bullet"/>
      <w:start w:val="1"/>
    </w:lvl>
  </w:abstractNum>
  <w:abstractNum w:abstractNumId="174">
    <w:nsid w:val="2FD0AD81"/>
    <w:multiLevelType w:val="hybridMultilevel"/>
    <w:lvl w:ilvl="0">
      <w:lvlJc w:val="left"/>
      <w:lvlText w:val="-"/>
      <w:numFmt w:val="bullet"/>
      <w:start w:val="1"/>
    </w:lvl>
    <w:lvl w:ilvl="1">
      <w:lvlJc w:val="left"/>
      <w:lvlText w:val="."/>
      <w:numFmt w:val="bullet"/>
      <w:start w:val="1"/>
    </w:lvl>
  </w:abstractNum>
  <w:abstractNum w:abstractNumId="175">
    <w:nsid w:val="1978EBEB"/>
    <w:multiLevelType w:val="hybridMultilevel"/>
    <w:lvl w:ilvl="0">
      <w:lvlJc w:val="left"/>
      <w:lvlText w:val="(%1)"/>
      <w:numFmt w:val="lowerRoman"/>
      <w:start w:val="4"/>
    </w:lvl>
  </w:abstractNum>
  <w:abstractNum w:abstractNumId="176">
    <w:nsid w:val="52C12C61"/>
    <w:multiLevelType w:val="hybridMultilevel"/>
    <w:lvl w:ilvl="0">
      <w:lvlJc w:val="left"/>
      <w:lvlText w:val="(%1)"/>
      <w:numFmt w:val="lowerLetter"/>
      <w:start w:val="2"/>
    </w:lvl>
  </w:abstractNum>
  <w:abstractNum w:abstractNumId="177">
    <w:nsid w:val="4BDD53FD"/>
    <w:multiLevelType w:val="hybridMultilevel"/>
    <w:lvl w:ilvl="0">
      <w:lvlJc w:val="left"/>
      <w:lvlText w:val="(%1)"/>
      <w:numFmt w:val="lowerLetter"/>
      <w:start w:val="1"/>
    </w:lvl>
  </w:abstractNum>
  <w:abstractNum w:abstractNumId="178">
    <w:nsid w:val="569951FE"/>
    <w:multiLevelType w:val="hybridMultilevel"/>
    <w:lvl w:ilvl="0">
      <w:lvlJc w:val="left"/>
      <w:lvlText w:val="(%1)"/>
      <w:numFmt w:val="lowerLetter"/>
      <w:start w:val="3"/>
    </w:lvl>
  </w:abstractNum>
  <w:abstractNum w:abstractNumId="179">
    <w:nsid w:val="4C54E2C3"/>
    <w:multiLevelType w:val="hybridMultilevel"/>
    <w:lvl w:ilvl="0">
      <w:lvlJc w:val="left"/>
      <w:lvlText w:val="(%1)"/>
      <w:numFmt w:val="decimal"/>
      <w:start w:val="1"/>
    </w:lvl>
  </w:abstractNum>
  <w:abstractNum w:abstractNumId="180">
    <w:nsid w:val="788BD9B"/>
    <w:multiLevelType w:val="hybridMultilevel"/>
    <w:lvl w:ilvl="0">
      <w:lvlJc w:val="left"/>
      <w:lvlText w:val="(%1)"/>
      <w:numFmt w:val="decimal"/>
      <w:start w:val="1"/>
    </w:lvl>
  </w:abstractNum>
  <w:abstractNum w:abstractNumId="181">
    <w:nsid w:val="47CAA567"/>
    <w:multiLevelType w:val="hybridMultilevel"/>
    <w:lvl w:ilvl="0">
      <w:lvlJc w:val="left"/>
      <w:lvlText w:val="(%1)"/>
      <w:numFmt w:val="decimal"/>
      <w:start w:val="2"/>
    </w:lvl>
  </w:abstractNum>
  <w:abstractNum w:abstractNumId="182">
    <w:nsid w:val="48249DBF"/>
    <w:multiLevelType w:val="hybridMultilevel"/>
    <w:lvl w:ilvl="0">
      <w:lvlJc w:val="left"/>
      <w:lvlText w:val="(%1)"/>
      <w:numFmt w:val="decimal"/>
      <w:start w:val="1"/>
    </w:lvl>
  </w:abstractNum>
  <w:abstractNum w:abstractNumId="183">
    <w:nsid w:val="1F0E5D0D"/>
    <w:multiLevelType w:val="hybridMultilevel"/>
    <w:lvl w:ilvl="0">
      <w:lvlJc w:val="left"/>
      <w:lvlText w:val="(%1)"/>
      <w:numFmt w:val="decimal"/>
      <w:start w:val="1"/>
    </w:lvl>
  </w:abstractNum>
  <w:abstractNum w:abstractNumId="184">
    <w:nsid w:val="26BAAE9"/>
    <w:multiLevelType w:val="hybridMultilevel"/>
    <w:lvl w:ilvl="0">
      <w:lvlJc w:val="left"/>
      <w:lvlText w:val="(%1)"/>
      <w:numFmt w:val="decimal"/>
      <w:start w:val="3"/>
    </w:lvl>
  </w:abstractNum>
  <w:abstractNum w:abstractNumId="185">
    <w:nsid w:val="2C02FE8C"/>
    <w:multiLevelType w:val="hybridMultilevel"/>
    <w:lvl w:ilvl="0">
      <w:lvlJc w:val="left"/>
      <w:lvlText w:val="(%1)"/>
      <w:numFmt w:val="decimal"/>
      <w:start w:val="1"/>
    </w:lvl>
  </w:abstractNum>
  <w:abstractNum w:abstractNumId="186">
    <w:nsid w:val="129517E"/>
    <w:multiLevelType w:val="hybridMultilevel"/>
    <w:lvl w:ilvl="0">
      <w:lvlJc w:val="left"/>
      <w:lvlText w:val="(%1)"/>
      <w:numFmt w:val="lowerRoman"/>
      <w:start w:val="3"/>
    </w:lvl>
  </w:abstractNum>
  <w:abstractNum w:abstractNumId="187">
    <w:nsid w:val="763B8C4E"/>
    <w:multiLevelType w:val="hybridMultilevel"/>
    <w:lvl w:ilvl="0">
      <w:lvlJc w:val="left"/>
      <w:lvlText w:val="(%1)"/>
      <w:numFmt w:val="decimal"/>
      <w:start w:val="1"/>
    </w:lvl>
  </w:abstractNum>
  <w:abstractNum w:abstractNumId="188">
    <w:nsid w:val="4CFB8D32"/>
    <w:multiLevelType w:val="hybridMultilevel"/>
    <w:lvl w:ilvl="0">
      <w:lvlJc w:val="left"/>
      <w:lvlText w:val="(%1)"/>
      <w:numFmt w:val="decimal"/>
      <w:start w:val="4"/>
    </w:lvl>
  </w:abstractNum>
  <w:abstractNum w:abstractNumId="189">
    <w:nsid w:val="62A5D5BD"/>
    <w:multiLevelType w:val="hybridMultilevel"/>
    <w:lvl w:ilvl="0">
      <w:lvlJc w:val="left"/>
      <w:lvlText w:val="(%1)"/>
      <w:numFmt w:val="decimal"/>
      <w:start w:val="1"/>
    </w:lvl>
  </w:abstractNum>
  <w:abstractNum w:abstractNumId="190">
    <w:nsid w:val="718FABF9"/>
    <w:multiLevelType w:val="hybridMultilevel"/>
    <w:lvl w:ilvl="0">
      <w:lvlJc w:val="left"/>
      <w:lvlText w:val="(%1)"/>
      <w:numFmt w:val="decimal"/>
      <w:start w:val="7"/>
    </w:lvl>
  </w:abstractNum>
  <w:abstractNum w:abstractNumId="191">
    <w:nsid w:val="7775797C"/>
    <w:multiLevelType w:val="hybridMultilevel"/>
    <w:lvl w:ilvl="0">
      <w:lvlJc w:val="left"/>
      <w:lvlText w:val="(%1)"/>
      <w:numFmt w:val="decimal"/>
      <w:start w:val="1"/>
    </w:lvl>
    <w:lvl w:ilvl="1">
      <w:lvlJc w:val="left"/>
      <w:lvlText w:val="(%2)"/>
      <w:numFmt w:val="lowerLetter"/>
      <w:start w:val="1"/>
    </w:lvl>
  </w:abstractNum>
  <w:abstractNum w:abstractNumId="192">
    <w:nsid w:val="1626FB8C"/>
    <w:multiLevelType w:val="hybridMultilevel"/>
    <w:lvl w:ilvl="0">
      <w:lvlJc w:val="left"/>
      <w:lvlText w:val="(%1)"/>
      <w:numFmt w:val="decimal"/>
      <w:start w:val="1"/>
    </w:lvl>
  </w:abstractNum>
  <w:abstractNum w:abstractNumId="193">
    <w:nsid w:val="3957756A"/>
    <w:multiLevelType w:val="hybridMultilevel"/>
    <w:lvl w:ilvl="0">
      <w:lvlJc w:val="left"/>
      <w:lvlText w:val="(%1)"/>
      <w:numFmt w:val="decimal"/>
      <w:start w:val="1"/>
    </w:lvl>
  </w:abstractNum>
  <w:abstractNum w:abstractNumId="194">
    <w:nsid w:val="3E6DA1C7"/>
    <w:multiLevelType w:val="hybridMultilevel"/>
    <w:lvl w:ilvl="0">
      <w:lvlJc w:val="left"/>
      <w:lvlText w:val="(%1)"/>
      <w:numFmt w:val="decimal"/>
      <w:start w:val="1"/>
    </w:lvl>
  </w:abstractNum>
  <w:abstractNum w:abstractNumId="195">
    <w:nsid w:val="65CA235B"/>
    <w:multiLevelType w:val="hybridMultilevel"/>
    <w:lvl w:ilvl="0">
      <w:lvlJc w:val="left"/>
      <w:lvlText w:val="(%1)"/>
      <w:numFmt w:val="decimal"/>
      <w:start w:val="2"/>
    </w:lvl>
  </w:abstractNum>
  <w:abstractNum w:abstractNumId="196">
    <w:nsid w:val="51CB0DA4"/>
    <w:multiLevelType w:val="hybridMultilevel"/>
    <w:lvl w:ilvl="0">
      <w:lvlJc w:val="left"/>
      <w:lvlText w:val="(%1)"/>
      <w:numFmt w:val="decimal"/>
      <w:start w:val="1"/>
    </w:lvl>
  </w:abstractNum>
  <w:abstractNum w:abstractNumId="197">
    <w:nsid w:val="7B9B743C"/>
    <w:multiLevelType w:val="hybridMultilevel"/>
    <w:lvl w:ilvl="0">
      <w:lvlJc w:val="left"/>
      <w:lvlText w:val="(%1)"/>
      <w:numFmt w:val="lowerRoman"/>
      <w:start w:val="4"/>
    </w:lvl>
  </w:abstractNum>
  <w:abstractNum w:abstractNumId="198">
    <w:nsid w:val="13E21002"/>
    <w:multiLevelType w:val="hybridMultilevel"/>
    <w:lvl w:ilvl="0">
      <w:lvlJc w:val="left"/>
      <w:lvlText w:val="(%1)"/>
      <w:numFmt w:val="decimal"/>
      <w:start w:val="1"/>
    </w:lvl>
  </w:abstractNum>
  <w:abstractNum w:abstractNumId="199">
    <w:nsid w:val="257D63F4"/>
    <w:multiLevelType w:val="hybridMultilevel"/>
    <w:lvl w:ilvl="0">
      <w:lvlJc w:val="left"/>
      <w:lvlText w:val="(%1)"/>
      <w:numFmt w:val="decimal"/>
      <w:start w:val="2"/>
    </w:lvl>
  </w:abstractNum>
  <w:abstractNum w:abstractNumId="200">
    <w:nsid w:val="70EC11B2"/>
    <w:multiLevelType w:val="hybridMultilevel"/>
    <w:lvl w:ilvl="0">
      <w:lvlJc w:val="left"/>
      <w:lvlText w:val="(%1)"/>
      <w:numFmt w:val="decimal"/>
      <w:start w:val="1"/>
    </w:lvl>
  </w:abstractNum>
  <w:abstractNum w:abstractNumId="201">
    <w:nsid w:val="2EDA00ED"/>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202">
    <w:nsid w:val="73209072"/>
    <w:multiLevelType w:val="hybridMultilevel"/>
    <w:lvl w:ilvl="0">
      <w:lvlJc w:val="left"/>
      <w:lvlText w:val="(%1)"/>
      <w:numFmt w:val="lowerRoman"/>
      <w:start w:val="13"/>
    </w:lvl>
    <w:lvl w:ilvl="1">
      <w:lvlJc w:val="left"/>
      <w:lvlText w:val="(%2)"/>
      <w:numFmt w:val="decimal"/>
      <w:start w:val="9"/>
    </w:lvl>
    <w:lvl w:ilvl="2">
      <w:lvlJc w:val="left"/>
      <w:lvlText w:val="%3"/>
      <w:numFmt w:val="lowerLetter"/>
      <w:start w:val="1"/>
    </w:lvl>
  </w:abstractNum>
  <w:abstractNum w:abstractNumId="203">
    <w:nsid w:val="5FB29816"/>
    <w:multiLevelType w:val="hybridMultilevel"/>
    <w:lvl w:ilvl="0">
      <w:lvlJc w:val="left"/>
      <w:lvlText w:val="(%1)"/>
      <w:numFmt w:val="decimal"/>
      <w:start w:val="1"/>
    </w:lvl>
  </w:abstractNum>
  <w:abstractNum w:abstractNumId="204">
    <w:nsid w:val="3CE732EC"/>
    <w:multiLevelType w:val="hybridMultilevel"/>
    <w:lvl w:ilvl="0">
      <w:lvlJc w:val="left"/>
      <w:lvlText w:val="(%1)"/>
      <w:numFmt w:val="decimal"/>
      <w:start w:val="3"/>
    </w:lvl>
  </w:abstractNum>
  <w:abstractNum w:abstractNumId="205">
    <w:nsid w:val="22F13DF3"/>
    <w:multiLevelType w:val="hybridMultilevel"/>
    <w:lvl w:ilvl="0">
      <w:lvlJc w:val="left"/>
      <w:lvlText w:val="(%1)"/>
      <w:numFmt w:val="decimal"/>
      <w:start w:val="17"/>
    </w:lvl>
  </w:abstractNum>
  <w:abstractNum w:abstractNumId="206">
    <w:nsid w:val="792B8401"/>
    <w:multiLevelType w:val="hybridMultilevel"/>
    <w:lvl w:ilvl="0">
      <w:lvlJc w:val="left"/>
      <w:lvlText w:val="(%1)"/>
      <w:numFmt w:val="decimal"/>
      <w:start w:val="1"/>
    </w:lvl>
  </w:abstractNum>
  <w:abstractNum w:abstractNumId="207">
    <w:nsid w:val="FA85F4D"/>
    <w:multiLevelType w:val="hybridMultilevel"/>
    <w:lvl w:ilvl="0">
      <w:lvlJc w:val="left"/>
      <w:lvlText w:val="(%1)"/>
      <w:numFmt w:val="decimal"/>
      <w:start w:val="4"/>
    </w:lvl>
  </w:abstractNum>
  <w:abstractNum w:abstractNumId="208">
    <w:nsid w:val="6ECE91F0"/>
    <w:multiLevelType w:val="hybridMultilevel"/>
    <w:lvl w:ilvl="0">
      <w:lvlJc w:val="left"/>
      <w:lvlText w:val="(%1)"/>
      <w:numFmt w:val="decimal"/>
      <w:start w:val="1"/>
    </w:lvl>
  </w:abstractNum>
  <w:abstractNum w:abstractNumId="209">
    <w:nsid w:val="4FC4D600"/>
    <w:multiLevelType w:val="hybridMultilevel"/>
    <w:lvl w:ilvl="0">
      <w:lvlJc w:val="left"/>
      <w:lvlText w:val="(%1)"/>
      <w:numFmt w:val="decimal"/>
      <w:start w:val="1"/>
    </w:lvl>
  </w:abstractNum>
  <w:abstractNum w:abstractNumId="210">
    <w:nsid w:val="5BFD4210"/>
    <w:multiLevelType w:val="hybridMultilevel"/>
    <w:lvl w:ilvl="0">
      <w:lvlJc w:val="left"/>
      <w:lvlText w:val="(%1)"/>
      <w:numFmt w:val="lowerLetter"/>
      <w:start w:val="1"/>
    </w:lvl>
  </w:abstractNum>
  <w:abstractNum w:abstractNumId="211">
    <w:nsid w:val="76574F8B"/>
    <w:multiLevelType w:val="hybridMultilevel"/>
    <w:lvl w:ilvl="0">
      <w:lvlJc w:val="left"/>
      <w:lvlText w:val="(%1)"/>
      <w:numFmt w:val="lowerLetter"/>
      <w:start w:val="1"/>
    </w:lvl>
  </w:abstractNum>
  <w:abstractNum w:abstractNumId="212">
    <w:nsid w:val="178F7B67"/>
    <w:multiLevelType w:val="hybridMultilevel"/>
    <w:lvl w:ilvl="0">
      <w:lvlJc w:val="left"/>
      <w:lvlText w:val="(%1)"/>
      <w:numFmt w:val="lowerLetter"/>
      <w:start w:val="2"/>
    </w:lvl>
  </w:abstractNum>
  <w:abstractNum w:abstractNumId="213">
    <w:nsid w:val="2421DFCF"/>
    <w:multiLevelType w:val="hybridMultilevel"/>
    <w:lvl w:ilvl="0">
      <w:lvlJc w:val="left"/>
      <w:lvlText w:val="(%1)"/>
      <w:numFmt w:val="lowerLetter"/>
      <w:start w:val="4"/>
    </w:lvl>
  </w:abstractNum>
  <w:abstractNum w:abstractNumId="214">
    <w:nsid w:val="1565AC9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15">
    <w:nsid w:val="19FB2650"/>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216">
    <w:nsid w:val="5024DE5B"/>
    <w:multiLevelType w:val="hybridMultilevel"/>
    <w:lvl w:ilvl="0">
      <w:lvlJc w:val="left"/>
      <w:lvlText w:val="(%1)"/>
      <w:numFmt w:val="lowerRoman"/>
      <w:start w:val="2"/>
    </w:lvl>
    <w:lvl w:ilvl="1">
      <w:lvlJc w:val="left"/>
      <w:lvlText w:val="(%2)"/>
      <w:numFmt w:val="upperLetter"/>
      <w:start w:val="1"/>
    </w:lvl>
  </w:abstractNum>
  <w:abstractNum w:abstractNumId="217">
    <w:nsid w:val="168EFE17"/>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218">
    <w:nsid w:val="1036B29F"/>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219">
    <w:nsid w:val="1D206B8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20">
    <w:nsid w:val="7934D3D4"/>
    <w:multiLevelType w:val="hybridMultilevel"/>
    <w:lvl w:ilvl="0">
      <w:lvlJc w:val="left"/>
      <w:lvlText w:val="(%1)"/>
      <w:numFmt w:val="upperLetter"/>
      <w:start w:val="4"/>
    </w:lvl>
  </w:abstractNum>
  <w:abstractNum w:abstractNumId="221">
    <w:nsid w:val="1C65E98"/>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22">
    <w:nsid w:val="1495E50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23">
    <w:nsid w:val="F5BCF61"/>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224">
    <w:nsid w:val="3B1DD403"/>
    <w:multiLevelType w:val="hybridMultilevel"/>
    <w:lvl w:ilvl="0">
      <w:lvlJc w:val="left"/>
      <w:lvlText w:val="(%1)"/>
      <w:numFmt w:val="upperLetter"/>
      <w:start w:val="7"/>
    </w:lvl>
  </w:abstractNum>
  <w:abstractNum w:abstractNumId="225">
    <w:nsid w:val="530386D1"/>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226">
    <w:nsid w:val="7525F2BC"/>
    <w:multiLevelType w:val="hybridMultilevel"/>
    <w:lvl w:ilvl="0">
      <w:lvlJc w:val="left"/>
      <w:lvlText w:val="(%1)"/>
      <w:numFmt w:val="lowerRoman"/>
      <w:start w:val="3"/>
    </w:lvl>
  </w:abstractNum>
  <w:abstractNum w:abstractNumId="227">
    <w:nsid w:val="CE8E1A7"/>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28">
    <w:nsid w:val="4E9EFB0D"/>
    <w:multiLevelType w:val="hybridMultilevel"/>
    <w:lvl w:ilvl="0">
      <w:lvlJc w:val="left"/>
      <w:lvlText w:val="(%1)"/>
      <w:numFmt w:val="upperLetter"/>
      <w:start w:val="2"/>
    </w:lvl>
    <w:lvl w:ilvl="1">
      <w:lvlJc w:val="left"/>
      <w:lvlText w:val="(%2)"/>
      <w:numFmt w:val="decimal"/>
      <w:start w:val="1"/>
    </w:lvl>
  </w:abstractNum>
  <w:abstractNum w:abstractNumId="229">
    <w:nsid w:val="90802BE"/>
    <w:multiLevelType w:val="hybridMultilevel"/>
    <w:lvl w:ilvl="0">
      <w:lvlJc w:val="left"/>
      <w:lvlText w:val="%1"/>
      <w:numFmt w:val="lowerLetter"/>
      <w:start w:val="1"/>
    </w:lvl>
    <w:lvl w:ilvl="1">
      <w:lvlJc w:val="left"/>
      <w:lvlText w:val="(%2)"/>
      <w:numFmt w:val="lowerLetter"/>
      <w:start w:val="61"/>
    </w:lvl>
  </w:abstractNum>
  <w:abstractNum w:abstractNumId="230">
    <w:nsid w:val="3266459B"/>
    <w:multiLevelType w:val="hybridMultilevel"/>
    <w:lvl w:ilvl="0">
      <w:lvlJc w:val="left"/>
      <w:lvlText w:val="(%1)"/>
      <w:numFmt w:val="lowerLetter"/>
      <w:start w:val="6"/>
    </w:lvl>
    <w:lvl w:ilvl="1">
      <w:lvlJc w:val="left"/>
      <w:lvlText w:val="%2"/>
      <w:numFmt w:val="lowerLetter"/>
      <w:start w:val="1"/>
    </w:lvl>
  </w:abstractNum>
  <w:abstractNum w:abstractNumId="231">
    <w:nsid w:val="3F8B0CBF"/>
    <w:multiLevelType w:val="hybridMultilevel"/>
    <w:lvl w:ilvl="0">
      <w:lvlJc w:val="left"/>
      <w:lvlText w:val="(%1)"/>
      <w:numFmt w:val="lowerRoman"/>
      <w:start w:val="1"/>
    </w:lvl>
    <w:lvl w:ilvl="1">
      <w:lvlJc w:val="left"/>
      <w:lvlText w:val="(%2)"/>
      <w:numFmt w:val="upperLetter"/>
      <w:start w:val="1"/>
    </w:lvl>
  </w:abstractNum>
  <w:abstractNum w:abstractNumId="232">
    <w:nsid w:val="37E203AB"/>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233">
    <w:nsid w:val="2586D60E"/>
    <w:multiLevelType w:val="hybridMultilevel"/>
    <w:lvl w:ilvl="0">
      <w:lvlJc w:val="left"/>
      <w:lvlText w:val="(%1)"/>
      <w:numFmt w:val="lowerRoman"/>
      <w:start w:val="2"/>
    </w:lvl>
  </w:abstractNum>
  <w:abstractNum w:abstractNumId="234">
    <w:nsid w:val="1F3DA4D5"/>
    <w:multiLevelType w:val="hybridMultilevel"/>
    <w:lvl w:ilvl="0">
      <w:lvlJc w:val="left"/>
      <w:lvlText w:val="(%1)"/>
      <w:numFmt w:val="upperLetter"/>
      <w:start w:val="61"/>
    </w:lvl>
  </w:abstractNum>
  <w:abstractNum w:abstractNumId="235">
    <w:nsid w:val="74C93698"/>
    <w:multiLevelType w:val="hybridMultilevel"/>
    <w:lvl w:ilvl="0">
      <w:lvlJc w:val="left"/>
      <w:lvlText w:val="(%1)"/>
      <w:numFmt w:val="lowerRoman"/>
      <w:start w:val="3"/>
    </w:lvl>
  </w:abstractNum>
  <w:abstractNum w:abstractNumId="236">
    <w:nsid w:val="48781401"/>
    <w:multiLevelType w:val="hybridMultilevel"/>
    <w:lvl w:ilvl="0">
      <w:lvlJc w:val="left"/>
      <w:lvlText w:val="(%1)"/>
      <w:numFmt w:val="lowerLetter"/>
      <w:start w:val="8"/>
    </w:lvl>
    <w:lvl w:ilvl="1">
      <w:lvlJc w:val="left"/>
      <w:lvlText w:val="(%2)"/>
      <w:numFmt w:val="lowerRoman"/>
      <w:start w:val="1"/>
    </w:lvl>
  </w:abstractNum>
  <w:abstractNum w:abstractNumId="237">
    <w:nsid w:val="186928D6"/>
    <w:multiLevelType w:val="hybridMultilevel"/>
    <w:lvl w:ilvl="0">
      <w:lvlJc w:val="left"/>
      <w:lvlText w:val="(%1)"/>
      <w:numFmt w:val="lowerRoman"/>
      <w:start w:val="3"/>
    </w:lvl>
  </w:abstractNum>
  <w:abstractNum w:abstractNumId="238">
    <w:nsid w:val="47195E5"/>
    <w:multiLevelType w:val="hybridMultilevel"/>
    <w:lvl w:ilvl="0">
      <w:lvlJc w:val="left"/>
      <w:lvlText w:val="(%1)"/>
      <w:numFmt w:val="lowerLetter"/>
      <w:start w:val="1"/>
    </w:lvl>
  </w:abstractNum>
  <w:abstractNum w:abstractNumId="239">
    <w:nsid w:val="3746A5F2"/>
    <w:multiLevelType w:val="hybridMultilevel"/>
    <w:lvl w:ilvl="0">
      <w:lvlJc w:val="left"/>
      <w:lvlText w:val="(%1)"/>
      <w:numFmt w:val="lowerLetter"/>
      <w:start w:val="4"/>
    </w:lvl>
  </w:abstractNum>
  <w:abstractNum w:abstractNumId="240">
    <w:nsid w:val="682DFED6"/>
    <w:multiLevelType w:val="hybridMultilevel"/>
    <w:lvl w:ilvl="0">
      <w:lvlJc w:val="left"/>
      <w:lvlText w:val="(%1)"/>
      <w:numFmt w:val="lowerLetter"/>
      <w:start w:val="1"/>
    </w:lvl>
  </w:abstractNum>
  <w:abstractNum w:abstractNumId="241">
    <w:nsid w:val="606ED7F6"/>
    <w:multiLevelType w:val="hybridMultilevel"/>
    <w:lvl w:ilvl="0">
      <w:lvlJc w:val="left"/>
      <w:lvlText w:val="(%1)"/>
      <w:numFmt w:val="lowerLetter"/>
      <w:start w:val="2"/>
    </w:lvl>
  </w:abstractNum>
  <w:abstractNum w:abstractNumId="242">
    <w:nsid w:val="2D9DF57D"/>
    <w:multiLevelType w:val="hybridMultilevel"/>
    <w:lvl w:ilvl="0">
      <w:lvlJc w:val="left"/>
      <w:lvlText w:val="(%1)"/>
      <w:numFmt w:val="lowerLetter"/>
      <w:start w:val="1"/>
    </w:lvl>
  </w:abstractNum>
  <w:abstractNum w:abstractNumId="243">
    <w:nsid w:val="7FBD7A3E"/>
    <w:multiLevelType w:val="hybridMultilevel"/>
    <w:lvl w:ilvl="0">
      <w:lvlJc w:val="left"/>
      <w:lvlText w:val="(%1)"/>
      <w:numFmt w:val="lowerLetter"/>
      <w:start w:val="1"/>
    </w:lvl>
  </w:abstractNum>
  <w:abstractNum w:abstractNumId="244">
    <w:nsid w:val="490B7C5"/>
    <w:multiLevelType w:val="hybridMultilevel"/>
    <w:lvl w:ilvl="0">
      <w:lvlJc w:val="left"/>
      <w:lvlText w:val="(%1)"/>
      <w:numFmt w:val="lowerLetter"/>
      <w:start w:val="9"/>
    </w:lvl>
    <w:lvl w:ilvl="1">
      <w:lvlJc w:val="left"/>
      <w:lvlText w:val="(%2)"/>
      <w:numFmt w:val="lowerLetter"/>
      <w:start w:val="2"/>
    </w:lvl>
  </w:abstractNum>
  <w:abstractNum w:abstractNumId="245">
    <w:nsid w:val="4303A216"/>
    <w:multiLevelType w:val="hybridMultilevel"/>
    <w:lvl w:ilvl="0">
      <w:lvlJc w:val="left"/>
      <w:lvlText w:val="(%1)"/>
      <w:numFmt w:val="lowerLetter"/>
      <w:start w:val="1"/>
    </w:lvl>
  </w:abstractNum>
  <w:abstractNum w:abstractNumId="246">
    <w:nsid w:val="19B8A08E"/>
    <w:multiLevelType w:val="hybridMultilevel"/>
    <w:lvl w:ilvl="0">
      <w:lvlJc w:val="left"/>
      <w:lvlText w:val="(%1)"/>
      <w:numFmt w:val="lowerLetter"/>
      <w:start w:val="3"/>
    </w:lvl>
  </w:abstractNum>
  <w:abstractNum w:abstractNumId="247">
    <w:nsid w:val="54B59621"/>
    <w:multiLevelType w:val="hybridMultilevel"/>
    <w:lvl w:ilvl="0">
      <w:lvlJc w:val="left"/>
      <w:lvlText w:val="(%1)"/>
      <w:numFmt w:val="lowerLetter"/>
      <w:start w:val="1"/>
    </w:lvl>
  </w:abstractNum>
  <w:abstractNum w:abstractNumId="248">
    <w:nsid w:val="5992A02E"/>
    <w:multiLevelType w:val="hybridMultilevel"/>
    <w:lvl w:ilvl="0">
      <w:lvlJc w:val="left"/>
      <w:lvlText w:val="(%1)"/>
      <w:numFmt w:val="lowerLetter"/>
      <w:start w:val="2"/>
    </w:lvl>
    <w:lvl w:ilvl="1">
      <w:lvlJc w:val="left"/>
      <w:lvlText w:val="(%2)"/>
      <w:numFmt w:val="lowerRoman"/>
      <w:start w:val="1"/>
    </w:lvl>
  </w:abstractNum>
  <w:abstractNum w:abstractNumId="249">
    <w:nsid w:val="29EF532D"/>
    <w:multiLevelType w:val="hybridMultilevel"/>
    <w:lvl w:ilvl="0">
      <w:lvlJc w:val="left"/>
      <w:lvlText w:val="(%1)"/>
      <w:numFmt w:val="lowerLetter"/>
      <w:start w:val="1"/>
    </w:lvl>
  </w:abstractNum>
  <w:abstractNum w:abstractNumId="250">
    <w:nsid w:val="71D601AF"/>
    <w:multiLevelType w:val="hybridMultilevel"/>
    <w:lvl w:ilvl="0">
      <w:lvlJc w:val="left"/>
      <w:lvlText w:val="(%1)"/>
      <w:numFmt w:val="lowerLetter"/>
      <w:start w:val="4"/>
    </w:lvl>
  </w:abstractNum>
  <w:abstractNum w:abstractNumId="251">
    <w:nsid w:val="52C77402"/>
    <w:multiLevelType w:val="hybridMultilevel"/>
    <w:lvl w:ilvl="0">
      <w:lvlJc w:val="left"/>
      <w:lvlText w:val="(%1)"/>
      <w:numFmt w:val="lowerLetter"/>
      <w:start w:val="6"/>
    </w:lvl>
  </w:abstractNum>
  <w:abstractNum w:abstractNumId="252">
    <w:nsid w:val="2BB5B1C6"/>
    <w:multiLevelType w:val="hybridMultilevel"/>
    <w:lvl w:ilvl="0">
      <w:lvlJc w:val="left"/>
      <w:lvlText w:val="(%1)"/>
      <w:numFmt w:val="lowerLetter"/>
      <w:start w:val="8"/>
    </w:lvl>
  </w:abstractNum>
  <w:abstractNum w:abstractNumId="253">
    <w:nsid w:val="66BE6B9"/>
    <w:multiLevelType w:val="hybridMultilevel"/>
    <w:lvl w:ilvl="0">
      <w:lvlJc w:val="left"/>
      <w:lvlText w:val="(%1)"/>
      <w:numFmt w:val="lowerLetter"/>
      <w:start w:val="11"/>
    </w:lvl>
  </w:abstractNum>
  <w:abstractNum w:abstractNumId="254">
    <w:nsid w:val="62234363"/>
    <w:multiLevelType w:val="hybridMultilevel"/>
    <w:lvl w:ilvl="0">
      <w:lvlJc w:val="left"/>
      <w:lvlText w:val="(%1)"/>
      <w:numFmt w:val="lowerLetter"/>
      <w:start w:val="1"/>
    </w:lvl>
  </w:abstractNum>
  <w:abstractNum w:abstractNumId="255">
    <w:nsid w:val="66D385C9"/>
    <w:multiLevelType w:val="hybridMultilevel"/>
    <w:lvl w:ilvl="0">
      <w:lvlJc w:val="left"/>
      <w:lvlText w:val="(%1)"/>
      <w:numFmt w:val="lowerRoman"/>
      <w:start w:val="1"/>
    </w:lvl>
  </w:abstractNum>
  <w:abstractNum w:abstractNumId="256">
    <w:nsid w:val="596F6D8A"/>
    <w:multiLevelType w:val="hybridMultilevel"/>
    <w:lvl w:ilvl="0">
      <w:lvlJc w:val="left"/>
      <w:lvlText w:val="(%1)"/>
      <w:numFmt w:val="lowerRoman"/>
      <w:start w:val="4"/>
    </w:lvl>
  </w:abstractNum>
  <w:abstractNum w:abstractNumId="257">
    <w:nsid w:val="5749361F"/>
    <w:multiLevelType w:val="hybridMultilevel"/>
    <w:lvl w:ilvl="0">
      <w:lvlJc w:val="left"/>
      <w:lvlText w:val="(%1)"/>
      <w:numFmt w:val="lowerRoman"/>
      <w:start w:val="1"/>
    </w:lvl>
  </w:abstractNum>
  <w:abstractNum w:abstractNumId="258">
    <w:nsid w:val="73BC6770"/>
    <w:multiLevelType w:val="hybridMultilevel"/>
    <w:lvl w:ilvl="0">
      <w:lvlJc w:val="left"/>
      <w:lvlText w:val="%1"/>
      <w:numFmt w:val="lowerLetter"/>
      <w:start w:val="1"/>
    </w:lvl>
    <w:lvl w:ilvl="1">
      <w:lvlJc w:val="left"/>
      <w:lvlText w:val="(%2)"/>
      <w:numFmt w:val="lowerRoman"/>
      <w:start w:val="11"/>
    </w:lvl>
  </w:abstractNum>
  <w:abstractNum w:abstractNumId="259">
    <w:nsid w:val="280E6897"/>
    <w:multiLevelType w:val="hybridMultilevel"/>
    <w:lvl w:ilvl="0">
      <w:lvlJc w:val="left"/>
      <w:lvlText w:val="(%1)"/>
      <w:numFmt w:val="lowerLetter"/>
      <w:start w:val="23"/>
    </w:lvl>
    <w:lvl w:ilvl="1">
      <w:lvlJc w:val="left"/>
      <w:lvlText w:val="(%2)"/>
      <w:numFmt w:val="lowerRoman"/>
      <w:start w:val="13"/>
    </w:lvl>
  </w:abstractNum>
  <w:abstractNum w:abstractNumId="260">
    <w:nsid w:val="605138D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1">
    <w:nsid w:val="2622AD0C"/>
    <w:multiLevelType w:val="hybridMultilevel"/>
    <w:lvl w:ilvl="0">
      <w:lvlJc w:val="left"/>
      <w:lvlText w:val="(%1)"/>
      <w:numFmt w:val="lowerLetter"/>
      <w:start w:val="24"/>
    </w:lvl>
  </w:abstractNum>
  <w:abstractNum w:abstractNumId="262">
    <w:nsid w:val="67997556"/>
    <w:multiLevelType w:val="hybridMultilevel"/>
    <w:lvl w:ilvl="0">
      <w:lvlJc w:val="left"/>
      <w:lvlText w:val="(%1)"/>
      <w:numFmt w:val="lowerLetter"/>
      <w:start w:val="2"/>
    </w:lvl>
    <w:lvl w:ilvl="1">
      <w:lvlJc w:val="left"/>
      <w:lvlText w:val="(%2)"/>
      <w:numFmt w:val="lowerRoman"/>
      <w:start w:val="1"/>
    </w:lvl>
  </w:abstractNum>
  <w:abstractNum w:abstractNumId="263">
    <w:nsid w:val="18333C89"/>
    <w:multiLevelType w:val="hybridMultilevel"/>
    <w:lvl w:ilvl="0">
      <w:lvlJc w:val="left"/>
      <w:lvlText w:val="(%1)"/>
      <w:numFmt w:val="lowerLetter"/>
      <w:start w:val="3"/>
    </w:lvl>
  </w:abstractNum>
  <w:abstractNum w:abstractNumId="264">
    <w:nsid w:val="4BA9831A"/>
    <w:multiLevelType w:val="hybridMultilevel"/>
    <w:lvl w:ilvl="0">
      <w:lvlJc w:val="left"/>
      <w:lvlText w:val="(%1)"/>
      <w:numFmt w:val="lowerLetter"/>
      <w:start w:val="1"/>
    </w:lvl>
    <w:lvl w:ilvl="1">
      <w:lvlJc w:val="left"/>
      <w:lvlText w:val="(%2)"/>
      <w:numFmt w:val="lowerRoman"/>
      <w:start w:val="1"/>
    </w:lvl>
  </w:abstractNum>
  <w:abstractNum w:abstractNumId="265">
    <w:nsid w:val="6D71A2B"/>
    <w:multiLevelType w:val="hybridMultilevel"/>
    <w:lvl w:ilvl="0">
      <w:lvlJc w:val="left"/>
      <w:lvlText w:val="(%1)"/>
      <w:numFmt w:val="lowerLetter"/>
      <w:start w:val="1"/>
    </w:lvl>
  </w:abstractNum>
  <w:abstractNum w:abstractNumId="266">
    <w:nsid w:val="CFC7321"/>
    <w:multiLevelType w:val="hybridMultilevel"/>
    <w:lvl w:ilvl="0">
      <w:lvlJc w:val="left"/>
      <w:lvlText w:val="(%1)"/>
      <w:numFmt w:val="lowerRoman"/>
      <w:start w:val="2"/>
    </w:lvl>
  </w:abstractNum>
  <w:abstractNum w:abstractNumId="267">
    <w:nsid w:val="1421971B"/>
    <w:multiLevelType w:val="hybridMultilevel"/>
    <w:lvl w:ilvl="0">
      <w:lvlJc w:val="left"/>
      <w:lvlText w:val="%1"/>
      <w:numFmt w:val="decimal"/>
      <w:start w:val="1"/>
    </w:lvl>
    <w:lvl w:ilvl="1">
      <w:lvlJc w:val="left"/>
      <w:lvlText w:val="(%2)"/>
      <w:numFmt w:val="lowerLetter"/>
      <w:start w:val="1"/>
    </w:lvl>
  </w:abstractNum>
  <w:abstractNum w:abstractNumId="268">
    <w:nsid w:val="1F404301"/>
    <w:multiLevelType w:val="hybridMultilevel"/>
    <w:lvl w:ilvl="0">
      <w:lvlJc w:val="left"/>
      <w:lvlText w:val="(%1)"/>
      <w:numFmt w:val="decimal"/>
      <w:start w:val="6"/>
    </w:lvl>
    <w:lvl w:ilvl="1">
      <w:lvlJc w:val="left"/>
      <w:lvlText w:val="%2"/>
      <w:numFmt w:val="lowerLetter"/>
      <w:start w:val="1"/>
    </w:lvl>
  </w:abstractNum>
  <w:abstractNum w:abstractNumId="269">
    <w:nsid w:val="116E0907"/>
    <w:multiLevelType w:val="hybridMultilevel"/>
    <w:lvl w:ilvl="0">
      <w:lvlJc w:val="left"/>
      <w:lvlText w:val="(%1)"/>
      <w:numFmt w:val="lowerLetter"/>
      <w:start w:val="2"/>
    </w:lvl>
  </w:abstractNum>
  <w:abstractNum w:abstractNumId="270">
    <w:nsid w:val="4B683D0D"/>
    <w:multiLevelType w:val="hybridMultilevel"/>
    <w:lvl w:ilvl="0">
      <w:lvlJc w:val="left"/>
      <w:lvlText w:val="(%1)"/>
      <w:numFmt w:val="lowerRoman"/>
      <w:start w:val="1"/>
    </w:lvl>
  </w:abstractNum>
  <w:abstractNum w:abstractNumId="271">
    <w:nsid w:val="76E41D8"/>
    <w:multiLevelType w:val="hybridMultilevel"/>
    <w:lvl w:ilvl="0">
      <w:lvlJc w:val="left"/>
      <w:lvlText w:val="(%1)"/>
      <w:numFmt w:val="lowerRoman"/>
      <w:start w:val="4"/>
    </w:lvl>
  </w:abstractNum>
  <w:abstractNum w:abstractNumId="272">
    <w:nsid w:val="71DCE0FD"/>
    <w:multiLevelType w:val="hybridMultilevel"/>
    <w:lvl w:ilvl="0">
      <w:lvlJc w:val="left"/>
      <w:lvlText w:val="(%1)"/>
      <w:numFmt w:val="lowerLetter"/>
      <w:start w:val="1"/>
    </w:lvl>
  </w:abstractNum>
  <w:abstractNum w:abstractNumId="273">
    <w:nsid w:val="7906328B"/>
    <w:multiLevelType w:val="hybridMultilevel"/>
    <w:lvl w:ilvl="0">
      <w:lvlJc w:val="left"/>
      <w:lvlText w:val="(%1)"/>
      <w:numFmt w:val="lowerLetter"/>
      <w:start w:val="4"/>
    </w:lvl>
    <w:lvl w:ilvl="1">
      <w:lvlJc w:val="left"/>
      <w:lvlText w:val="(%2)"/>
      <w:numFmt w:val="lowerRoman"/>
      <w:start w:val="1"/>
    </w:lvl>
  </w:abstractNum>
  <w:abstractNum w:abstractNumId="274">
    <w:nsid w:val="72BBC16"/>
    <w:multiLevelType w:val="hybridMultilevel"/>
    <w:lvl w:ilvl="0">
      <w:lvlJc w:val="left"/>
      <w:lvlText w:val="(%1)"/>
      <w:numFmt w:val="lowerRoman"/>
      <w:start w:val="3"/>
    </w:lvl>
  </w:abstractNum>
  <w:abstractNum w:abstractNumId="275">
    <w:nsid w:val="766D98C2"/>
    <w:multiLevelType w:val="hybridMultilevel"/>
    <w:lvl w:ilvl="0">
      <w:lvlJc w:val="left"/>
      <w:lvlText w:val="(%1)"/>
      <w:numFmt w:val="lowerLetter"/>
      <w:start w:val="10"/>
    </w:lvl>
  </w:abstractNum>
  <w:abstractNum w:abstractNumId="276">
    <w:nsid w:val="3C09D4A1"/>
    <w:multiLevelType w:val="hybridMultilevel"/>
    <w:lvl w:ilvl="0">
      <w:lvlJc w:val="left"/>
      <w:lvlText w:val="(%1)"/>
      <w:numFmt w:val="lowerLetter"/>
      <w:start w:val="8"/>
    </w:lvl>
  </w:abstractNum>
  <w:abstractNum w:abstractNumId="277">
    <w:nsid w:val="20E45CA4"/>
    <w:multiLevelType w:val="hybridMultilevel"/>
    <w:lvl w:ilvl="0">
      <w:lvlJc w:val="left"/>
      <w:lvlText w:val="(%1)"/>
      <w:numFmt w:val="lowerLetter"/>
      <w:start w:val="1"/>
    </w:lvl>
  </w:abstractNum>
  <w:abstractNum w:abstractNumId="278">
    <w:nsid w:val="4B232EE3"/>
    <w:multiLevelType w:val="hybridMultilevel"/>
    <w:lvl w:ilvl="0">
      <w:lvlJc w:val="left"/>
      <w:lvlText w:val="(%1)"/>
      <w:numFmt w:val="lowerLetter"/>
      <w:start w:val="4"/>
    </w:lvl>
  </w:abstractNum>
  <w:abstractNum w:abstractNumId="279">
    <w:nsid w:val="159C74CF"/>
    <w:multiLevelType w:val="hybridMultilevel"/>
    <w:lvl w:ilvl="0">
      <w:lvlJc w:val="left"/>
      <w:lvlText w:val="(%1)"/>
      <w:numFmt w:val="lowerLetter"/>
      <w:start w:val="1"/>
    </w:lvl>
    <w:lvl w:ilvl="1">
      <w:lvlJc w:val="left"/>
      <w:lvlText w:val="(%2)"/>
      <w:numFmt w:val="lowerRoman"/>
      <w:start w:val="1"/>
    </w:lvl>
  </w:abstractNum>
  <w:abstractNum w:abstractNumId="280">
    <w:nsid w:val="4AD3AFD2"/>
    <w:multiLevelType w:val="hybridMultilevel"/>
    <w:lvl w:ilvl="0">
      <w:lvlJc w:val="left"/>
      <w:lvlText w:val="(%1)"/>
      <w:numFmt w:val="lowerLetter"/>
      <w:start w:val="3"/>
    </w:lvl>
    <w:lvl w:ilvl="1">
      <w:lvlJc w:val="left"/>
      <w:lvlText w:val="(%2)"/>
      <w:numFmt w:val="lowerRoman"/>
      <w:start w:val="1"/>
    </w:lvl>
  </w:abstractNum>
  <w:abstractNum w:abstractNumId="281">
    <w:nsid w:val="3CF93092"/>
    <w:multiLevelType w:val="hybridMultilevel"/>
    <w:lvl w:ilvl="0">
      <w:lvlJc w:val="left"/>
      <w:lvlText w:val="(%1)"/>
      <w:numFmt w:val="lowerLetter"/>
      <w:start w:val="1"/>
    </w:lvl>
  </w:abstractNum>
  <w:abstractNum w:abstractNumId="282">
    <w:nsid w:val="6863E8D2"/>
    <w:multiLevelType w:val="hybridMultilevel"/>
    <w:lvl w:ilvl="0">
      <w:lvlJc w:val="left"/>
      <w:lvlText w:val="(%1)"/>
      <w:numFmt w:val="lowerLetter"/>
      <w:start w:val="1"/>
    </w:lvl>
  </w:abstractNum>
  <w:abstractNum w:abstractNumId="283">
    <w:nsid w:val="76896198"/>
    <w:multiLevelType w:val="hybridMultilevel"/>
    <w:lvl w:ilvl="0">
      <w:lvlJc w:val="left"/>
      <w:lvlText w:val="(%1)"/>
      <w:numFmt w:val="lowerLetter"/>
      <w:start w:val="1"/>
    </w:lvl>
  </w:abstractNum>
  <w:abstractNum w:abstractNumId="284">
    <w:nsid w:val="4365174B"/>
    <w:multiLevelType w:val="hybridMultilevel"/>
    <w:lvl w:ilvl="0">
      <w:lvlJc w:val="left"/>
      <w:lvlText w:val="(%1)"/>
      <w:numFmt w:val="lowerLetter"/>
      <w:start w:val="1"/>
    </w:lvl>
  </w:abstractNum>
  <w:abstractNum w:abstractNumId="285">
    <w:nsid w:val="4A872C35"/>
    <w:multiLevelType w:val="hybridMultilevel"/>
    <w:lvl w:ilvl="0">
      <w:lvlJc w:val="left"/>
      <w:lvlText w:val="(%1)"/>
      <w:numFmt w:val="decimal"/>
      <w:start w:val="2"/>
    </w:lvl>
  </w:abstractNum>
  <w:abstractNum w:abstractNumId="286">
    <w:nsid w:val="5D5CE761"/>
    <w:multiLevelType w:val="hybridMultilevel"/>
    <w:lvl w:ilvl="0">
      <w:lvlJc w:val="left"/>
      <w:lvlText w:val="(%1)"/>
      <w:numFmt w:val="lowerLetter"/>
      <w:start w:val="1"/>
    </w:lvl>
  </w:abstractNum>
  <w:abstractNum w:abstractNumId="287">
    <w:nsid w:val="1CD484D5"/>
    <w:multiLevelType w:val="hybridMultilevel"/>
    <w:lvl w:ilvl="0">
      <w:lvlJc w:val="left"/>
      <w:lvlText w:val="(%1)"/>
      <w:numFmt w:val="lowerLetter"/>
      <w:start w:val="6"/>
    </w:lvl>
  </w:abstractNum>
  <w:abstractNum w:abstractNumId="288">
    <w:nsid w:val="21D06255"/>
    <w:multiLevelType w:val="hybridMultilevel"/>
    <w:lvl w:ilvl="0">
      <w:lvlJc w:val="left"/>
      <w:lvlText w:val="(%1)"/>
      <w:numFmt w:val="lowerRoman"/>
      <w:start w:val="1"/>
    </w:lvl>
  </w:abstractNum>
  <w:abstractNum w:abstractNumId="289">
    <w:nsid w:val="51194ED1"/>
    <w:multiLevelType w:val="hybridMultilevel"/>
    <w:lvl w:ilvl="0">
      <w:lvlJc w:val="left"/>
      <w:lvlText w:val="(%1)"/>
      <w:numFmt w:val="lowerLetter"/>
      <w:start w:val="1"/>
    </w:lvl>
    <w:lvl w:ilvl="1">
      <w:lvlJc w:val="left"/>
      <w:lvlText w:val="(%2)"/>
      <w:numFmt w:val="lowerRoman"/>
      <w:start w:val="1"/>
    </w:lvl>
  </w:abstractNum>
  <w:abstractNum w:abstractNumId="290">
    <w:nsid w:val="44E2ED6C"/>
    <w:multiLevelType w:val="hybridMultilevel"/>
    <w:lvl w:ilvl="0">
      <w:lvlJc w:val="left"/>
      <w:lvlText w:val="(%1)"/>
      <w:numFmt w:val="lowerLetter"/>
      <w:start w:val="2"/>
    </w:lvl>
    <w:lvl w:ilvl="1">
      <w:lvlJc w:val="left"/>
      <w:lvlText w:val="(%2)"/>
      <w:numFmt w:val="lowerRoman"/>
      <w:start w:val="1"/>
    </w:lvl>
  </w:abstractNum>
  <w:abstractNum w:abstractNumId="291">
    <w:nsid w:val="2219B33"/>
    <w:multiLevelType w:val="hybridMultilevel"/>
    <w:lvl w:ilvl="0">
      <w:lvlJc w:val="left"/>
      <w:lvlText w:val="(%1)"/>
      <w:numFmt w:val="lowerRoman"/>
      <w:start w:val="1"/>
    </w:lvl>
  </w:abstractNum>
  <w:abstractNum w:abstractNumId="292">
    <w:nsid w:val="773BFBDD"/>
    <w:multiLevelType w:val="hybridMultilevel"/>
    <w:lvl w:ilvl="0">
      <w:lvlJc w:val="left"/>
      <w:lvlText w:val="(%1)"/>
      <w:numFmt w:val="lowerLetter"/>
      <w:start w:val="1"/>
    </w:lvl>
  </w:abstractNum>
  <w:abstractNum w:abstractNumId="293">
    <w:nsid w:val="2C7C62C2"/>
    <w:multiLevelType w:val="hybridMultilevel"/>
    <w:lvl w:ilvl="0">
      <w:lvlJc w:val="left"/>
      <w:lvlText w:val="(%1)"/>
      <w:numFmt w:val="lowerLetter"/>
      <w:start w:val="1"/>
    </w:lvl>
  </w:abstractNum>
  <w:abstractNum w:abstractNumId="294">
    <w:nsid w:val="1A54D7BC"/>
    <w:multiLevelType w:val="hybridMultilevel"/>
    <w:lvl w:ilvl="0">
      <w:lvlJc w:val="left"/>
      <w:lvlText w:val="(%1)"/>
      <w:numFmt w:val="decimal"/>
      <w:start w:val="1"/>
    </w:lvl>
    <w:lvl w:ilvl="1">
      <w:lvlJc w:val="left"/>
      <w:lvlText w:val="(%2)"/>
      <w:numFmt w:val="lowerLetter"/>
      <w:start w:val="1"/>
    </w:lvl>
  </w:abstractNum>
  <w:abstractNum w:abstractNumId="295">
    <w:nsid w:val="42E57EF7"/>
    <w:multiLevelType w:val="hybridMultilevel"/>
    <w:lvl w:ilvl="0">
      <w:lvlJc w:val="left"/>
      <w:lvlText w:val="(%1)"/>
      <w:numFmt w:val="decimal"/>
      <w:start w:val="2"/>
    </w:lvl>
  </w:abstractNum>
  <w:abstractNum w:abstractNumId="296">
    <w:nsid w:val="33537CED"/>
    <w:multiLevelType w:val="hybridMultilevel"/>
    <w:lvl w:ilvl="0">
      <w:lvlJc w:val="left"/>
      <w:lvlText w:val="(%1)"/>
      <w:numFmt w:val="decimal"/>
      <w:start w:val="1"/>
    </w:lvl>
  </w:abstractNum>
  <w:abstractNum w:abstractNumId="297">
    <w:nsid w:val="27514ADE"/>
    <w:multiLevelType w:val="hybridMultilevel"/>
    <w:lvl w:ilvl="0">
      <w:lvlJc w:val="left"/>
      <w:lvlText w:val="(%1)"/>
      <w:numFmt w:val="lowerLetter"/>
      <w:start w:val="1"/>
    </w:lvl>
  </w:abstractNum>
  <w:abstractNum w:abstractNumId="298">
    <w:nsid w:val="57071613"/>
    <w:multiLevelType w:val="hybridMultilevel"/>
    <w:lvl w:ilvl="0">
      <w:lvlJc w:val="left"/>
      <w:lvlText w:val="(%1)"/>
      <w:numFmt w:val="lowerLetter"/>
      <w:start w:val="1"/>
    </w:lvl>
  </w:abstractNum>
  <w:abstractNum w:abstractNumId="299">
    <w:nsid w:val="5293BFEF"/>
    <w:multiLevelType w:val="hybridMultilevel"/>
    <w:lvl w:ilvl="0">
      <w:lvlJc w:val="left"/>
      <w:lvlText w:val="-"/>
      <w:numFmt w:val="bullet"/>
      <w:start w:val="1"/>
    </w:lvl>
  </w:abstractNum>
  <w:abstractNum w:abstractNumId="300">
    <w:nsid w:val="38BF53E5"/>
    <w:multiLevelType w:val="hybridMultilevel"/>
    <w:lvl w:ilvl="0">
      <w:lvlJc w:val="left"/>
      <w:lvlText w:val="%1."/>
      <w:numFmt w:val="decimal"/>
      <w:start w:val="1"/>
    </w:lvl>
  </w:abstractNum>
  <w:abstractNum w:abstractNumId="301">
    <w:nsid w:val="226F5320"/>
    <w:multiLevelType w:val="hybridMultilevel"/>
    <w:lvl w:ilvl="0">
      <w:lvlJc w:val="left"/>
      <w:lvlText w:val="%1."/>
      <w:numFmt w:val="decimal"/>
      <w:start w:val="5"/>
    </w:lvl>
  </w:abstractNum>
  <w:abstractNum w:abstractNumId="302">
    <w:nsid w:val="5A0201C7"/>
    <w:multiLevelType w:val="hybridMultilevel"/>
    <w:lvl w:ilvl="0">
      <w:lvlJc w:val="left"/>
      <w:lvlText w:val="(%1)"/>
      <w:numFmt w:val="lowerLetter"/>
      <w:start w:val="1"/>
    </w:lvl>
  </w:abstractNum>
  <w:abstractNum w:abstractNumId="303">
    <w:nsid w:val="2A9C34E2"/>
    <w:multiLevelType w:val="hybridMultilevel"/>
    <w:lvl w:ilvl="0">
      <w:lvlJc w:val="left"/>
      <w:lvlText w:val="(%1)"/>
      <w:numFmt w:val="lowerLetter"/>
      <w:start w:val="2"/>
    </w:lvl>
  </w:abstractNum>
  <w:abstractNum w:abstractNumId="304">
    <w:nsid w:val="1B7585AB"/>
    <w:multiLevelType w:val="hybridMultilevel"/>
    <w:lvl w:ilvl="0">
      <w:lvlJc w:val="left"/>
      <w:lvlText w:val="(%1)"/>
      <w:numFmt w:val="lowerLetter"/>
      <w:start w:val="1"/>
    </w:lvl>
  </w:abstractNum>
  <w:abstractNum w:abstractNumId="305">
    <w:nsid w:val="612DBDDD"/>
    <w:multiLevelType w:val="hybridMultilevel"/>
    <w:lvl w:ilvl="0">
      <w:lvlJc w:val="left"/>
      <w:lvlText w:val="%1"/>
      <w:numFmt w:val="lowerRoman"/>
      <w:start w:val="1"/>
    </w:lvl>
    <w:lvl w:ilvl="1">
      <w:lvlJc w:val="left"/>
      <w:lvlText w:val="%2."/>
      <w:numFmt w:val="decimal"/>
      <w:start w:val="8"/>
    </w:lvl>
  </w:abstractNum>
  <w:abstractNum w:abstractNumId="306">
    <w:nsid w:val="2109CDA4"/>
    <w:multiLevelType w:val="hybridMultilevel"/>
    <w:lvl w:ilvl="0">
      <w:lvlJc w:val="left"/>
      <w:lvlText w:val="(%1)"/>
      <w:numFmt w:val="lowerRoman"/>
      <w:start w:val="2"/>
    </w:lvl>
    <w:lvl w:ilvl="1">
      <w:lvlJc w:val="left"/>
      <w:lvlText w:val="%2"/>
      <w:numFmt w:val="decimal"/>
      <w:start w:val="1"/>
    </w:lvl>
  </w:abstractNum>
  <w:abstractNum w:abstractNumId="307">
    <w:nsid w:val="577F5A4D"/>
    <w:multiLevelType w:val="hybridMultilevel"/>
    <w:lvl w:ilvl="0">
      <w:lvlJc w:val="left"/>
      <w:lvlText w:val="%1."/>
      <w:numFmt w:val="decimal"/>
      <w:start w:val="13"/>
    </w:lvl>
  </w:abstractNum>
  <w:abstractNum w:abstractNumId="308">
    <w:nsid w:val="2121A81"/>
    <w:multiLevelType w:val="hybridMultilevel"/>
    <w:lvl w:ilvl="0">
      <w:lvlJc w:val="left"/>
      <w:lvlText w:val="%1."/>
      <w:numFmt w:val="decimal"/>
      <w:start w:val="18"/>
    </w:lvl>
  </w:abstractNum>
  <w:abstractNum w:abstractNumId="309">
    <w:nsid w:val="6C2CFC88"/>
    <w:multiLevelType w:val="hybridMultilevel"/>
    <w:lvl w:ilvl="0">
      <w:lvlJc w:val="left"/>
      <w:lvlText w:val="(%1)"/>
      <w:numFmt w:val="upperLetter"/>
      <w:start w:val="9"/>
    </w:lvl>
  </w:abstractNum>
  <w:abstractNum w:abstractNumId="310">
    <w:nsid w:val="6D1BCF1C"/>
    <w:multiLevelType w:val="hybridMultilevel"/>
    <w:lvl w:ilvl="0">
      <w:lvlJc w:val="left"/>
      <w:lvlText w:val="*"/>
      <w:numFmt w:val="bullet"/>
      <w:start w:val="1"/>
    </w:lvl>
  </w:abstractNum>
  <w:abstractNum w:abstractNumId="311">
    <w:nsid w:val="4CE5CA53"/>
    <w:multiLevelType w:val="hybridMultilevel"/>
    <w:lvl w:ilvl="0">
      <w:lvlJc w:val="left"/>
      <w:lvlText w:val="*"/>
      <w:numFmt w:val="bullet"/>
      <w:start w:val="1"/>
    </w:lvl>
  </w:abstractNum>
  <w:abstractNum w:abstractNumId="312">
    <w:nsid w:val="29262D1A"/>
    <w:multiLevelType w:val="hybridMultilevel"/>
    <w:lvl w:ilvl="0">
      <w:lvlJc w:val="left"/>
      <w:lvlText w:val="(%1)"/>
      <w:numFmt w:val="lowerLetter"/>
      <w:start w:val="2"/>
    </w:lvl>
  </w:abstractNum>
  <w:abstractNum w:abstractNumId="313">
    <w:nsid w:val="557FB7EE"/>
    <w:multiLevelType w:val="hybridMultilevel"/>
    <w:lvl w:ilvl="0">
      <w:lvlJc w:val="left"/>
      <w:lvlText w:val="(%1)"/>
      <w:numFmt w:val="lowerLetter"/>
      <w:start w:val="1"/>
    </w:lvl>
  </w:abstractNum>
  <w:abstractNum w:abstractNumId="314">
    <w:nsid w:val="436F2BEB"/>
    <w:multiLevelType w:val="hybridMultilevel"/>
    <w:lvl w:ilvl="0">
      <w:lvlJc w:val="left"/>
      <w:lvlText w:val="(%1)"/>
      <w:numFmt w:val="lowerLetter"/>
      <w:start w:val="2"/>
    </w:lvl>
  </w:abstractNum>
  <w:abstractNum w:abstractNumId="315">
    <w:nsid w:val="6C8B4466"/>
    <w:multiLevelType w:val="hybridMultilevel"/>
    <w:lvl w:ilvl="0">
      <w:lvlJc w:val="left"/>
      <w:lvlText w:val="%1"/>
      <w:numFmt w:val="lowerLetter"/>
      <w:start w:val="1"/>
    </w:lvl>
    <w:lvl w:ilvl="1">
      <w:lvlJc w:val="left"/>
      <w:lvlText w:val="(%2)"/>
      <w:numFmt w:val="lowerLetter"/>
      <w:start w:val="1"/>
    </w:lvl>
  </w:abstractNum>
  <w:abstractNum w:abstractNumId="316">
    <w:nsid w:val="2006E424"/>
    <w:multiLevelType w:val="hybridMultilevel"/>
    <w:lvl w:ilvl="0">
      <w:lvlJc w:val="left"/>
      <w:lvlText w:val="(%1)"/>
      <w:numFmt w:val="lowerLetter"/>
      <w:start w:val="35"/>
    </w:lvl>
    <w:lvl w:ilvl="1">
      <w:lvlJc w:val="left"/>
      <w:lvlText w:val="%2"/>
      <w:numFmt w:val="lowerLetter"/>
      <w:start w:val="1"/>
    </w:lvl>
  </w:abstractNum>
  <w:abstractNum w:abstractNumId="317">
    <w:nsid w:val="20CC134C"/>
    <w:multiLevelType w:val="hybridMultilevel"/>
    <w:lvl w:ilvl="0">
      <w:lvlJc w:val="left"/>
      <w:lvlText w:val="(%1)"/>
      <w:numFmt w:val="lowerLetter"/>
      <w:start w:val="2"/>
    </w:lvl>
  </w:abstractNum>
  <w:abstractNum w:abstractNumId="318">
    <w:nsid w:val="95FC93B"/>
    <w:multiLevelType w:val="hybridMultilevel"/>
    <w:lvl w:ilvl="0">
      <w:lvlJc w:val="left"/>
      <w:lvlText w:val="(%1)"/>
      <w:numFmt w:val="lowerLetter"/>
      <w:start w:val="1"/>
    </w:lvl>
  </w:abstractNum>
  <w:abstractNum w:abstractNumId="319">
    <w:nsid w:val="41D74679"/>
    <w:multiLevelType w:val="hybridMultilevel"/>
    <w:lvl w:ilvl="0">
      <w:lvlJc w:val="left"/>
      <w:lvlText w:val="(%1)"/>
      <w:numFmt w:val="upperLetter"/>
      <w:start w:val="3"/>
    </w:lvl>
    <w:lvl w:ilvl="1">
      <w:lvlJc w:val="left"/>
      <w:lvlText w:val="(%2)"/>
      <w:numFmt w:val="lowerRoman"/>
      <w:start w:val="10"/>
    </w:lvl>
  </w:abstractNum>
  <w:abstractNum w:abstractNumId="320">
    <w:nsid w:val="71E5621E"/>
    <w:multiLevelType w:val="hybridMultilevel"/>
    <w:lvl w:ilvl="0">
      <w:lvlJc w:val="left"/>
      <w:lvlText w:val="(%1)"/>
      <w:numFmt w:val="lowerLetter"/>
      <w:start w:val="25"/>
    </w:lvl>
  </w:abstractNum>
  <w:abstractNum w:abstractNumId="321">
    <w:nsid w:val="4E42B6A8"/>
    <w:multiLevelType w:val="hybridMultilevel"/>
    <w:lvl w:ilvl="0">
      <w:lvlJc w:val="left"/>
      <w:lvlText w:val="(%1)"/>
      <w:numFmt w:val="lowerLetter"/>
      <w:start w:val="2"/>
    </w:lvl>
  </w:abstractNum>
  <w:abstractNum w:abstractNumId="322">
    <w:nsid w:val="43F8E1AC"/>
    <w:multiLevelType w:val="hybridMultilevel"/>
    <w:lvl w:ilvl="0">
      <w:lvlJc w:val="left"/>
      <w:lvlText w:val="(%1)"/>
      <w:numFmt w:val="lowerLetter"/>
      <w:start w:val="1"/>
    </w:lvl>
  </w:abstractNum>
  <w:abstractNum w:abstractNumId="323">
    <w:nsid w:val="69215DFB"/>
    <w:multiLevelType w:val="hybridMultilevel"/>
    <w:lvl w:ilvl="0">
      <w:lvlJc w:val="left"/>
      <w:lvlText w:val="(%1)"/>
      <w:numFmt w:val="lowerRoman"/>
      <w:start w:val="1"/>
    </w:lvl>
  </w:abstractNum>
  <w:abstractNum w:abstractNumId="324">
    <w:nsid w:val="7ABF196A"/>
    <w:multiLevelType w:val="hybridMultilevel"/>
    <w:lvl w:ilvl="0">
      <w:lvlJc w:val="left"/>
      <w:lvlText w:val="(%1)"/>
      <w:numFmt w:val="lowerLetter"/>
      <w:start w:val="2"/>
    </w:lvl>
  </w:abstractNum>
  <w:abstractNum w:abstractNumId="325">
    <w:nsid w:val="5E4DB968"/>
    <w:multiLevelType w:val="hybridMultilevel"/>
    <w:lvl w:ilvl="0">
      <w:lvlJc w:val="left"/>
      <w:lvlText w:val="(%1)"/>
      <w:numFmt w:val="lowerLetter"/>
      <w:start w:val="3"/>
    </w:lvl>
  </w:abstractNum>
  <w:abstractNum w:abstractNumId="326">
    <w:nsid w:val="2C06DCF3"/>
    <w:multiLevelType w:val="hybridMultilevel"/>
    <w:lvl w:ilvl="0">
      <w:lvlJc w:val="left"/>
      <w:lvlText w:val="(%1)"/>
      <w:numFmt w:val="lowerRoman"/>
      <w:start w:val="1"/>
    </w:lvl>
  </w:abstractNum>
  <w:abstractNum w:abstractNumId="327">
    <w:nsid w:val="2E129658"/>
    <w:multiLevelType w:val="hybridMultilevel"/>
    <w:lvl w:ilvl="0">
      <w:lvlJc w:val="left"/>
      <w:lvlText w:val="(%1)"/>
      <w:numFmt w:val="lowerRoman"/>
      <w:start w:val="3"/>
    </w:lvl>
  </w:abstractNum>
  <w:abstractNum w:abstractNumId="328">
    <w:nsid w:val="59F0446"/>
    <w:multiLevelType w:val="hybridMultilevel"/>
    <w:lvl w:ilvl="0">
      <w:lvlJc w:val="left"/>
      <w:lvlText w:val="(%1)"/>
      <w:numFmt w:val="lowerRoman"/>
      <w:start w:val="8"/>
    </w:lvl>
  </w:abstractNum>
  <w:abstractNum w:abstractNumId="329">
    <w:nsid w:val="30DF306"/>
    <w:multiLevelType w:val="hybridMultilevel"/>
    <w:lvl w:ilvl="0">
      <w:lvlJc w:val="left"/>
      <w:lvlText w:val="(%1)"/>
      <w:numFmt w:val="upperLetter"/>
      <w:start w:val="1"/>
    </w:lvl>
  </w:abstractNum>
  <w:abstractNum w:abstractNumId="330">
    <w:nsid w:val="A65647"/>
    <w:multiLevelType w:val="hybridMultilevel"/>
    <w:lvl w:ilvl="0">
      <w:lvlJc w:val="left"/>
      <w:lvlText w:val="(%1)"/>
      <w:numFmt w:val="lowerRoman"/>
      <w:start w:val="12"/>
    </w:lvl>
  </w:abstractNum>
  <w:abstractNum w:abstractNumId="331">
    <w:nsid w:val="3E5E582B"/>
    <w:multiLevelType w:val="hybridMultilevel"/>
    <w:lvl w:ilvl="0">
      <w:lvlJc w:val="left"/>
      <w:lvlText w:val="(%1)"/>
      <w:numFmt w:val="lowerRoman"/>
      <w:start w:val="20"/>
    </w:lvl>
  </w:abstractNum>
  <w:abstractNum w:abstractNumId="332">
    <w:nsid w:val="257D4626"/>
    <w:multiLevelType w:val="hybridMultilevel"/>
    <w:lvl w:ilvl="0">
      <w:lvlJc w:val="left"/>
      <w:lvlText w:val="%1"/>
      <w:numFmt w:val="lowerLetter"/>
      <w:start w:val="1"/>
    </w:lvl>
    <w:lvl w:ilvl="1">
      <w:lvlJc w:val="left"/>
      <w:lvlText w:val="(%2)"/>
      <w:numFmt w:val="lowerLetter"/>
      <w:start w:val="1"/>
    </w:lvl>
  </w:abstractNum>
  <w:abstractNum w:abstractNumId="333">
    <w:nsid w:val="5AA8580E"/>
    <w:multiLevelType w:val="hybridMultilevel"/>
    <w:lvl w:ilvl="0">
      <w:lvlJc w:val="left"/>
      <w:lvlText w:val="(%1)"/>
      <w:numFmt w:val="lowerLetter"/>
      <w:start w:val="22"/>
    </w:lvl>
    <w:lvl w:ilvl="1">
      <w:lvlJc w:val="left"/>
      <w:lvlText w:val="%2"/>
      <w:numFmt w:val="lowerLetter"/>
      <w:start w:val="1"/>
    </w:lvl>
  </w:abstractNum>
  <w:abstractNum w:abstractNumId="334">
    <w:nsid w:val="68FA8D0D"/>
    <w:multiLevelType w:val="hybridMultilevel"/>
    <w:lvl w:ilvl="0">
      <w:lvlJc w:val="left"/>
      <w:lvlText w:val="(%1)"/>
      <w:numFmt w:val="lowerLetter"/>
      <w:start w:val="2"/>
    </w:lvl>
  </w:abstractNum>
  <w:abstractNum w:abstractNumId="335">
    <w:nsid w:val="40F2CBD2"/>
    <w:multiLevelType w:val="hybridMultilevel"/>
    <w:lvl w:ilvl="0">
      <w:lvlJc w:val="left"/>
      <w:lvlText w:val="%1"/>
      <w:numFmt w:val="lowerLetter"/>
      <w:start w:val="1"/>
    </w:lvl>
    <w:lvl w:ilvl="1">
      <w:lvlJc w:val="left"/>
      <w:lvlText w:val="(%2)"/>
      <w:numFmt w:val="lowerLetter"/>
      <w:start w:val="1"/>
    </w:lvl>
  </w:abstractNum>
  <w:abstractNum w:abstractNumId="336">
    <w:nsid w:val="3BD615EB"/>
    <w:multiLevelType w:val="hybridMultilevel"/>
    <w:lvl w:ilvl="0">
      <w:lvlJc w:val="left"/>
      <w:lvlText w:val="(%1)"/>
      <w:numFmt w:val="lowerLetter"/>
      <w:start w:val="35"/>
    </w:lvl>
    <w:lvl w:ilvl="1">
      <w:lvlJc w:val="left"/>
      <w:lvlText w:val="%2"/>
      <w:numFmt w:val="lowerLetter"/>
      <w:start w:val="1"/>
    </w:lvl>
  </w:abstractNum>
  <w:abstractNum w:abstractNumId="337">
    <w:nsid w:val="A045AB2"/>
    <w:multiLevelType w:val="hybridMultilevel"/>
    <w:lvl w:ilvl="0">
      <w:lvlJc w:val="left"/>
      <w:lvlText w:val="(%1)"/>
      <w:numFmt w:val="lowerLetter"/>
      <w:start w:val="35"/>
    </w:lvl>
    <w:lvl w:ilvl="1">
      <w:lvlJc w:val="left"/>
      <w:lvlText w:val="%2"/>
      <w:numFmt w:val="lowerLetter"/>
      <w:start w:val="1"/>
    </w:lvl>
  </w:abstractNum>
  <w:abstractNum w:abstractNumId="338">
    <w:nsid w:val="1872261F"/>
    <w:multiLevelType w:val="hybridMultilevel"/>
    <w:lvl w:ilvl="0">
      <w:lvlJc w:val="left"/>
      <w:lvlText w:val="(%1)"/>
      <w:numFmt w:val="lowerLetter"/>
      <w:start w:val="2"/>
    </w:lvl>
  </w:abstractNum>
  <w:abstractNum w:abstractNumId="339">
    <w:nsid w:val="3DE8306C"/>
    <w:multiLevelType w:val="hybridMultilevel"/>
    <w:lvl w:ilvl="0">
      <w:lvlJc w:val="left"/>
      <w:lvlText w:val="(%1)"/>
      <w:numFmt w:val="lowerLetter"/>
      <w:start w:val="1"/>
    </w:lvl>
  </w:abstractNum>
  <w:abstractNum w:abstractNumId="340">
    <w:nsid w:val="7631573A"/>
    <w:multiLevelType w:val="hybridMultilevel"/>
    <w:lvl w:ilvl="0">
      <w:lvlJc w:val="left"/>
      <w:lvlText w:val="(%1)"/>
      <w:numFmt w:val="lowerLetter"/>
      <w:start w:val="2"/>
    </w:lvl>
  </w:abstractNum>
  <w:abstractNum w:abstractNumId="341">
    <w:nsid w:val="58DF53B"/>
    <w:multiLevelType w:val="hybridMultilevel"/>
    <w:lvl w:ilvl="0">
      <w:lvlJc w:val="left"/>
      <w:lvlText w:val="(%1)"/>
      <w:numFmt w:val="lowerLetter"/>
      <w:start w:val="3"/>
    </w:lvl>
  </w:abstractNum>
  <w:abstractNum w:abstractNumId="342">
    <w:nsid w:val="ACDFAC0"/>
    <w:multiLevelType w:val="hybridMultilevel"/>
    <w:lvl w:ilvl="0">
      <w:lvlJc w:val="left"/>
      <w:lvlText w:val="(%1)"/>
      <w:numFmt w:val="lowerLetter"/>
      <w:start w:val="4"/>
    </w:lvl>
  </w:abstractNum>
  <w:abstractNum w:abstractNumId="343">
    <w:nsid w:val="1F578454"/>
    <w:multiLevelType w:val="hybridMultilevel"/>
    <w:lvl w:ilvl="0">
      <w:lvlJc w:val="left"/>
      <w:lvlText w:val="(%1)"/>
      <w:numFmt w:val="lowerLetter"/>
      <w:start w:val="5"/>
    </w:lvl>
  </w:abstractNum>
  <w:abstractNum w:abstractNumId="344">
    <w:nsid w:val="5B0DAD2A"/>
    <w:multiLevelType w:val="hybridMultilevel"/>
    <w:lvl w:ilvl="0">
      <w:lvlJc w:val="left"/>
      <w:lvlText w:val="(%1)"/>
      <w:numFmt w:val="lowerRoman"/>
      <w:start w:val="1"/>
    </w:lvl>
  </w:abstractNum>
  <w:abstractNum w:abstractNumId="345">
    <w:nsid w:val="4E3D26AB"/>
    <w:multiLevelType w:val="hybridMultilevel"/>
    <w:lvl w:ilvl="0">
      <w:lvlJc w:val="left"/>
      <w:lvlText w:val="(%1)"/>
      <w:numFmt w:val="lowerLetter"/>
      <w:start w:val="6"/>
    </w:lvl>
  </w:abstractNum>
  <w:abstractNum w:abstractNumId="346">
    <w:nsid w:val="BE2C8BA"/>
    <w:multiLevelType w:val="hybridMultilevel"/>
    <w:lvl w:ilvl="0">
      <w:lvlJc w:val="left"/>
      <w:lvlText w:val="(%1)"/>
      <w:numFmt w:val="lowerLetter"/>
      <w:start w:val="7"/>
    </w:lvl>
  </w:abstractNum>
  <w:abstractNum w:abstractNumId="347">
    <w:nsid w:val="7B14914E"/>
    <w:multiLevelType w:val="hybridMultilevel"/>
    <w:lvl w:ilvl="0">
      <w:lvlJc w:val="left"/>
      <w:lvlText w:val="(%1)"/>
      <w:numFmt w:val="lowerLetter"/>
      <w:start w:val="8"/>
    </w:lvl>
  </w:abstractNum>
  <w:abstractNum w:abstractNumId="348">
    <w:nsid w:val="6F0939F8"/>
    <w:multiLevelType w:val="hybridMultilevel"/>
    <w:lvl w:ilvl="0">
      <w:lvlJc w:val="left"/>
      <w:lvlText w:val="(%1)"/>
      <w:numFmt w:val="lowerRoman"/>
      <w:start w:val="1"/>
    </w:lvl>
  </w:abstractNum>
  <w:abstractNum w:abstractNumId="349">
    <w:nsid w:val="154291F6"/>
    <w:multiLevelType w:val="hybridMultilevel"/>
    <w:lvl w:ilvl="0">
      <w:lvlJc w:val="left"/>
      <w:lvlText w:val="(%1)"/>
      <w:numFmt w:val="lowerLetter"/>
      <w:start w:val="10"/>
    </w:lvl>
  </w:abstractNum>
  <w:abstractNum w:abstractNumId="350">
    <w:nsid w:val="3CEBD7C7"/>
    <w:multiLevelType w:val="hybridMultilevel"/>
    <w:lvl w:ilvl="0">
      <w:lvlJc w:val="left"/>
      <w:lvlText w:val="(%1)"/>
      <w:numFmt w:val="lowerLetter"/>
      <w:start w:val="11"/>
    </w:lvl>
  </w:abstractNum>
  <w:abstractNum w:abstractNumId="351">
    <w:nsid w:val="60EE9C16"/>
    <w:multiLevelType w:val="hybridMultilevel"/>
    <w:lvl w:ilvl="0">
      <w:lvlJc w:val="left"/>
      <w:lvlText w:val="(%1)"/>
      <w:numFmt w:val="lowerRoman"/>
      <w:start w:val="1"/>
    </w:lvl>
  </w:abstractNum>
  <w:abstractNum w:abstractNumId="352">
    <w:nsid w:val="6385489E"/>
    <w:multiLevelType w:val="hybridMultilevel"/>
    <w:lvl w:ilvl="0">
      <w:lvlJc w:val="left"/>
      <w:lvlText w:val="(%1)"/>
      <w:numFmt w:val="lowerRoman"/>
      <w:start w:val="3"/>
    </w:lvl>
  </w:abstractNum>
  <w:abstractNum w:abstractNumId="353">
    <w:nsid w:val="E4B973"/>
    <w:multiLevelType w:val="hybridMultilevel"/>
    <w:lvl w:ilvl="0">
      <w:lvlJc w:val="left"/>
      <w:lvlText w:val="(%1)"/>
      <w:numFmt w:val="lowerRoman"/>
      <w:start w:val="3"/>
    </w:lvl>
  </w:abstractNum>
  <w:abstractNum w:abstractNumId="354">
    <w:nsid w:val="4A0FFA11"/>
    <w:multiLevelType w:val="hybridMultilevel"/>
    <w:lvl w:ilvl="0">
      <w:lvlJc w:val="left"/>
      <w:lvlText w:val="(%1)"/>
      <w:numFmt w:val="lowerLetter"/>
      <w:start w:val="15"/>
    </w:lvl>
  </w:abstractNum>
  <w:abstractNum w:abstractNumId="355">
    <w:nsid w:val="5E446208"/>
    <w:multiLevelType w:val="hybridMultilevel"/>
    <w:lvl w:ilvl="0">
      <w:lvlJc w:val="left"/>
      <w:lvlText w:val="(%1)"/>
      <w:numFmt w:val="lowerLetter"/>
      <w:start w:val="1"/>
    </w:lvl>
  </w:abstractNum>
  <w:abstractNum w:abstractNumId="356">
    <w:nsid w:val="5F3272DB"/>
    <w:multiLevelType w:val="hybridMultilevel"/>
    <w:lvl w:ilvl="0">
      <w:lvlJc w:val="left"/>
      <w:lvlText w:val="(%1)"/>
      <w:numFmt w:val="lowerLetter"/>
      <w:start w:val="2"/>
    </w:lvl>
  </w:abstractNum>
  <w:abstractNum w:abstractNumId="357">
    <w:nsid w:val="7616D704"/>
    <w:multiLevelType w:val="hybridMultilevel"/>
    <w:lvl w:ilvl="0">
      <w:lvlJc w:val="left"/>
      <w:lvlText w:val="(%1)"/>
      <w:numFmt w:val="lowerLetter"/>
      <w:start w:val="3"/>
    </w:lvl>
  </w:abstractNum>
  <w:abstractNum w:abstractNumId="358">
    <w:nsid w:val="C56F860"/>
    <w:multiLevelType w:val="hybridMultilevel"/>
    <w:lvl w:ilvl="0">
      <w:lvlJc w:val="left"/>
      <w:lvlText w:val="(%1)"/>
      <w:numFmt w:val="lowerLetter"/>
      <w:start w:val="4"/>
    </w:lvl>
  </w:abstractNum>
  <w:abstractNum w:abstractNumId="359">
    <w:nsid w:val="64D17722"/>
    <w:multiLevelType w:val="hybridMultilevel"/>
    <w:lvl w:ilvl="0">
      <w:lvlJc w:val="left"/>
      <w:lvlText w:val="(%1)"/>
      <w:numFmt w:val="lowerLetter"/>
      <w:start w:val="5"/>
    </w:lvl>
  </w:abstractNum>
  <w:abstractNum w:abstractNumId="360">
    <w:nsid w:val="7924CA0A"/>
    <w:multiLevelType w:val="hybridMultilevel"/>
    <w:lvl w:ilvl="0">
      <w:lvlJc w:val="left"/>
      <w:lvlText w:val="(%1)"/>
      <w:numFmt w:val="lowerLetter"/>
      <w:start w:val="6"/>
    </w:lvl>
  </w:abstractNum>
  <w:abstractNum w:abstractNumId="361">
    <w:nsid w:val="CFD4EA7"/>
    <w:multiLevelType w:val="hybridMultilevel"/>
    <w:lvl w:ilvl="0">
      <w:lvlJc w:val="left"/>
      <w:lvlText w:val="(%1)"/>
      <w:numFmt w:val="lowerLetter"/>
      <w:start w:val="7"/>
    </w:lvl>
    <w:lvl w:ilvl="1">
      <w:lvlJc w:val="left"/>
      <w:lvlText w:val="(%2)"/>
      <w:numFmt w:val="lowerRoman"/>
      <w:start w:val="1"/>
    </w:lvl>
  </w:abstractNum>
  <w:abstractNum w:abstractNumId="362">
    <w:nsid w:val="232FCF4D"/>
    <w:multiLevelType w:val="hybridMultilevel"/>
    <w:lvl w:ilvl="0">
      <w:lvlJc w:val="left"/>
      <w:lvlText w:val="(%1)"/>
      <w:numFmt w:val="lowerRoman"/>
      <w:start w:val="1"/>
    </w:lvl>
  </w:abstractNum>
  <w:abstractNum w:abstractNumId="363">
    <w:nsid w:val="1EA21031"/>
    <w:multiLevelType w:val="hybridMultilevel"/>
    <w:lvl w:ilvl="0">
      <w:lvlJc w:val="left"/>
      <w:lvlText w:val="(%1)"/>
      <w:numFmt w:val="lowerLetter"/>
      <w:start w:val="10"/>
    </w:lvl>
  </w:abstractNum>
  <w:abstractNum w:abstractNumId="364">
    <w:nsid w:val="67A5A6B5"/>
    <w:multiLevelType w:val="hybridMultilevel"/>
    <w:lvl w:ilvl="0">
      <w:lvlJc w:val="left"/>
      <w:lvlText w:val="(%1)"/>
      <w:numFmt w:val="lowerLetter"/>
      <w:start w:val="11"/>
    </w:lvl>
  </w:abstractNum>
  <w:abstractNum w:abstractNumId="365">
    <w:nsid w:val="C2A5C5B"/>
    <w:multiLevelType w:val="hybridMultilevel"/>
    <w:lvl w:ilvl="0">
      <w:lvlJc w:val="left"/>
      <w:lvlText w:val="(%1)"/>
      <w:numFmt w:val="lowerLetter"/>
      <w:start w:val="12"/>
    </w:lvl>
  </w:abstractNum>
  <w:abstractNum w:abstractNumId="366">
    <w:nsid w:val="5F94DC03"/>
    <w:multiLevelType w:val="hybridMultilevel"/>
    <w:lvl w:ilvl="0">
      <w:lvlJc w:val="left"/>
      <w:lvlText w:val="(%1)"/>
      <w:numFmt w:val="lowerLetter"/>
      <w:start w:val="13"/>
    </w:lvl>
  </w:abstractNum>
  <w:abstractNum w:abstractNumId="367">
    <w:nsid w:val="237BBCA0"/>
    <w:multiLevelType w:val="hybridMultilevel"/>
    <w:lvl w:ilvl="0">
      <w:lvlJc w:val="left"/>
      <w:lvlText w:val="(%1)"/>
      <w:numFmt w:val="lowerLetter"/>
      <w:start w:val="14"/>
    </w:lvl>
  </w:abstractNum>
  <w:abstractNum w:abstractNumId="368">
    <w:nsid w:val="162EB70D"/>
    <w:multiLevelType w:val="hybridMultilevel"/>
    <w:lvl w:ilvl="0">
      <w:lvlJc w:val="left"/>
      <w:lvlText w:val="(%1)"/>
      <w:numFmt w:val="lowerLetter"/>
      <w:start w:val="15"/>
    </w:lvl>
  </w:abstractNum>
  <w:abstractNum w:abstractNumId="369">
    <w:nsid w:val="78070222"/>
    <w:multiLevelType w:val="hybridMultilevel"/>
    <w:lvl w:ilvl="0">
      <w:lvlJc w:val="left"/>
      <w:lvlText w:val="(%1)"/>
      <w:numFmt w:val="lowerLetter"/>
      <w:start w:val="16"/>
    </w:lvl>
  </w:abstractNum>
  <w:abstractNum w:abstractNumId="370">
    <w:nsid w:val="6163ED0D"/>
    <w:multiLevelType w:val="hybridMultilevel"/>
    <w:lvl w:ilvl="0">
      <w:lvlJc w:val="left"/>
      <w:lvlText w:val="(%1)"/>
      <w:numFmt w:val="lowerLetter"/>
      <w:start w:val="17"/>
    </w:lvl>
  </w:abstractNum>
  <w:abstractNum w:abstractNumId="371">
    <w:nsid w:val="C600E47"/>
    <w:multiLevelType w:val="hybridMultilevel"/>
    <w:lvl w:ilvl="0">
      <w:lvlJc w:val="left"/>
      <w:lvlText w:val="(%1)"/>
      <w:numFmt w:val="lowerLetter"/>
      <w:start w:val="18"/>
    </w:lvl>
  </w:abstractNum>
  <w:abstractNum w:abstractNumId="372">
    <w:nsid w:val="7D94F75D"/>
    <w:multiLevelType w:val="hybridMultilevel"/>
    <w:lvl w:ilvl="0">
      <w:lvlJc w:val="left"/>
      <w:lvlText w:val="(%1)"/>
      <w:numFmt w:val="lowerLetter"/>
      <w:start w:val="19"/>
    </w:lvl>
    <w:lvl w:ilvl="1">
      <w:lvlJc w:val="left"/>
      <w:lvlText w:val="(%2)"/>
      <w:numFmt w:val="lowerLetter"/>
      <w:start w:val="9"/>
    </w:lvl>
  </w:abstractNum>
  <w:abstractNum w:abstractNumId="373">
    <w:nsid w:val="6C31E7CD"/>
    <w:multiLevelType w:val="hybridMultilevel"/>
    <w:lvl w:ilvl="0">
      <w:lvlJc w:val="left"/>
      <w:lvlText w:val="(%1)"/>
      <w:numFmt w:val="lowerRoman"/>
      <w:start w:val="2"/>
    </w:lvl>
  </w:abstractNum>
  <w:abstractNum w:abstractNumId="374">
    <w:nsid w:val="2BB7929B"/>
    <w:multiLevelType w:val="hybridMultilevel"/>
    <w:lvl w:ilvl="0">
      <w:lvlJc w:val="left"/>
      <w:lvlText w:val="(%1)"/>
      <w:numFmt w:val="lowerRoman"/>
      <w:start w:val="3"/>
    </w:lvl>
  </w:abstractNum>
  <w:abstractNum w:abstractNumId="375">
    <w:nsid w:val="58A2A487"/>
    <w:multiLevelType w:val="hybridMultilevel"/>
    <w:lvl w:ilvl="0">
      <w:lvlJc w:val="left"/>
      <w:lvlText w:val="%1"/>
      <w:numFmt w:val="lowerLetter"/>
      <w:start w:val="1"/>
    </w:lvl>
    <w:lvl w:ilvl="1">
      <w:lvlJc w:val="left"/>
      <w:lvlText w:val="(%2)"/>
      <w:numFmt w:val="lowerLetter"/>
      <w:start w:val="22"/>
    </w:lvl>
  </w:abstractNum>
  <w:abstractNum w:abstractNumId="376">
    <w:nsid w:val="3A6F0E78"/>
    <w:multiLevelType w:val="hybridMultilevel"/>
    <w:lvl w:ilvl="0">
      <w:lvlJc w:val="left"/>
      <w:lvlText w:val="(%1)"/>
      <w:numFmt w:val="lowerLetter"/>
      <w:start w:val="20"/>
    </w:lvl>
    <w:lvl w:ilvl="1">
      <w:lvlJc w:val="left"/>
      <w:lvlText w:val="%2"/>
      <w:numFmt w:val="lowerLetter"/>
      <w:start w:val="1"/>
    </w:lvl>
  </w:abstractNum>
  <w:abstractNum w:abstractNumId="377">
    <w:nsid w:val="379A5B56"/>
    <w:multiLevelType w:val="hybridMultilevel"/>
    <w:lvl w:ilvl="0">
      <w:lvlJc w:val="left"/>
      <w:lvlText w:val="(%1)"/>
      <w:numFmt w:val="lowerLetter"/>
      <w:start w:val="2"/>
    </w:lvl>
  </w:abstractNum>
  <w:abstractNum w:abstractNumId="378">
    <w:nsid w:val="53B735D5"/>
    <w:multiLevelType w:val="hybridMultilevel"/>
    <w:lvl w:ilvl="0">
      <w:lvlJc w:val="left"/>
      <w:lvlText w:val="(%1)"/>
      <w:numFmt w:val="lowerLetter"/>
      <w:start w:val="21"/>
    </w:lvl>
  </w:abstractNum>
  <w:abstractNum w:abstractNumId="379">
    <w:nsid w:val="29784870"/>
    <w:multiLevelType w:val="hybridMultilevel"/>
    <w:lvl w:ilvl="0">
      <w:lvlJc w:val="left"/>
      <w:lvlText w:val="(%1)"/>
      <w:numFmt w:val="lowerRoman"/>
      <w:start w:val="5"/>
    </w:lvl>
  </w:abstractNum>
  <w:abstractNum w:abstractNumId="380">
    <w:nsid w:val="4CDCED4C"/>
    <w:multiLevelType w:val="hybridMultilevel"/>
    <w:lvl w:ilvl="0">
      <w:lvlJc w:val="left"/>
      <w:lvlText w:val="(%1)"/>
      <w:numFmt w:val="lowerLetter"/>
      <w:start w:val="23"/>
    </w:lvl>
  </w:abstractNum>
  <w:abstractNum w:abstractNumId="381">
    <w:nsid w:val="10A30D9C"/>
    <w:multiLevelType w:val="hybridMultilevel"/>
    <w:lvl w:ilvl="0">
      <w:lvlJc w:val="left"/>
      <w:lvlText w:val="(%1)"/>
      <w:numFmt w:val="lowerRoman"/>
      <w:start w:val="10"/>
    </w:lvl>
  </w:abstractNum>
  <w:abstractNum w:abstractNumId="382">
    <w:nsid w:val="A66E486"/>
    <w:multiLevelType w:val="hybridMultilevel"/>
    <w:lvl w:ilvl="0">
      <w:lvlJc w:val="left"/>
      <w:lvlText w:val="(%1)"/>
      <w:numFmt w:val="lowerLetter"/>
      <w:start w:val="25"/>
    </w:lvl>
  </w:abstractNum>
  <w:abstractNum w:abstractNumId="383">
    <w:nsid w:val="306235EA"/>
    <w:multiLevelType w:val="hybridMultilevel"/>
    <w:lvl w:ilvl="0">
      <w:lvlJc w:val="left"/>
      <w:lvlText w:val="(%1)"/>
      <w:numFmt w:val="lowerLetter"/>
      <w:start w:val="26"/>
    </w:lvl>
  </w:abstractNum>
  <w:abstractNum w:abstractNumId="384">
    <w:nsid w:val="1187C70F"/>
    <w:multiLevelType w:val="hybridMultilevel"/>
    <w:lvl w:ilvl="0">
      <w:lvlJc w:val="left"/>
      <w:lvlText w:val="(%1)"/>
      <w:numFmt w:val="lowerLetter"/>
      <w:start w:val="29"/>
    </w:lvl>
  </w:abstractNum>
  <w:abstractNum w:abstractNumId="385">
    <w:nsid w:val="5476DE98"/>
    <w:multiLevelType w:val="hybridMultilevel"/>
    <w:lvl w:ilvl="0">
      <w:lvlJc w:val="left"/>
      <w:lvlText w:val="(%1)"/>
      <w:numFmt w:val="lowerLetter"/>
      <w:start w:val="30"/>
    </w:lvl>
  </w:abstractNum>
  <w:abstractNum w:abstractNumId="386">
    <w:nsid w:val="EA697F2"/>
    <w:multiLevelType w:val="hybridMultilevel"/>
    <w:lvl w:ilvl="0">
      <w:lvlJc w:val="left"/>
      <w:lvlText w:val="(%1)"/>
      <w:numFmt w:val="lowerLetter"/>
      <w:start w:val="31"/>
    </w:lvl>
  </w:abstractNum>
  <w:abstractNum w:abstractNumId="387">
    <w:nsid w:val="70BA39EB"/>
    <w:multiLevelType w:val="hybridMultilevel"/>
    <w:lvl w:ilvl="0">
      <w:lvlJc w:val="left"/>
      <w:lvlText w:val="(%1)"/>
      <w:numFmt w:val="lowerLetter"/>
      <w:start w:val="1"/>
    </w:lvl>
  </w:abstractNum>
  <w:abstractNum w:abstractNumId="388">
    <w:nsid w:val="4A8DB59C"/>
    <w:multiLevelType w:val="hybridMultilevel"/>
    <w:lvl w:ilvl="0">
      <w:lvlJc w:val="left"/>
      <w:lvlText w:val="(%1)"/>
      <w:numFmt w:val="lowerLetter"/>
      <w:start w:val="2"/>
    </w:lvl>
  </w:abstractNum>
  <w:abstractNum w:abstractNumId="389">
    <w:nsid w:val="1AFD9053"/>
    <w:multiLevelType w:val="hybridMultilevel"/>
    <w:lvl w:ilvl="0">
      <w:lvlJc w:val="left"/>
      <w:lvlText w:val="(%1)"/>
      <w:numFmt w:val="lowerLetter"/>
      <w:start w:val="3"/>
    </w:lvl>
  </w:abstractNum>
  <w:abstractNum w:abstractNumId="390">
    <w:nsid w:val="558BB10D"/>
    <w:multiLevelType w:val="hybridMultilevel"/>
    <w:lvl w:ilvl="0">
      <w:lvlJc w:val="left"/>
      <w:lvlText w:val="(%1)"/>
      <w:numFmt w:val="lowerLetter"/>
      <w:start w:val="6"/>
    </w:lvl>
    <w:lvl w:ilvl="1">
      <w:lvlJc w:val="left"/>
      <w:lvlText w:val="(%2)"/>
      <w:numFmt w:val="lowerLetter"/>
      <w:start w:val="35"/>
    </w:lvl>
  </w:abstractNum>
  <w:abstractNum w:abstractNumId="391">
    <w:nsid w:val="43B27FA7"/>
    <w:multiLevelType w:val="hybridMultilevel"/>
    <w:lvl w:ilvl="0">
      <w:lvlJc w:val="left"/>
      <w:lvlText w:val="(%1)"/>
      <w:numFmt w:val="lowerLetter"/>
      <w:start w:val="1"/>
    </w:lvl>
  </w:abstractNum>
  <w:abstractNum w:abstractNumId="392">
    <w:nsid w:val="27FADEFA"/>
    <w:multiLevelType w:val="hybridMultilevel"/>
    <w:lvl w:ilvl="0">
      <w:lvlJc w:val="left"/>
      <w:lvlText w:val="(%1)"/>
      <w:numFmt w:val="lowerLetter"/>
      <w:start w:val="2"/>
    </w:lvl>
  </w:abstractNum>
  <w:abstractNum w:abstractNumId="393">
    <w:nsid w:val="78BB805A"/>
    <w:multiLevelType w:val="hybridMultilevel"/>
    <w:lvl w:ilvl="0">
      <w:lvlJc w:val="left"/>
      <w:lvlText w:val="(%1)"/>
      <w:numFmt w:val="lowerLetter"/>
      <w:start w:val="3"/>
    </w:lvl>
  </w:abstractNum>
  <w:abstractNum w:abstractNumId="394">
    <w:nsid w:val="62548FD8"/>
    <w:multiLevelType w:val="hybridMultilevel"/>
    <w:lvl w:ilvl="0">
      <w:lvlJc w:val="left"/>
      <w:lvlText w:val="(%1)"/>
      <w:numFmt w:val="lowerLetter"/>
      <w:start w:val="5"/>
    </w:lvl>
  </w:abstractNum>
  <w:abstractNum w:abstractNumId="395">
    <w:nsid w:val="FA085B0"/>
    <w:multiLevelType w:val="hybridMultilevel"/>
    <w:lvl w:ilvl="0">
      <w:lvlJc w:val="left"/>
      <w:lvlText w:val="(%1)"/>
      <w:numFmt w:val="lowerLetter"/>
      <w:start w:val="8"/>
    </w:lvl>
    <w:lvl w:ilvl="1">
      <w:lvlJc w:val="left"/>
      <w:lvlText w:val="(%2)"/>
      <w:numFmt w:val="lowerLetter"/>
      <w:start w:val="61"/>
    </w:lvl>
  </w:abstractNum>
  <w:abstractNum w:abstractNumId="396">
    <w:nsid w:val="4E5DCB5"/>
    <w:multiLevelType w:val="hybridMultilevel"/>
    <w:lvl w:ilvl="0">
      <w:lvlJc w:val="left"/>
      <w:lvlText w:val="%1"/>
      <w:numFmt w:val="lowerLetter"/>
      <w:start w:val="1"/>
    </w:lvl>
    <w:lvl w:ilvl="1">
      <w:lvlJc w:val="left"/>
      <w:lvlText w:val="(%2)"/>
      <w:numFmt w:val="lowerLetter"/>
      <w:start w:val="9"/>
    </w:lvl>
  </w:abstractNum>
  <w:abstractNum w:abstractNumId="397">
    <w:nsid w:val="41E96BDB"/>
    <w:multiLevelType w:val="hybridMultilevel"/>
    <w:lvl w:ilvl="0">
      <w:lvlJc w:val="left"/>
      <w:lvlText w:val="(%1)"/>
      <w:numFmt w:val="lowerLetter"/>
      <w:start w:val="10"/>
    </w:lvl>
    <w:lvl w:ilvl="1">
      <w:lvlJc w:val="left"/>
      <w:lvlText w:val="%2"/>
      <w:numFmt w:val="lowerLetter"/>
      <w:start w:val="1"/>
    </w:lvl>
  </w:abstractNum>
  <w:abstractNum w:abstractNumId="398">
    <w:nsid w:val="331C4250"/>
    <w:multiLevelType w:val="hybridMultilevel"/>
    <w:lvl w:ilvl="0">
      <w:lvlJc w:val="left"/>
      <w:lvlText w:val="(%1)"/>
      <w:numFmt w:val="lowerLetter"/>
      <w:start w:val="12"/>
    </w:lvl>
  </w:abstractNum>
  <w:abstractNum w:abstractNumId="399">
    <w:nsid w:val="1B1493C2"/>
    <w:multiLevelType w:val="hybridMultilevel"/>
    <w:lvl w:ilvl="0">
      <w:lvlJc w:val="left"/>
      <w:lvlText w:val="(%1)"/>
      <w:numFmt w:val="lowerLetter"/>
      <w:start w:val="1"/>
    </w:lvl>
  </w:abstractNum>
  <w:abstractNum w:abstractNumId="400">
    <w:nsid w:val="39F06DFD"/>
    <w:multiLevelType w:val="hybridMultilevel"/>
    <w:lvl w:ilvl="0">
      <w:lvlJc w:val="left"/>
      <w:lvlText w:val="(%1)"/>
      <w:numFmt w:val="lowerLetter"/>
      <w:start w:val="2"/>
    </w:lvl>
    <w:lvl w:ilvl="1">
      <w:lvlJc w:val="left"/>
      <w:lvlText w:val="(%2)"/>
      <w:numFmt w:val="lowerRoman"/>
      <w:start w:val="1"/>
    </w:lvl>
  </w:abstractNum>
  <w:abstractNum w:abstractNumId="401">
    <w:nsid w:val="14802F5D"/>
    <w:multiLevelType w:val="hybridMultilevel"/>
    <w:lvl w:ilvl="0">
      <w:lvlJc w:val="left"/>
      <w:lvlText w:val="(%1)"/>
      <w:numFmt w:val="lowerLetter"/>
      <w:start w:val="5"/>
    </w:lvl>
    <w:lvl w:ilvl="1">
      <w:lvlJc w:val="left"/>
      <w:lvlText w:val="(%2)"/>
      <w:numFmt w:val="lowerRoman"/>
      <w:start w:val="1"/>
    </w:lvl>
  </w:abstractNum>
  <w:abstractNum w:abstractNumId="402">
    <w:nsid w:val="2774A209"/>
    <w:multiLevelType w:val="hybridMultilevel"/>
    <w:lvl w:ilvl="0">
      <w:lvlJc w:val="left"/>
      <w:lvlText w:val="(%1)"/>
      <w:numFmt w:val="lowerLetter"/>
      <w:start w:val="7"/>
    </w:lvl>
  </w:abstractNum>
  <w:abstractNum w:abstractNumId="403">
    <w:nsid w:val="3785655A"/>
    <w:multiLevelType w:val="hybridMultilevel"/>
    <w:lvl w:ilvl="0">
      <w:lvlJc w:val="left"/>
      <w:lvlText w:val="(%1)"/>
      <w:numFmt w:val="upperLetter"/>
      <w:start w:val="1"/>
    </w:lvl>
  </w:abstractNum>
  <w:abstractNum w:abstractNumId="404">
    <w:nsid w:val="B2172A"/>
    <w:multiLevelType w:val="hybridMultilevel"/>
    <w:lvl w:ilvl="0">
      <w:lvlJc w:val="left"/>
      <w:lvlText w:val="(%1)"/>
      <w:numFmt w:val="upperLetter"/>
      <w:start w:val="2"/>
    </w:lvl>
  </w:abstractNum>
  <w:abstractNum w:abstractNumId="405">
    <w:nsid w:val="532C34A5"/>
    <w:multiLevelType w:val="hybridMultilevel"/>
    <w:lvl w:ilvl="0">
      <w:lvlJc w:val="left"/>
      <w:lvlText w:val="(%1)"/>
      <w:numFmt w:val="lowerLetter"/>
      <w:start w:val="1"/>
    </w:lvl>
  </w:abstractNum>
  <w:abstractNum w:abstractNumId="406">
    <w:nsid w:val="102809E2"/>
    <w:multiLevelType w:val="hybridMultilevel"/>
    <w:lvl w:ilvl="0">
      <w:lvlJc w:val="left"/>
      <w:lvlText w:val="(%1)"/>
      <w:numFmt w:val="lowerLetter"/>
      <w:start w:val="3"/>
    </w:lvl>
  </w:abstractNum>
  <w:abstractNum w:abstractNumId="407">
    <w:nsid w:val="3B2125A3"/>
    <w:multiLevelType w:val="hybridMultilevel"/>
    <w:lvl w:ilvl="0">
      <w:lvlJc w:val="left"/>
      <w:lvlText w:val="(%1)"/>
      <w:numFmt w:val="lowerLetter"/>
      <w:start w:val="4"/>
    </w:lvl>
  </w:abstractNum>
  <w:abstractNum w:abstractNumId="408">
    <w:nsid w:val="AC68FFB"/>
    <w:multiLevelType w:val="hybridMultilevel"/>
    <w:lvl w:ilvl="0">
      <w:lvlJc w:val="left"/>
      <w:lvlText w:val="%1."/>
      <w:numFmt w:val="decimal"/>
      <w:start w:val="1"/>
    </w:lvl>
  </w:abstractNum>
  <w:abstractNum w:abstractNumId="409">
    <w:nsid w:val="63DF3FB7"/>
    <w:multiLevelType w:val="hybridMultilevel"/>
    <w:lvl w:ilvl="0">
      <w:lvlJc w:val="left"/>
      <w:lvlText w:val="(%1)"/>
      <w:numFmt w:val="lowerLetter"/>
      <w:start w:val="1"/>
    </w:lvl>
  </w:abstractNum>
  <w:abstractNum w:abstractNumId="410">
    <w:nsid w:val="64996E13"/>
    <w:multiLevelType w:val="hybridMultilevel"/>
    <w:lvl w:ilvl="0">
      <w:lvlJc w:val="left"/>
      <w:lvlText w:val="%1"/>
      <w:numFmt w:val="decimal"/>
      <w:start w:val="1"/>
    </w:lvl>
    <w:lvl w:ilvl="1">
      <w:lvlJc w:val="left"/>
      <w:lvlText w:val="(%2)"/>
      <w:numFmt w:val="lowerLetter"/>
      <w:start w:val="2"/>
    </w:lvl>
  </w:abstractNum>
  <w:abstractNum w:abstractNumId="411">
    <w:nsid w:val="57A37D47"/>
    <w:multiLevelType w:val="hybridMultilevel"/>
    <w:lvl w:ilvl="0">
      <w:lvlJc w:val="left"/>
      <w:lvlText w:val="%1."/>
      <w:numFmt w:val="decimal"/>
      <w:start w:val="2"/>
    </w:lvl>
    <w:lvl w:ilvl="1">
      <w:lvlJc w:val="left"/>
      <w:lvlText w:val="%2"/>
      <w:numFmt w:val="lowerLetter"/>
      <w:start w:val="1"/>
    </w:lvl>
  </w:abstractNum>
  <w:abstractNum w:abstractNumId="412">
    <w:nsid w:val="74824D54"/>
    <w:multiLevelType w:val="hybridMultilevel"/>
    <w:lvl w:ilvl="0">
      <w:lvlJc w:val="left"/>
      <w:lvlText w:val="%1."/>
      <w:numFmt w:val="decimal"/>
      <w:start w:val="16"/>
    </w:lvl>
  </w:abstractNum>
  <w:abstractNum w:abstractNumId="413">
    <w:nsid w:val="6F00529A"/>
    <w:multiLevelType w:val="hybridMultilevel"/>
    <w:lvl w:ilvl="0">
      <w:lvlJc w:val="left"/>
      <w:lvlText w:val="%1."/>
      <w:numFmt w:val="decimal"/>
      <w:start w:val="16"/>
    </w:lvl>
  </w:abstractNum>
  <w:abstractNum w:abstractNumId="414">
    <w:nsid w:val="805B331"/>
    <w:multiLevelType w:val="hybridMultilevel"/>
    <w:lvl w:ilvl="0">
      <w:lvlJc w:val="left"/>
      <w:lvlText w:val="-"/>
      <w:numFmt w:val="bullet"/>
      <w:start w:val="1"/>
    </w:lvl>
  </w:abstractNum>
  <w:abstractNum w:abstractNumId="415">
    <w:nsid w:val="60A1463"/>
    <w:multiLevelType w:val="hybridMultilevel"/>
    <w:lvl w:ilvl="0">
      <w:lvlJc w:val="left"/>
      <w:lvlText w:val="(%1)"/>
      <w:numFmt w:val="lowerRoman"/>
      <w:start w:val="1"/>
    </w:lvl>
  </w:abstractNum>
  <w:abstractNum w:abstractNumId="416">
    <w:nsid w:val="43773132"/>
    <w:multiLevelType w:val="hybridMultilevel"/>
    <w:lvl w:ilvl="0">
      <w:lvlJc w:val="left"/>
      <w:lvlText w:val="(%1)"/>
      <w:numFmt w:val="lowerRoman"/>
      <w:start w:val="2"/>
    </w:lvl>
  </w:abstractNum>
  <w:abstractNum w:abstractNumId="417">
    <w:nsid w:val="16AC4B23"/>
    <w:multiLevelType w:val="hybridMultilevel"/>
    <w:lvl w:ilvl="0">
      <w:lvlJc w:val="left"/>
      <w:lvlText w:val="-"/>
      <w:numFmt w:val="bullet"/>
      <w:start w:val="1"/>
    </w:lvl>
  </w:abstractNum>
  <w:abstractNum w:abstractNumId="418">
    <w:nsid w:val="76C44E4E"/>
    <w:multiLevelType w:val="hybridMultilevel"/>
    <w:lvl w:ilvl="0">
      <w:lvlJc w:val="left"/>
      <w:lvlText w:val="-"/>
      <w:numFmt w:val="bullet"/>
      <w:start w:val="1"/>
    </w:lvl>
  </w:abstractNum>
  <w:abstractNum w:abstractNumId="419">
    <w:nsid w:val="E04E6CE"/>
    <w:multiLevelType w:val="hybridMultilevel"/>
    <w:lvl w:ilvl="0">
      <w:lvlJc w:val="left"/>
      <w:lvlText w:val="-"/>
      <w:numFmt w:val="bullet"/>
      <w:start w:val="1"/>
    </w:lvl>
  </w:abstractNum>
  <w:abstractNum w:abstractNumId="420">
    <w:nsid w:val="31A9DB76"/>
    <w:multiLevelType w:val="hybridMultilevel"/>
    <w:lvl w:ilvl="0">
      <w:lvlJc w:val="left"/>
      <w:lvlText w:val="-"/>
      <w:numFmt w:val="bullet"/>
      <w:start w:val="1"/>
    </w:lvl>
  </w:abstractNum>
  <w:abstractNum w:abstractNumId="421">
    <w:nsid w:val="4C4FFF5B"/>
    <w:multiLevelType w:val="hybridMultilevel"/>
    <w:lvl w:ilvl="0">
      <w:lvlJc w:val="left"/>
      <w:lvlText w:val="-"/>
      <w:numFmt w:val="bullet"/>
      <w:start w:val="1"/>
    </w:lvl>
  </w:abstractNum>
  <w:abstractNum w:abstractNumId="422">
    <w:nsid w:val="51B76675"/>
    <w:multiLevelType w:val="hybridMultilevel"/>
    <w:lvl w:ilvl="0">
      <w:lvlJc w:val="left"/>
      <w:lvlText w:val="-"/>
      <w:numFmt w:val="bullet"/>
      <w:start w:val="1"/>
    </w:lvl>
  </w:abstractNum>
  <w:abstractNum w:abstractNumId="423">
    <w:nsid w:val="59A4BA71"/>
    <w:multiLevelType w:val="hybridMultilevel"/>
    <w:lvl w:ilvl="0">
      <w:lvlJc w:val="left"/>
      <w:lvlText w:val="-"/>
      <w:numFmt w:val="bullet"/>
      <w:start w:val="1"/>
    </w:lvl>
  </w:abstractNum>
  <w:abstractNum w:abstractNumId="424">
    <w:nsid w:val="450B7FB6"/>
    <w:multiLevelType w:val="hybridMultilevel"/>
    <w:lvl w:ilvl="0">
      <w:lvlJc w:val="left"/>
      <w:lvlText w:val="-"/>
      <w:numFmt w:val="bullet"/>
      <w:start w:val="1"/>
    </w:lvl>
  </w:abstractNum>
  <w:abstractNum w:abstractNumId="425">
    <w:nsid w:val="340BF64D"/>
    <w:multiLevelType w:val="hybridMultilevel"/>
    <w:lvl w:ilvl="0">
      <w:lvlJc w:val="left"/>
      <w:lvlText w:val="X"/>
      <w:numFmt w:val="bullet"/>
      <w:start w:val="1"/>
    </w:lvl>
  </w:abstractNum>
  <w:abstractNum w:abstractNumId="426">
    <w:nsid w:val="69454021"/>
    <w:multiLevelType w:val="hybridMultilevel"/>
    <w:lvl w:ilvl="0">
      <w:lvlJc w:val="left"/>
      <w:lvlText w:val="-"/>
      <w:numFmt w:val="bullet"/>
      <w:start w:val="1"/>
    </w:lvl>
  </w:abstractNum>
  <w:abstractNum w:abstractNumId="427">
    <w:nsid w:val="49F15C6B"/>
    <w:multiLevelType w:val="hybridMultilevel"/>
    <w:lvl w:ilvl="0">
      <w:lvlJc w:val="left"/>
      <w:lvlText w:val="-"/>
      <w:numFmt w:val="bullet"/>
      <w:start w:val="1"/>
    </w:lvl>
  </w:abstractNum>
  <w:abstractNum w:abstractNumId="428">
    <w:nsid w:val="75F56228"/>
    <w:multiLevelType w:val="hybridMultilevel"/>
    <w:lvl w:ilvl="0">
      <w:lvlJc w:val="left"/>
      <w:lvlText w:val="-"/>
      <w:numFmt w:val="bullet"/>
      <w:start w:val="1"/>
    </w:lvl>
  </w:abstractNum>
  <w:abstractNum w:abstractNumId="429">
    <w:nsid w:val="1C618271"/>
    <w:multiLevelType w:val="hybridMultilevel"/>
    <w:lvl w:ilvl="0">
      <w:lvlJc w:val="left"/>
      <w:lvlText w:val="%1"/>
      <w:numFmt w:val="decimal"/>
      <w:start w:val="1"/>
    </w:lvl>
    <w:lvl w:ilvl="1">
      <w:lvlJc w:val="left"/>
      <w:lvlText w:val="%2."/>
      <w:numFmt w:val="decimal"/>
      <w:start w:val="1"/>
    </w:lvl>
  </w:abstractNum>
  <w:abstractNum w:abstractNumId="430">
    <w:nsid w:val="6505F02E"/>
    <w:multiLevelType w:val="hybridMultilevel"/>
    <w:lvl w:ilvl="0">
      <w:lvlJc w:val="left"/>
      <w:lvlText w:val="%1."/>
      <w:numFmt w:val="decimal"/>
      <w:start w:val="4"/>
    </w:lvl>
    <w:lvl w:ilvl="1">
      <w:lvlJc w:val="left"/>
      <w:lvlText w:val="%2."/>
      <w:numFmt w:val="decimal"/>
      <w:start w:val="3"/>
    </w:lvl>
  </w:abstractNum>
  <w:abstractNum w:abstractNumId="431">
    <w:nsid w:val="2FE5D025"/>
    <w:multiLevelType w:val="hybridMultilevel"/>
    <w:lvl w:ilvl="0">
      <w:lvlJc w:val="left"/>
      <w:lvlText w:val="%1."/>
      <w:numFmt w:val="decimal"/>
      <w:start w:val="5"/>
    </w:lvl>
  </w:abstractNum>
  <w:abstractNum w:abstractNumId="432">
    <w:nsid w:val="30E1B1CF"/>
    <w:multiLevelType w:val="hybridMultilevel"/>
    <w:lvl w:ilvl="0">
      <w:lvlJc w:val="left"/>
      <w:lvlText w:val="%1."/>
      <w:numFmt w:val="decimal"/>
      <w:start w:val="6"/>
    </w:lvl>
  </w:abstractNum>
  <w:abstractNum w:abstractNumId="433">
    <w:nsid w:val="C7A9237"/>
    <w:multiLevelType w:val="hybridMultilevel"/>
    <w:lvl w:ilvl="0">
      <w:lvlJc w:val="left"/>
      <w:lvlText w:val="%1."/>
      <w:numFmt w:val="decimal"/>
      <w:start w:val="8"/>
    </w:lvl>
  </w:abstractNum>
  <w:abstractNum w:abstractNumId="434">
    <w:nsid w:val="676B3580"/>
    <w:multiLevelType w:val="hybridMultilevel"/>
    <w:lvl w:ilvl="0">
      <w:lvlJc w:val="left"/>
      <w:lvlText w:val="%1."/>
      <w:numFmt w:val="decimal"/>
      <w:start w:val="9"/>
    </w:lvl>
  </w:abstractNum>
  <w:abstractNum w:abstractNumId="435">
    <w:nsid w:val="3193C8F9"/>
    <w:multiLevelType w:val="hybridMultilevel"/>
    <w:lvl w:ilvl="0">
      <w:lvlJc w:val="left"/>
      <w:lvlText w:val="-"/>
      <w:numFmt w:val="bullet"/>
      <w:start w:val="1"/>
    </w:lvl>
  </w:abstractNum>
  <w:abstractNum w:abstractNumId="436">
    <w:nsid w:val="5FA6C6DC"/>
    <w:multiLevelType w:val="hybridMultilevel"/>
    <w:lvl w:ilvl="0">
      <w:lvlJc w:val="left"/>
      <w:lvlText w:val="-"/>
      <w:numFmt w:val="bullet"/>
      <w:start w:val="1"/>
    </w:lvl>
  </w:abstractNum>
  <w:abstractNum w:abstractNumId="437">
    <w:nsid w:val="77933F62"/>
    <w:multiLevelType w:val="hybridMultilevel"/>
    <w:lvl w:ilvl="0">
      <w:lvlJc w:val="left"/>
      <w:lvlText w:val="-"/>
      <w:numFmt w:val="bullet"/>
      <w:start w:val="1"/>
    </w:lvl>
  </w:abstractNum>
  <w:abstractNum w:abstractNumId="438">
    <w:nsid w:val="6CB4EE9C"/>
    <w:multiLevelType w:val="hybridMultilevel"/>
    <w:lvl w:ilvl="0">
      <w:lvlJc w:val="left"/>
      <w:lvlText w:val="-"/>
      <w:numFmt w:val="bullet"/>
      <w:start w:val="1"/>
    </w:lvl>
  </w:abstractNum>
  <w:abstractNum w:abstractNumId="439">
    <w:nsid w:val="6A6D56D7"/>
    <w:multiLevelType w:val="hybridMultilevel"/>
    <w:lvl w:ilvl="0">
      <w:lvlJc w:val="left"/>
      <w:lvlText w:val="-"/>
      <w:numFmt w:val="bullet"/>
      <w:start w:val="1"/>
    </w:lvl>
  </w:abstractNum>
  <w:abstractNum w:abstractNumId="440">
    <w:nsid w:val="5B727F19"/>
    <w:multiLevelType w:val="hybridMultilevel"/>
    <w:lvl w:ilvl="0">
      <w:lvlJc w:val="left"/>
      <w:lvlText w:val="%1."/>
      <w:numFmt w:val="decimal"/>
      <w:start w:val="1"/>
    </w:lvl>
  </w:abstractNum>
  <w:abstractNum w:abstractNumId="441">
    <w:nsid w:val="514E5CB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2019-12-14T17:32:16Z</dcterms:created>
  <dcterms:modified xsi:type="dcterms:W3CDTF">2019-12-14T17:32:16Z</dcterms:modified>
</cp:coreProperties>
</file>