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0"/>
        <w:spacing w:after="0"/>
        <w:rPr>
          <w:sz w:val="20"/>
          <w:szCs w:val="20"/>
          <w:color w:val="auto"/>
        </w:rPr>
      </w:pPr>
      <w:r>
        <w:rPr>
          <w:rFonts w:ascii="Arial" w:cs="Arial" w:eastAsia="Arial" w:hAnsi="Arial"/>
          <w:sz w:val="18"/>
          <w:szCs w:val="18"/>
          <w:b w:val="1"/>
          <w:bCs w:val="1"/>
          <w:color w:val="auto"/>
        </w:rPr>
        <w:t xml:space="preserve">As filed with the Securities and Exchange Commission on </w:t>
      </w:r>
      <w:r>
        <w:rPr>
          <w:rFonts w:ascii="Arial" w:cs="Arial" w:eastAsia="Arial" w:hAnsi="Arial"/>
          <w:sz w:val="18"/>
          <w:szCs w:val="18"/>
          <w:color w:val="auto"/>
        </w:rPr>
        <w:t>August 5, 2020</w:t>
      </w:r>
    </w:p>
    <w:p>
      <w:pPr>
        <w:spacing w:after="0" w:line="200" w:lineRule="exact"/>
        <w:rPr>
          <w:sz w:val="24"/>
          <w:szCs w:val="24"/>
          <w:color w:val="auto"/>
        </w:rPr>
      </w:pPr>
    </w:p>
    <w:p>
      <w:pPr>
        <w:ind w:left="8980"/>
        <w:spacing w:after="0"/>
        <w:rPr>
          <w:sz w:val="20"/>
          <w:szCs w:val="20"/>
          <w:color w:val="auto"/>
        </w:rPr>
      </w:pPr>
      <w:r>
        <w:rPr>
          <w:rFonts w:ascii="Arial" w:cs="Arial" w:eastAsia="Arial" w:hAnsi="Arial"/>
          <w:sz w:val="16"/>
          <w:szCs w:val="16"/>
          <w:b w:val="1"/>
          <w:bCs w:val="1"/>
          <w:color w:val="auto"/>
        </w:rPr>
        <w:t>Registration No. 333-_______</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URBAN ONE, INC.</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614" w:right="319" w:bottom="0" w:gutter="0" w:footer="0" w:header="0"/>
        </w:sectPr>
      </w:pPr>
    </w:p>
    <w:p>
      <w:pPr>
        <w:spacing w:after="0" w:line="196"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Delaware</w:t>
      </w:r>
    </w:p>
    <w:p>
      <w:pPr>
        <w:spacing w:after="0" w:line="16" w:lineRule="exact"/>
        <w:rPr>
          <w:sz w:val="24"/>
          <w:szCs w:val="24"/>
          <w:color w:val="auto"/>
        </w:rPr>
      </w:pPr>
    </w:p>
    <w:p>
      <w:pPr>
        <w:ind w:left="3240"/>
        <w:spacing w:after="0"/>
        <w:rPr>
          <w:sz w:val="20"/>
          <w:szCs w:val="20"/>
          <w:color w:val="auto"/>
        </w:rPr>
      </w:pPr>
      <w:r>
        <w:rPr>
          <w:rFonts w:ascii="Arial" w:cs="Arial" w:eastAsia="Arial" w:hAnsi="Arial"/>
          <w:sz w:val="17"/>
          <w:szCs w:val="17"/>
          <w:color w:val="auto"/>
        </w:rPr>
        <w:t>(State or other jursidiction</w:t>
      </w:r>
    </w:p>
    <w:p>
      <w:pPr>
        <w:spacing w:after="0" w:line="8"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52-1166660</w:t>
      </w:r>
    </w:p>
    <w:p>
      <w:pPr>
        <w:spacing w:after="0" w:line="13"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6040" w:space="720"/>
            <w:col w:w="4500"/>
          </w:cols>
          <w:pgMar w:left="320" w:top="614" w:right="319" w:bottom="0" w:gutter="0" w:footer="0" w:header="0"/>
          <w:type w:val="continuous"/>
        </w:sect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1010 Wayne Avenue, 14th Floor</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Silver Spring, Maryland 20910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429-3200</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D. Thompson</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1010 Wayne Avenue, 14th Floor</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Silver Spring, Maryland 20910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429-3200</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Kristopher Simpson</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1010 Wayne Avenue, 4th Floor</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Silver Spring, Maryland 20910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429-3200</w:t>
      </w:r>
    </w:p>
    <w:p>
      <w:pPr>
        <w:spacing w:after="0" w:line="200" w:lineRule="exact"/>
        <w:rPr>
          <w:sz w:val="24"/>
          <w:szCs w:val="24"/>
          <w:color w:val="auto"/>
        </w:rPr>
      </w:pPr>
    </w:p>
    <w:p>
      <w:pPr>
        <w:ind w:left="26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23" w:lineRule="exact"/>
        <w:rPr>
          <w:sz w:val="24"/>
          <w:szCs w:val="24"/>
          <w:color w:val="auto"/>
        </w:rPr>
      </w:pPr>
    </w:p>
    <w:p>
      <w:pPr>
        <w:ind w:right="20"/>
        <w:spacing w:after="0" w:line="293"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3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5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5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5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ectPr>
          <w:pgSz w:w="11900" w:h="16838" w:orient="portrait"/>
          <w:cols w:equalWidth="0" w:num="1">
            <w:col w:w="11260"/>
          </w:cols>
          <w:pgMar w:left="320" w:top="614" w:right="319" w:bottom="0" w:gutter="0" w:footer="0" w:header="0"/>
          <w:type w:val="continuous"/>
        </w:sectPr>
      </w:pPr>
    </w:p>
    <w:bookmarkStart w:id="1" w:name="page2"/>
    <w:bookmarkEnd w:id="1"/>
    <w:p>
      <w:pPr>
        <w:jc w:val="both"/>
        <w:spacing w:after="0" w:line="24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9" w:lineRule="exact"/>
        <w:rPr>
          <w:sz w:val="20"/>
          <w:szCs w:val="20"/>
          <w:color w:val="auto"/>
        </w:rPr>
      </w:pPr>
    </w:p>
    <w:p>
      <w:pPr>
        <w:spacing w:after="0"/>
        <w:tabs>
          <w:tab w:leader="none" w:pos="1940" w:val="left"/>
          <w:tab w:leader="none" w:pos="3640" w:val="left"/>
          <w:tab w:leader="none" w:pos="5640" w:val="left"/>
          <w:tab w:leader="none" w:pos="8040" w:val="left"/>
        </w:tabs>
        <w:rPr>
          <w:sz w:val="20"/>
          <w:szCs w:val="20"/>
          <w:color w:val="auto"/>
        </w:rPr>
      </w:pPr>
      <w:r>
        <w:rPr>
          <w:rFonts w:ascii="Arial" w:cs="Arial" w:eastAsia="Arial" w:hAnsi="Arial"/>
          <w:sz w:val="18"/>
          <w:szCs w:val="18"/>
          <w:color w:val="auto"/>
        </w:rPr>
        <w:t>Large accelerated filer [ ]</w:t>
        <w:tab/>
        <w:t>Accelerated filer [__]</w:t>
        <w:tab/>
        <w:t>Non-accelerated filer [X ]</w:t>
        <w:tab/>
        <w:t>Smaller reporting company [X]</w:t>
      </w:r>
      <w:r>
        <w:rPr>
          <w:sz w:val="20"/>
          <w:szCs w:val="20"/>
          <w:color w:val="auto"/>
        </w:rPr>
        <w:tab/>
      </w:r>
      <w:r>
        <w:rPr>
          <w:rFonts w:ascii="Arial" w:cs="Arial" w:eastAsia="Arial" w:hAnsi="Arial"/>
          <w:sz w:val="16"/>
          <w:szCs w:val="16"/>
          <w:color w:val="auto"/>
        </w:rPr>
        <w:t>Emerging growth company [ ]</w:t>
      </w:r>
    </w:p>
    <w:p>
      <w:pPr>
        <w:spacing w:after="0" w:line="20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462915</wp:posOffset>
            </wp:positionV>
            <wp:extent cx="715454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40" w:type="dxa"/>
            <w:vAlign w:val="bottom"/>
          </w:tcPr>
          <w:p>
            <w:pPr>
              <w:jc w:val="right"/>
              <w:ind w:right="125"/>
              <w:spacing w:after="0"/>
              <w:rPr>
                <w:sz w:val="20"/>
                <w:szCs w:val="20"/>
                <w:color w:val="auto"/>
              </w:rPr>
            </w:pPr>
            <w:r>
              <w:rPr>
                <w:rFonts w:ascii="Arial" w:cs="Arial" w:eastAsia="Arial" w:hAnsi="Arial"/>
                <w:sz w:val="15"/>
                <w:szCs w:val="15"/>
                <w:b w:val="1"/>
                <w:bCs w:val="1"/>
                <w:color w:val="auto"/>
              </w:rPr>
              <w:t>CALCULATION OF REGISTRATION FEE</w:t>
            </w:r>
          </w:p>
        </w:tc>
        <w:tc>
          <w:tcPr>
            <w:tcW w:w="24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48"/>
        </w:trPr>
        <w:tc>
          <w:tcPr>
            <w:tcW w:w="2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1"/>
              </w:rPr>
              <w:t>Proposed Maximum</w:t>
            </w:r>
          </w:p>
        </w:tc>
        <w:tc>
          <w:tcPr>
            <w:tcW w:w="24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1"/>
        </w:trPr>
        <w:tc>
          <w:tcPr>
            <w:tcW w:w="2460" w:type="dxa"/>
            <w:vAlign w:val="bottom"/>
          </w:tcPr>
          <w:p>
            <w:pPr>
              <w:jc w:val="center"/>
              <w:spacing w:after="0"/>
              <w:rPr>
                <w:sz w:val="20"/>
                <w:szCs w:val="20"/>
                <w:color w:val="auto"/>
              </w:rPr>
            </w:pPr>
            <w:r>
              <w:rPr>
                <w:rFonts w:ascii="Arial" w:cs="Arial" w:eastAsia="Arial" w:hAnsi="Arial"/>
                <w:sz w:val="15"/>
                <w:szCs w:val="15"/>
                <w:b w:val="1"/>
                <w:bCs w:val="1"/>
                <w:color w:val="auto"/>
                <w:w w:val="89"/>
              </w:rPr>
              <w:t>Title of Each Class of Securities to</w:t>
            </w:r>
          </w:p>
        </w:tc>
        <w:tc>
          <w:tcPr>
            <w:tcW w:w="1360" w:type="dxa"/>
            <w:vAlign w:val="bottom"/>
          </w:tcPr>
          <w:p>
            <w:pPr>
              <w:ind w:left="320"/>
              <w:spacing w:after="0"/>
              <w:rPr>
                <w:sz w:val="20"/>
                <w:szCs w:val="20"/>
                <w:color w:val="auto"/>
              </w:rPr>
            </w:pPr>
            <w:r>
              <w:rPr>
                <w:rFonts w:ascii="Arial" w:cs="Arial" w:eastAsia="Arial" w:hAnsi="Arial"/>
                <w:sz w:val="15"/>
                <w:szCs w:val="15"/>
                <w:b w:val="1"/>
                <w:bCs w:val="1"/>
                <w:color w:val="auto"/>
              </w:rPr>
              <w:t>Amount to be</w:t>
            </w:r>
          </w:p>
        </w:tc>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0"/>
              </w:rPr>
              <w:t>Aggregate Price Per</w:t>
            </w:r>
          </w:p>
        </w:tc>
        <w:tc>
          <w:tcPr>
            <w:tcW w:w="2440" w:type="dxa"/>
            <w:vAlign w:val="bottom"/>
          </w:tcPr>
          <w:p>
            <w:pPr>
              <w:jc w:val="center"/>
              <w:spacing w:after="0"/>
              <w:rPr>
                <w:sz w:val="20"/>
                <w:szCs w:val="20"/>
                <w:color w:val="auto"/>
              </w:rPr>
            </w:pPr>
            <w:r>
              <w:rPr>
                <w:rFonts w:ascii="Arial" w:cs="Arial" w:eastAsia="Arial" w:hAnsi="Arial"/>
                <w:sz w:val="15"/>
                <w:szCs w:val="15"/>
                <w:b w:val="1"/>
                <w:bCs w:val="1"/>
                <w:color w:val="auto"/>
                <w:w w:val="92"/>
              </w:rPr>
              <w:t>Proposed Maximum</w:t>
            </w:r>
          </w:p>
        </w:tc>
        <w:tc>
          <w:tcPr>
            <w:tcW w:w="1760" w:type="dxa"/>
            <w:vAlign w:val="bottom"/>
          </w:tcPr>
          <w:p>
            <w:pPr>
              <w:jc w:val="right"/>
              <w:ind w:right="65"/>
              <w:spacing w:after="0"/>
              <w:rPr>
                <w:sz w:val="20"/>
                <w:szCs w:val="20"/>
                <w:color w:val="auto"/>
              </w:rPr>
            </w:pPr>
            <w:r>
              <w:rPr>
                <w:rFonts w:ascii="Arial" w:cs="Arial" w:eastAsia="Arial" w:hAnsi="Arial"/>
                <w:sz w:val="15"/>
                <w:szCs w:val="15"/>
                <w:b w:val="1"/>
                <w:bCs w:val="1"/>
                <w:color w:val="auto"/>
                <w:w w:val="95"/>
              </w:rPr>
              <w:t>Amount of Registration</w:t>
            </w:r>
          </w:p>
        </w:tc>
      </w:tr>
      <w:tr>
        <w:trPr>
          <w:trHeight w:val="198"/>
        </w:trPr>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be Registered</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Registered (1)</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Share (1)</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Aggregate Offering Price (2) (3)</w:t>
            </w:r>
          </w:p>
        </w:tc>
        <w:tc>
          <w:tcPr>
            <w:tcW w:w="176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rPr>
              <w:t>Fee(3)</w:t>
            </w:r>
          </w:p>
        </w:tc>
      </w:tr>
      <w:tr>
        <w:trPr>
          <w:trHeight w:val="181"/>
        </w:trPr>
        <w:tc>
          <w:tcPr>
            <w:tcW w:w="2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1"/>
        </w:trPr>
        <w:tc>
          <w:tcPr>
            <w:tcW w:w="2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Class A Common Stock, $0.001 par</w:t>
            </w:r>
          </w:p>
        </w:tc>
        <w:tc>
          <w:tcPr>
            <w:tcW w:w="136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81"/>
        </w:trPr>
        <w:tc>
          <w:tcPr>
            <w:tcW w:w="2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value per share</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$ 50,000,000</w:t>
            </w:r>
          </w:p>
        </w:tc>
        <w:tc>
          <w:tcPr>
            <w:tcW w:w="3240" w:type="dxa"/>
            <w:vAlign w:val="bottom"/>
            <w:shd w:val="clear" w:color="auto" w:fill="CCEEFF"/>
          </w:tcPr>
          <w:p>
            <w:pPr>
              <w:jc w:val="right"/>
              <w:ind w:right="1205"/>
              <w:spacing w:after="0"/>
              <w:rPr>
                <w:sz w:val="20"/>
                <w:szCs w:val="20"/>
                <w:color w:val="auto"/>
              </w:rPr>
            </w:pPr>
            <w:r>
              <w:rPr>
                <w:rFonts w:ascii="Arial" w:cs="Arial" w:eastAsia="Arial" w:hAnsi="Arial"/>
                <w:sz w:val="15"/>
                <w:szCs w:val="15"/>
                <w:color w:val="auto"/>
              </w:rPr>
              <w:t>$-</w:t>
            </w:r>
          </w:p>
        </w:tc>
        <w:tc>
          <w:tcPr>
            <w:tcW w:w="24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$ 50,000,000</w:t>
            </w:r>
          </w:p>
        </w:tc>
        <w:tc>
          <w:tcPr>
            <w:tcW w:w="17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$6,490.00</w:t>
            </w:r>
          </w:p>
        </w:tc>
      </w:tr>
    </w:tbl>
    <w:p>
      <w:pPr>
        <w:spacing w:after="0" w:line="200" w:lineRule="exact"/>
        <w:rPr>
          <w:sz w:val="20"/>
          <w:szCs w:val="20"/>
          <w:color w:val="auto"/>
        </w:rPr>
      </w:pPr>
    </w:p>
    <w:p>
      <w:pPr>
        <w:spacing w:after="0" w:line="400" w:lineRule="exact"/>
        <w:rPr>
          <w:sz w:val="20"/>
          <w:szCs w:val="20"/>
          <w:color w:val="auto"/>
        </w:rPr>
      </w:pPr>
    </w:p>
    <w:p>
      <w:pPr>
        <w:ind w:left="180" w:hanging="180"/>
        <w:spacing w:after="0" w:line="276" w:lineRule="auto"/>
        <w:tabs>
          <w:tab w:leader="none" w:pos="180" w:val="left"/>
        </w:tabs>
        <w:numPr>
          <w:ilvl w:val="0"/>
          <w:numId w:val="1"/>
        </w:numPr>
        <w:rPr>
          <w:rFonts w:ascii="Arial" w:cs="Arial" w:eastAsia="Arial" w:hAnsi="Arial"/>
          <w:sz w:val="15"/>
          <w:szCs w:val="15"/>
          <w:color w:val="auto"/>
        </w:rPr>
      </w:pPr>
      <w:r>
        <w:rPr>
          <w:rFonts w:ascii="Arial" w:cs="Arial" w:eastAsia="Arial" w:hAnsi="Arial"/>
          <w:sz w:val="15"/>
          <w:szCs w:val="15"/>
          <w:color w:val="auto"/>
        </w:rPr>
        <w:t>Not specified pursuant to Form S-3 General Instruction II.D of Form S-3. The proposed maximum offering price per share will be determined from time to time by the Registrant in connection with, and at the time of, the issuance of the securities.</w:t>
      </w:r>
    </w:p>
    <w:p>
      <w:pPr>
        <w:spacing w:after="0" w:line="168" w:lineRule="exact"/>
        <w:rPr>
          <w:rFonts w:ascii="Arial" w:cs="Arial" w:eastAsia="Arial" w:hAnsi="Arial"/>
          <w:sz w:val="15"/>
          <w:szCs w:val="15"/>
          <w:color w:val="auto"/>
        </w:rPr>
      </w:pPr>
    </w:p>
    <w:p>
      <w:pPr>
        <w:jc w:val="both"/>
        <w:ind w:left="180" w:hanging="180"/>
        <w:spacing w:after="0" w:line="259" w:lineRule="auto"/>
        <w:tabs>
          <w:tab w:leader="none" w:pos="1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Such indeterminate principal amount, as may from time to time be issued at indeterminate prices in U.S. Dollars. The aggregate maximum offering price of all securities issued pursuant to this registration statement shall not have a maximum aggregate offering price that exceeds $50,000,000. In addition, pursuant to Rule 416 under the Securities Act of 1933, as amended (the "Securities Act"), the securities being registered hereunder include such indeterminate number of securities as may be issuable with respect to the securities being registered hereunder as a result of splits, security dividends or similar transactions.</w:t>
      </w:r>
    </w:p>
    <w:p>
      <w:pPr>
        <w:spacing w:after="0" w:line="182" w:lineRule="exact"/>
        <w:rPr>
          <w:rFonts w:ascii="Arial" w:cs="Arial" w:eastAsia="Arial" w:hAnsi="Arial"/>
          <w:sz w:val="15"/>
          <w:szCs w:val="15"/>
          <w:color w:val="auto"/>
        </w:rPr>
      </w:pPr>
    </w:p>
    <w:p>
      <w:pPr>
        <w:ind w:left="180" w:hanging="180"/>
        <w:spacing w:after="0"/>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has estimated the proposed maximum aggregate offering price solely for the purpose of calculating the registration fee pursuant to Rule 457(o) under the Securities Act.</w:t>
      </w:r>
    </w:p>
    <w:p>
      <w:pPr>
        <w:spacing w:after="0" w:line="200" w:lineRule="exact"/>
        <w:rPr>
          <w:sz w:val="20"/>
          <w:szCs w:val="20"/>
          <w:color w:val="auto"/>
        </w:rPr>
      </w:pPr>
    </w:p>
    <w:p>
      <w:pPr>
        <w:spacing w:after="0" w:line="226" w:lineRule="exact"/>
        <w:rPr>
          <w:sz w:val="20"/>
          <w:szCs w:val="20"/>
          <w:color w:val="auto"/>
        </w:rPr>
      </w:pPr>
    </w:p>
    <w:p>
      <w:pPr>
        <w:jc w:val="both"/>
        <w:ind w:left="200" w:right="200"/>
        <w:spacing w:after="0" w:line="246"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715454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 w:name="page4"/>
    <w:bookmarkEnd w:id="3"/>
    <w:p>
      <w:pPr>
        <w:jc w:val="both"/>
        <w:spacing w:after="0" w:line="249"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AUGUST 5,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URBAN 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12065</wp:posOffset>
            </wp:positionV>
            <wp:extent cx="1715135" cy="969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513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Class A Common Stock</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from time to time, offer to sell up to $50,000,000 of shares of our Class A common stock described in this prospectus at prices and on terms described in one or more supplements to this prospectus.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Each time we sell securities pursuant to this prospectus, we will provide the specific terms of the securities offered in a supplement to this prospectus. The prospectus supplements will also describe the specific manner in which we will offer these securities and may also supplement, update or amend information contained in this prospectus. You should read this prospectus and any related prospectus supplement carefully before you invest in our securities. This prospectus may not be used to offer and sell our securities unless accompanied by a prospectus supplement describing the method and terms of the offering of those securities being offered.</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Shares of our Class A common stock may be offered and sold by us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August 3, 2020, the aggregate market value of outstanding shares of our Class A common stocks held by-non-affiliates was approximately $18,724,474 based on 1,582,359 shares of outstanding Class A common stock, of which approximately 1,477,859 shares were held by non-affiliates, and a price of $12.67per share, which was the last reported sale price of our Class A common stock on the NASDAQ Stock Market on August 3, 2020. In addition, the aggregate market value of our outstanding shares of our Class D common stock held by non-affiliates was approximately $28,507,937 based on 37,520,026 shares of outstanding Class D common stock, of which approximately 17,706,793 shares were held by non-affiliates, and a price of $1.61 per share, which was the last reported sale price of our Class D common stock on the NASDAQ Stock Market on August 03, 2020. We are not registering shares of our Class D common stock under this prospectus or any supplement hereto.</w:t>
      </w:r>
    </w:p>
    <w:p>
      <w:pPr>
        <w:spacing w:after="0" w:line="1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Class A common stock is traded on the NASDAQ Stock Market under the symbol "UONE." Our Class D common stock is traded on the NASDAQ Stock Market under the symbol “UONEK.”</w:t>
      </w:r>
    </w:p>
    <w:p>
      <w:pPr>
        <w:spacing w:after="0" w:line="153"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color w:val="auto"/>
        </w:rPr>
        <w:t>An investment in our securities involves a high degree of risk. Before you invest, you should carefully read this prospectus, including the Risk Factors beginning on page 3 of this prospectus, together with any prospectus supplement and the documents we incorporate by reference.</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715454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73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060" w:type="dxa"/>
            <w:vAlign w:val="bottom"/>
          </w:tcPr>
          <w:p>
            <w:pPr>
              <w:jc w:val="right"/>
              <w:ind w:right="3625"/>
              <w:spacing w:after="0"/>
              <w:rPr>
                <w:sz w:val="20"/>
                <w:szCs w:val="20"/>
                <w:color w:val="auto"/>
              </w:rPr>
            </w:pPr>
            <w:r>
              <w:rPr>
                <w:rFonts w:ascii="Arial" w:cs="Arial" w:eastAsia="Arial" w:hAnsi="Arial"/>
                <w:sz w:val="15"/>
                <w:szCs w:val="15"/>
                <w:b w:val="1"/>
                <w:bCs w:val="1"/>
                <w:color w:val="auto"/>
              </w:rPr>
              <w:t>TABLE OF CONTENTS</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1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ABOUT THIS PROSPECTUS</w:t>
            </w:r>
          </w:p>
        </w:tc>
        <w:tc>
          <w:tcPr>
            <w:tcW w:w="6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PROSPECTUS SUMMARY</w:t>
            </w:r>
          </w:p>
        </w:tc>
        <w:tc>
          <w:tcPr>
            <w:tcW w:w="6060" w:type="dxa"/>
            <w:vAlign w:val="bottom"/>
          </w:tcPr>
          <w:p>
            <w:pPr>
              <w:jc w:val="right"/>
              <w:ind w:right="2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SPECIAL NOTE REGARDING FORWARD-LOOKING STATEMENTS</w:t>
            </w:r>
          </w:p>
        </w:tc>
        <w:tc>
          <w:tcPr>
            <w:tcW w:w="6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RISK FACTORS</w:t>
            </w:r>
          </w:p>
        </w:tc>
        <w:tc>
          <w:tcPr>
            <w:tcW w:w="6060" w:type="dxa"/>
            <w:vAlign w:val="bottom"/>
          </w:tcPr>
          <w:p>
            <w:pPr>
              <w:jc w:val="right"/>
              <w:ind w:right="25"/>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USE OF PROCEEDS</w:t>
            </w:r>
          </w:p>
        </w:tc>
        <w:tc>
          <w:tcPr>
            <w:tcW w:w="6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PLAN OF DISTRIBUTION</w:t>
            </w:r>
          </w:p>
        </w:tc>
        <w:tc>
          <w:tcPr>
            <w:tcW w:w="6060" w:type="dxa"/>
            <w:vAlign w:val="bottom"/>
          </w:tcPr>
          <w:p>
            <w:pPr>
              <w:jc w:val="right"/>
              <w:ind w:right="25"/>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DESCRIPTION OF SECURITIES TO BE REGISTERED</w:t>
            </w:r>
          </w:p>
        </w:tc>
        <w:tc>
          <w:tcPr>
            <w:tcW w:w="6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LEGAL MATTERS</w:t>
            </w:r>
          </w:p>
        </w:tc>
        <w:tc>
          <w:tcPr>
            <w:tcW w:w="6060" w:type="dxa"/>
            <w:vAlign w:val="bottom"/>
          </w:tcPr>
          <w:p>
            <w:pPr>
              <w:jc w:val="right"/>
              <w:ind w:right="25"/>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EXPERTS</w:t>
            </w:r>
          </w:p>
        </w:tc>
        <w:tc>
          <w:tcPr>
            <w:tcW w:w="6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INCORPORATION BY REFERENCE</w:t>
            </w:r>
          </w:p>
        </w:tc>
        <w:tc>
          <w:tcPr>
            <w:tcW w:w="6060" w:type="dxa"/>
            <w:vAlign w:val="bottom"/>
          </w:tcPr>
          <w:p>
            <w:pPr>
              <w:jc w:val="right"/>
              <w:ind w:right="25"/>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WHERE YOU CAN FIND MORE INFORMATION</w:t>
            </w:r>
          </w:p>
        </w:tc>
        <w:tc>
          <w:tcPr>
            <w:tcW w:w="60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180" w:type="dxa"/>
            <w:vAlign w:val="bottom"/>
            <w:tcBorders>
              <w:bottom w:val="single" w:sz="8" w:color="auto"/>
            </w:tcBorders>
          </w:tcPr>
          <w:p>
            <w:pPr>
              <w:spacing w:after="0"/>
              <w:rPr>
                <w:sz w:val="13"/>
                <w:szCs w:val="13"/>
                <w:color w:val="auto"/>
              </w:rPr>
            </w:pPr>
          </w:p>
        </w:tc>
        <w:tc>
          <w:tcPr>
            <w:tcW w:w="6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35"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from time to time, we may sell any combination of the securities described in this prospectus in one or more offerings, up to a total dollar amount of $50,000,000. We have provided to you in this prospectus a general description of the securities that may be offered. Each time securities are sold pursuant to this prospectus, we will provide a prospectus supplement that will contain specific information about the terms of the offering. We may also add, update or change in the prospectus supplement any of the information contained in this prospectus.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should rely only on the information contained in this document or to which we have referred you. We have not authorized anyone to provide you with different or inconsistent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any prospectus supplement, the documents incorporated by reference in this prospectus and any prospectus supplement, and any free writing prospectus is accurate only as of the date of those respective documents. You should read this prospectus, any prospectus supplement, the documents incorporated by reference in this prospectus and any prospectus supplement, and any free writing prospectus when making your investment decision. You should also read and consider the information in the documents we have referred you to in the prospectus entitled "Incorporation by Reference."</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permitted by the rules and regulations of the SEC, the registration statement that contains this prospectus incorporates by reference important information that is not contained in this prospectus but that is contained in documents that we file with the SEC. You may read and obtain copies of these documents and the other reports we file with the SEC at the SEC's web site, www.sec.gov or at the SEC's offices described below under the heading "Where You Can Find More Information."</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distribution or possession of this prospectus in or from certain jurisdictions may be restricted by law. This prospectus is not an offer to sell these securities and is not soliciting an offer to buy these securities in any jurisdiction where the offer or sale is not permitted or where the person making the offer or sale is not qualified to do so or to any person to whom it is not permitted to make such offer or sale.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functional currency is the United States dollar. All references to "dollars" or "$" are to United States dollars.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"Urban One" and "our" refer to Urban One, Inc., a Delaware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Our Business</w:t>
      </w:r>
    </w:p>
    <w:p>
      <w:pPr>
        <w:spacing w:after="0" w:line="204" w:lineRule="exact"/>
        <w:rPr>
          <w:sz w:val="20"/>
          <w:szCs w:val="20"/>
          <w:color w:val="auto"/>
        </w:rPr>
      </w:pPr>
    </w:p>
    <w:p>
      <w:pPr>
        <w:jc w:val="both"/>
        <w:ind w:firstLine="244"/>
        <w:spacing w:after="0" w:line="252" w:lineRule="auto"/>
        <w:rPr>
          <w:sz w:val="20"/>
          <w:szCs w:val="20"/>
          <w:color w:val="auto"/>
        </w:rPr>
      </w:pPr>
      <w:r>
        <w:rPr>
          <w:rFonts w:ascii="Arial" w:cs="Arial" w:eastAsia="Arial" w:hAnsi="Arial"/>
          <w:sz w:val="17"/>
          <w:szCs w:val="17"/>
          <w:color w:val="auto"/>
        </w:rPr>
        <w:t>Urban One, Inc. (a Delaware corporation referred to as “Urban One”) and its subsidiaries (collectively, the “Company”) is an urban-oriented, multi-media company that primarily targets African-American and urban consumers. Our core business is our radio broadcasting franchise which is the largest radio broadcasting operation that primarily targets African-American and urban listeners. As of June 30, 2020, we owned and/or operated 61 broadcast stations (including all HD stations, translator stations and the low power television station we operate) located in 14 of the most populous African-American markets in the United States. While a core source of our revenue has historically been and remains the sale of local and national advertising for broadcast on our radio stations, our strategy is to operate the premier multi-media entertainment and information content provider targeting African-American and urban consumers. Thus, we have diversified our revenue streams by making acquisitions and investments in other complementary media properties. Our diverse media and entertainment interests include TV One, LLC (“TV One”), an African-American targeted cable television network; our 80.0% ownership interest in Reach Media, Inc. (“Reach Media”) which operates the Rickey Smiley Morning Show and our other syndicated programming assets, including the Russ Parr Morning Show and the DL Hughley Show; and Interactive One, LLC (“Interactive One”), our wholly owned digital platform serving the African-American community through social content, news, information, and entertainment websites, including its Cassius and Bossip, HipHopWired and MadameNoire digital platforms and brands. We also hold a minority ownership interest in MGM National Harbor, a gaming resort located in Prince George’s County, Maryland. Through our national multi-media operations, we provide advertisers with a unique and powerful delivery mechanism to the African-American and urban audiences.</w:t>
      </w:r>
    </w:p>
    <w:p>
      <w:pPr>
        <w:spacing w:after="0" w:line="176" w:lineRule="exact"/>
        <w:rPr>
          <w:sz w:val="20"/>
          <w:szCs w:val="20"/>
          <w:color w:val="auto"/>
        </w:rPr>
      </w:pPr>
    </w:p>
    <w:p>
      <w:pPr>
        <w:jc w:val="both"/>
        <w:ind w:firstLine="244"/>
        <w:spacing w:after="0" w:line="249" w:lineRule="auto"/>
        <w:rPr>
          <w:sz w:val="20"/>
          <w:szCs w:val="20"/>
          <w:color w:val="auto"/>
        </w:rPr>
      </w:pPr>
      <w:r>
        <w:rPr>
          <w:rFonts w:ascii="Arial" w:cs="Arial" w:eastAsia="Arial" w:hAnsi="Arial"/>
          <w:sz w:val="18"/>
          <w:szCs w:val="18"/>
          <w:color w:val="auto"/>
        </w:rPr>
        <w:t>On January 19, 2019, the Company launched CLEO TV, a lifestyle and entertainment network targeting Millennial and Gen X women of color. CLEO TV offers quality content that defies negative and cultural stereotypes of today’s modern women. The results of CLEO TV’s operations will be reflected in the Company’s cable television segment.</w:t>
      </w:r>
    </w:p>
    <w:p>
      <w:pPr>
        <w:spacing w:after="0" w:line="169" w:lineRule="exact"/>
        <w:rPr>
          <w:sz w:val="20"/>
          <w:szCs w:val="20"/>
          <w:color w:val="auto"/>
        </w:rPr>
      </w:pPr>
    </w:p>
    <w:p>
      <w:pPr>
        <w:jc w:val="both"/>
        <w:ind w:firstLine="249"/>
        <w:spacing w:after="0" w:line="249" w:lineRule="auto"/>
        <w:rPr>
          <w:sz w:val="20"/>
          <w:szCs w:val="20"/>
          <w:color w:val="auto"/>
        </w:rPr>
      </w:pPr>
      <w:r>
        <w:rPr>
          <w:rFonts w:ascii="Arial" w:cs="Arial" w:eastAsia="Arial" w:hAnsi="Arial"/>
          <w:sz w:val="18"/>
          <w:szCs w:val="18"/>
          <w:color w:val="auto"/>
        </w:rPr>
        <w:t>Our core radio broadcasting franchise operates under the brand “Radio One.” We also operate our other brands, such as TV One, Reach Media and Interactive One, while developing additional branding reflective of our diverse media operations and targeting our African-American and urban audiences.</w:t>
      </w:r>
    </w:p>
    <w:p>
      <w:pPr>
        <w:spacing w:after="0" w:line="169" w:lineRule="exact"/>
        <w:rPr>
          <w:sz w:val="20"/>
          <w:szCs w:val="20"/>
          <w:color w:val="auto"/>
        </w:rPr>
      </w:pPr>
    </w:p>
    <w:p>
      <w:pPr>
        <w:jc w:val="both"/>
        <w:ind w:firstLine="249"/>
        <w:spacing w:after="0" w:line="245" w:lineRule="auto"/>
        <w:rPr>
          <w:sz w:val="20"/>
          <w:szCs w:val="20"/>
          <w:color w:val="auto"/>
        </w:rPr>
      </w:pPr>
      <w:r>
        <w:rPr>
          <w:rFonts w:ascii="Arial" w:cs="Arial" w:eastAsia="Arial" w:hAnsi="Arial"/>
          <w:sz w:val="18"/>
          <w:szCs w:val="18"/>
          <w:color w:val="auto"/>
        </w:rPr>
        <w:t>Please carefully read both this prospectus and any prospectus supplement together with the additional information described below under "Incorporation by Reference" and "Where You Can Find More Information." Our principal corporate and executive offices are located at 1010 Wayne Avenue, 14th Floor, Silver Spring, Maryland 20910. Our telephone number is (301) 429-3200. We maintain a website at http://www.urban1.com. Information contained on our website is not part of this prospectus.</w:t>
      </w:r>
    </w:p>
    <w:p>
      <w:pPr>
        <w:sectPr>
          <w:pgSz w:w="11900" w:h="16838" w:orient="portrait"/>
          <w:cols w:equalWidth="0" w:num="1">
            <w:col w:w="10660"/>
          </w:cols>
          <w:pgMar w:left="580" w:top="320" w:right="659" w:bottom="1440" w:gutter="0" w:footer="0" w:header="0"/>
        </w:sect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46990</wp:posOffset>
            </wp:positionV>
            <wp:extent cx="715454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660"/>
          </w:cols>
          <w:pgMar w:left="580" w:top="320" w:right="659" w:bottom="1440" w:gutter="0" w:footer="0" w:header="0"/>
          <w:type w:val="continuous"/>
        </w:sectPr>
      </w:pPr>
    </w:p>
    <w:bookmarkStart w:id="6" w:name="page7"/>
    <w:bookmarkEnd w:id="6"/>
    <w:p>
      <w:pPr>
        <w:jc w:val="center"/>
        <w:ind w:right="-3"/>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0" w:lineRule="exact"/>
        <w:rPr>
          <w:sz w:val="20"/>
          <w:szCs w:val="20"/>
          <w:color w:val="auto"/>
        </w:rPr>
      </w:pPr>
    </w:p>
    <w:p>
      <w:pPr>
        <w:spacing w:after="0" w:line="207" w:lineRule="exact"/>
        <w:rPr>
          <w:sz w:val="20"/>
          <w:szCs w:val="20"/>
          <w:color w:val="auto"/>
        </w:rPr>
      </w:pPr>
    </w:p>
    <w:p>
      <w:pPr>
        <w:jc w:val="both"/>
        <w:ind w:left="4" w:firstLine="244"/>
        <w:spacing w:after="0" w:line="253" w:lineRule="auto"/>
        <w:rPr>
          <w:sz w:val="20"/>
          <w:szCs w:val="20"/>
          <w:color w:val="auto"/>
        </w:rPr>
      </w:pPr>
      <w:r>
        <w:rPr>
          <w:rFonts w:ascii="Arial" w:cs="Arial" w:eastAsia="Arial" w:hAnsi="Arial"/>
          <w:sz w:val="17"/>
          <w:szCs w:val="17"/>
          <w:color w:val="auto"/>
        </w:rPr>
        <w:t>This document, and the documents incorporated by reference into this prospectus, contains forward-looking statements within the meaning of Section 27A of the Securities Act of 1933, as amended, and Section 21E of the Securities Exchange Act of 1934, as amended. These forward-looking statements do not relay historical facts, but rather reflect our current expectations concerning future operations, results and events. All statements other than statements of historical fact are "forward-looking statements" including any projections of earnings, revenues or other financial items; any statements of the plans, strategies and objectives of management for future operations; any statements concerning proposed new services or developments; any statements regarding future economic conditions or performance; any statements of belief; and any statements of assumptions underlying any of the foregoing. You can identify some of these forward-looking statements by our use of words such as "anticipates," "expects," "intends," "plans," "believes," "seeks," "likely," "may," "estimates" and similar expressions. You can also identify a forward-looking statement in that such statements discuss matters in a way that anticipates operations, results or events that have not already occurred but rather will or may occur in future periods. We cannot guarantee that we will achieve any forward-looking plans, intentions, results, operations or expectations. Although these statements are based upon assumptions we consider reasonable, as they contemplate future events, they are subject to risks and uncertainties, some of which are beyond our control that could cause actual results to differ materially from those forecasted or anticipated in the forward-looking statements. These risks, uncertainties and factors include (in no particular order), but are not limited to:</w:t>
      </w:r>
    </w:p>
    <w:p>
      <w:pPr>
        <w:spacing w:after="0" w:line="177" w:lineRule="exact"/>
        <w:rPr>
          <w:sz w:val="20"/>
          <w:szCs w:val="20"/>
          <w:color w:val="auto"/>
        </w:rPr>
      </w:pPr>
    </w:p>
    <w:p>
      <w:pPr>
        <w:ind w:left="284" w:right="60" w:hanging="284"/>
        <w:spacing w:after="0" w:line="276" w:lineRule="auto"/>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economic volatility, financial market unpredictability and continued fluctuations in the United States and other world economies that may affect our business and financial condition, and the business and financial conditions of our advertisers;</w:t>
      </w:r>
    </w:p>
    <w:p>
      <w:pPr>
        <w:spacing w:after="0" w:line="168"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high degree of leverage and potential inability to finance strategic transactions given fluctuations in market conditions;</w:t>
      </w:r>
    </w:p>
    <w:p>
      <w:pPr>
        <w:spacing w:after="0" w:line="211" w:lineRule="exact"/>
        <w:rPr>
          <w:rFonts w:ascii="Arial" w:cs="Arial" w:eastAsia="Arial" w:hAnsi="Arial"/>
          <w:sz w:val="15"/>
          <w:szCs w:val="15"/>
          <w:color w:val="auto"/>
        </w:rPr>
      </w:pPr>
    </w:p>
    <w:p>
      <w:pPr>
        <w:ind w:left="284" w:right="280" w:hanging="284"/>
        <w:spacing w:after="0" w:line="276" w:lineRule="auto"/>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fluctuations in the local economies of the markets in which we operate (particularly our largest markets, Atlanta; Baltimore; Houston; and Washington, DC) that could negatively impact our ability to meet our cash needs and our ability to maintain compliance with our debt covenants;</w:t>
      </w:r>
    </w:p>
    <w:p>
      <w:pPr>
        <w:spacing w:after="0" w:line="168"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fluctuations in the demand for advertising across our various media;</w:t>
      </w:r>
    </w:p>
    <w:p>
      <w:pPr>
        <w:spacing w:after="0" w:line="211"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risks associated with the implementation and execution of our business diversification strategy;</w:t>
      </w:r>
    </w:p>
    <w:p>
      <w:pPr>
        <w:spacing w:after="0" w:line="211"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media audience ratings and measurement technologies and methodologies;</w:t>
      </w:r>
    </w:p>
    <w:p>
      <w:pPr>
        <w:spacing w:after="0" w:line="211"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regulation by the Federal Communications Commission ("FCC") relative to maintaining our broadcasting licenses, enacting media ownership rules and enforcing of indecency rules;</w:t>
      </w:r>
    </w:p>
    <w:p>
      <w:pPr>
        <w:spacing w:after="0" w:line="234" w:lineRule="exact"/>
        <w:rPr>
          <w:rFonts w:ascii="Arial" w:cs="Arial" w:eastAsia="Arial" w:hAnsi="Arial"/>
          <w:sz w:val="13"/>
          <w:szCs w:val="13"/>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our key personnel and on-air talent;</w:t>
      </w:r>
    </w:p>
    <w:p>
      <w:pPr>
        <w:spacing w:after="0" w:line="211"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increases in the costs of our programming, including on-air talent and content acquisitions costs;</w:t>
      </w:r>
    </w:p>
    <w:p>
      <w:pPr>
        <w:spacing w:after="0" w:line="211"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losses that may be incurred due to impairment charges against our broadcasting licenses, goodwill, and other intangible assets;</w:t>
      </w:r>
    </w:p>
    <w:p>
      <w:pPr>
        <w:spacing w:after="0" w:line="211" w:lineRule="exact"/>
        <w:rPr>
          <w:rFonts w:ascii="Arial" w:cs="Arial" w:eastAsia="Arial" w:hAnsi="Arial"/>
          <w:sz w:val="15"/>
          <w:szCs w:val="15"/>
          <w:color w:val="auto"/>
        </w:rPr>
      </w:pPr>
    </w:p>
    <w:p>
      <w:pPr>
        <w:ind w:left="284" w:right="180" w:hanging="284"/>
        <w:spacing w:after="0" w:line="276" w:lineRule="auto"/>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increased competition for advertising revenues with other radio stations, broadcast and cable television, newspapers and magazines, outdoor advertising, direct mail, internet radio, satellite radio, smart phones, tablets, and other wireless media, the internet, social media, and other forms of advertising;</w:t>
      </w:r>
    </w:p>
    <w:p>
      <w:pPr>
        <w:spacing w:after="0" w:line="168" w:lineRule="exact"/>
        <w:rPr>
          <w:rFonts w:ascii="Arial" w:cs="Arial" w:eastAsia="Arial" w:hAnsi="Arial"/>
          <w:sz w:val="15"/>
          <w:szCs w:val="15"/>
          <w:color w:val="auto"/>
        </w:rPr>
      </w:pPr>
    </w:p>
    <w:p>
      <w:pPr>
        <w:ind w:left="284" w:hanging="279"/>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impact of our acquisitions, dispositions and similar transactions, as well as consolidation in industries in which we and our advertisers operate;</w:t>
      </w:r>
    </w:p>
    <w:p>
      <w:pPr>
        <w:spacing w:after="0" w:line="211" w:lineRule="exact"/>
        <w:rPr>
          <w:rFonts w:ascii="Arial" w:cs="Arial" w:eastAsia="Arial" w:hAnsi="Arial"/>
          <w:sz w:val="15"/>
          <w:szCs w:val="15"/>
          <w:color w:val="auto"/>
        </w:rPr>
      </w:pPr>
    </w:p>
    <w:p>
      <w:pPr>
        <w:ind w:left="284" w:right="140" w:hanging="279"/>
        <w:spacing w:after="0" w:line="276" w:lineRule="auto"/>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developments and/or changes in laws and regulations, such as the California Consumer Privacy Act or other similar federal or state regulation through legislative action and revised rules and standards;</w:t>
      </w:r>
    </w:p>
    <w:p>
      <w:pPr>
        <w:spacing w:after="0" w:line="168" w:lineRule="exact"/>
        <w:rPr>
          <w:rFonts w:ascii="Arial" w:cs="Arial" w:eastAsia="Arial" w:hAnsi="Arial"/>
          <w:sz w:val="15"/>
          <w:szCs w:val="15"/>
          <w:color w:val="auto"/>
        </w:rPr>
      </w:pPr>
    </w:p>
    <w:p>
      <w:pPr>
        <w:ind w:left="284" w:right="20" w:hanging="279"/>
        <w:spacing w:after="0" w:line="276" w:lineRule="auto"/>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disruptions to our technology network including computer systems and software, whether by man-made or other disruptions of our operating systems, structures or equipment as well as natural events such as severe weather, fires, floods and earthquakes;</w:t>
      </w:r>
    </w:p>
    <w:p>
      <w:pPr>
        <w:spacing w:after="0" w:line="168" w:lineRule="exact"/>
        <w:rPr>
          <w:rFonts w:ascii="Arial" w:cs="Arial" w:eastAsia="Arial" w:hAnsi="Arial"/>
          <w:sz w:val="15"/>
          <w:szCs w:val="15"/>
          <w:color w:val="auto"/>
        </w:rPr>
      </w:pPr>
    </w:p>
    <w:p>
      <w:pPr>
        <w:ind w:left="284" w:right="960" w:hanging="279"/>
        <w:spacing w:after="0" w:line="276" w:lineRule="auto"/>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disruptions and uncertainties related to our business operations and our sales resulting from quarantines of employees, customers and suppliers in areas affected by the coronavirus/COVID-19 outbreak and reduced consumer spending given uncertainty around the duration of the virus’ impact; and</w:t>
      </w:r>
    </w:p>
    <w:p>
      <w:pPr>
        <w:spacing w:after="0" w:line="168" w:lineRule="exact"/>
        <w:rPr>
          <w:rFonts w:ascii="Arial" w:cs="Arial" w:eastAsia="Arial" w:hAnsi="Arial"/>
          <w:sz w:val="15"/>
          <w:szCs w:val="15"/>
          <w:color w:val="auto"/>
        </w:rPr>
      </w:pPr>
    </w:p>
    <w:p>
      <w:pPr>
        <w:ind w:left="284" w:right="400" w:hanging="284"/>
        <w:spacing w:after="0" w:line="276" w:lineRule="auto"/>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other factors mentioned in our filings with the Securities and Exchange Commission ("SEC") including the factors discussed in detail in the section titled "Risk Factors," in our Annual Report on Form 10-K for the year ended December 31, 2019.</w:t>
      </w:r>
    </w:p>
    <w:p>
      <w:pPr>
        <w:spacing w:after="0" w:line="160" w:lineRule="exact"/>
        <w:rPr>
          <w:sz w:val="20"/>
          <w:szCs w:val="20"/>
          <w:color w:val="auto"/>
        </w:rPr>
      </w:pPr>
    </w:p>
    <w:p>
      <w:pPr>
        <w:ind w:left="264" w:right="680"/>
        <w:spacing w:after="0" w:line="293" w:lineRule="auto"/>
        <w:rPr>
          <w:sz w:val="20"/>
          <w:szCs w:val="20"/>
          <w:color w:val="auto"/>
        </w:rPr>
      </w:pPr>
      <w:r>
        <w:rPr>
          <w:rFonts w:ascii="Arial" w:cs="Arial" w:eastAsia="Arial" w:hAnsi="Arial"/>
          <w:sz w:val="17"/>
          <w:szCs w:val="17"/>
          <w:color w:val="auto"/>
        </w:rPr>
        <w:t>You should not place undue reliance on these forward-looking statements, which reflect our views as of the date of this prospectus. We take no obligation to publicly update or revise any forward-looking statements because of new information, future events or otherwise.</w:t>
      </w:r>
    </w:p>
    <w:p>
      <w:pPr>
        <w:spacing w:after="0" w:line="200" w:lineRule="exact"/>
        <w:rPr>
          <w:sz w:val="20"/>
          <w:szCs w:val="20"/>
          <w:color w:val="auto"/>
        </w:rPr>
      </w:pPr>
    </w:p>
    <w:p>
      <w:pPr>
        <w:spacing w:after="0" w:line="283" w:lineRule="exact"/>
        <w:rPr>
          <w:sz w:val="20"/>
          <w:szCs w:val="20"/>
          <w:color w:val="auto"/>
        </w:rPr>
      </w:pPr>
    </w:p>
    <w:p>
      <w:pPr>
        <w:jc w:val="center"/>
        <w:ind w:right="-3"/>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15454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4"/>
          </w:cols>
          <w:pgMar w:left="316" w:top="320"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an enterprise as large and complex as ours, a wide range of factors could affect our business and financial results. The factors described below are considered to be the most significant, but are not listed in any particular order. There may be other currently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The following discussion of risk factors should be read in conjunction with "Management's Discussion and Analysis of Financial Condition and Results of Operations" and the consolidated financial statements and related notes attached to our Annual Report on Form 10-K for the year ended December 31, 2019.</w:t>
      </w:r>
    </w:p>
    <w:p>
      <w:pPr>
        <w:spacing w:after="0" w:line="3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the Nature and Operations of Our Business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state and condition of the global financial markets and fluctuations in the global and U.S. economies may have an unpredictable impact on our business and financial condition.</w:t>
      </w:r>
    </w:p>
    <w:p>
      <w:pPr>
        <w:spacing w:after="0" w:line="157" w:lineRule="exact"/>
        <w:rPr>
          <w:sz w:val="20"/>
          <w:szCs w:val="20"/>
          <w:color w:val="auto"/>
        </w:rPr>
      </w:pPr>
    </w:p>
    <w:p>
      <w:pPr>
        <w:jc w:val="both"/>
        <w:ind w:firstLine="244"/>
        <w:spacing w:after="0" w:line="253" w:lineRule="auto"/>
        <w:rPr>
          <w:sz w:val="20"/>
          <w:szCs w:val="20"/>
          <w:color w:val="auto"/>
        </w:rPr>
      </w:pPr>
      <w:r>
        <w:rPr>
          <w:rFonts w:ascii="Arial" w:cs="Arial" w:eastAsia="Arial" w:hAnsi="Arial"/>
          <w:sz w:val="17"/>
          <w:szCs w:val="17"/>
          <w:color w:val="auto"/>
        </w:rPr>
        <w:t>From time to time, the global equity and credit markets experience high levels of volatility and disruption. At various points in time, the markets have produced downward pressure on stock prices and limited credit capacity for certain companies without regard to those companies' underlying financial strength. In addition, advertising is a discretionary and variable business expense. Spending on advertising tends to decline disproportionately during an economic recession or downturn as compared to other types of business spending. Consequently, a downturn in the United States economy generally has an adverse effect on our advertising revenue and, therefore, our results of operations. A recession or downturn in the economy of any individual geographic market, particularly a major market in which we operate, also may have a significant effect on us. Radio revenues in the markets in which we operate may also face greater challenges than the U.S. economy generally and may remain so. Radio revenues in certain markets in which we operate have lagged the growth of the general United States economy. Radio revenues in markets in which we operate, as measured by the accounting firm Miller Kaplan Arase LLP (“Miller Kaplan”) were down in 2018. During this same period, the U.S. Bureau of Economic Analysis reports that U.S. current-dollar gross domestic product grew. Our results of operations could be negatively impacted if radio revenue performance in the markets in which we operate continues to lag general United States economic growth. Even in the absence of a general recession or downturn in the economy, an individual business sector (such as the automotive industry) that tends to spend more on advertising than other sectors might be forced to reduce its advertising expenditures if that sector experiences a downturn. If that sector’s spending represents a significant portion of our advertising revenues, any reduction in its advertising expenditures may affect our revenue.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deterioration in the economy could negatively impact our ability to meet our cash needs and our ability to maintain compliance with our debt covenants.</w:t>
      </w:r>
    </w:p>
    <w:p>
      <w:pPr>
        <w:spacing w:after="0" w:line="157" w:lineRule="exact"/>
        <w:rPr>
          <w:sz w:val="20"/>
          <w:szCs w:val="20"/>
          <w:color w:val="auto"/>
        </w:rPr>
      </w:pPr>
    </w:p>
    <w:p>
      <w:pPr>
        <w:jc w:val="both"/>
        <w:ind w:firstLine="179"/>
        <w:spacing w:after="0" w:line="260" w:lineRule="auto"/>
        <w:rPr>
          <w:sz w:val="20"/>
          <w:szCs w:val="20"/>
          <w:color w:val="auto"/>
        </w:rPr>
      </w:pPr>
      <w:r>
        <w:rPr>
          <w:rFonts w:ascii="Arial" w:cs="Arial" w:eastAsia="Arial" w:hAnsi="Arial"/>
          <w:sz w:val="17"/>
          <w:szCs w:val="17"/>
          <w:color w:val="auto"/>
        </w:rPr>
        <w:t>If economic conditions change, or other adverse factors outside our control arise, our operations could be negatively impacted, which could prevent us from maintaining compliance with our debt covenants. If it appears that we could not meet our liquidity needs or that noncompliance with debt covenants is likely, we would implement remedial measures, which could include, but not be limited to, operating cost and capital expenditure reductions and deferrals. In addition, we could implement de-leveraging actions, which may include, but not be limited to, other debt repayments, subject to our available liquidity and contractual ability to make such repayments and/or debt refinancings and amendments.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Public Health Crisis</w:t>
      </w:r>
    </w:p>
    <w:p>
      <w:pPr>
        <w:spacing w:after="0" w:line="200" w:lineRule="exact"/>
        <w:rPr>
          <w:sz w:val="20"/>
          <w:szCs w:val="20"/>
          <w:color w:val="auto"/>
        </w:rPr>
      </w:pPr>
    </w:p>
    <w:p>
      <w:pPr>
        <w:jc w:val="both"/>
        <w:ind w:firstLine="244"/>
        <w:spacing w:after="0" w:line="252" w:lineRule="auto"/>
        <w:rPr>
          <w:sz w:val="20"/>
          <w:szCs w:val="20"/>
          <w:color w:val="auto"/>
        </w:rPr>
      </w:pPr>
      <w:r>
        <w:rPr>
          <w:rFonts w:ascii="Arial" w:cs="Arial" w:eastAsia="Arial" w:hAnsi="Arial"/>
          <w:sz w:val="17"/>
          <w:szCs w:val="17"/>
          <w:color w:val="auto"/>
        </w:rPr>
        <w:t>An epidemic or pandemic disease outbreak, such as the current COVID-19 outbreak, could cause, and is causing, significant disruption to our business operations. Measures taken by governmental authorities and private actors to limit the spread of this virus are interfering with the ability of the Company's employees, suppliers, and customers to conduct their functions and business in a normal manner. Further, the demand for advertising across our various segments/platforms is linked to the level of economic activity and employment in the U.S. Specifically, our business is heavily dependent on the demand for advertising from consumer-focused companies. The recent and significant dislocation of consumer demand due to social distancing and government interventions (such as lockdowns or shelter in place policies) has caused, and could further cause, advertisers to reduce, postpone or eliminate their marketing spending generally, and on our platforms in particular. Continued or future social distancing, government interventions and/or recessions could have a material adverse effect on our business and financial condition. Moreover, continued or future declines or disruptions due to the COVID-19 outbreak, could adversely affect our business and financial performance. The COVID-19 outbreak has had an impact on certain of the Company's revenue and alternative revenue sources. Most notably, a number of advertisers across significant advertising categories have reduced advertising spend due to the outbreak, particularly within our radio segment which derives substantial revenue from local advertisers who have been particularly hard hit due to social distancing and government interventions. Further, the COVID-19 outbreak has caused the postponement of our 2020 Tom Joyner Foundation Fantastic Voyage cruise and was impairing ticket sales of other tent pole special events. We do not carry business interruption insurance to compensate us for losses that may occur as a result of any of these interruptions and continued impacts from the COVID-19 outbreak. Outbreaks in the markets in which we operate could have material impacts on our liquidity, operations including potential impairment of assets, and our financial results.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terms of our indebtedness and the indebtedness of our direct and indirect subsidiaries may restrict our current and future operations, particularly our ability to respond to changes in market conditions or to take some actions.</w:t>
      </w:r>
    </w:p>
    <w:p>
      <w:pPr>
        <w:spacing w:after="0" w:line="157" w:lineRule="exact"/>
        <w:rPr>
          <w:sz w:val="20"/>
          <w:szCs w:val="20"/>
          <w:color w:val="auto"/>
        </w:rPr>
      </w:pPr>
    </w:p>
    <w:p>
      <w:pPr>
        <w:jc w:val="both"/>
        <w:ind w:firstLine="244"/>
        <w:spacing w:after="0" w:line="242" w:lineRule="auto"/>
        <w:rPr>
          <w:sz w:val="20"/>
          <w:szCs w:val="20"/>
          <w:color w:val="auto"/>
        </w:rPr>
      </w:pPr>
      <w:r>
        <w:rPr>
          <w:rFonts w:ascii="Arial" w:cs="Arial" w:eastAsia="Arial" w:hAnsi="Arial"/>
          <w:sz w:val="18"/>
          <w:szCs w:val="18"/>
          <w:color w:val="auto"/>
        </w:rPr>
        <w:t>Our debt instruments impose operating and financial restrictions on us. These restrictions limit or prohibit, among other things, our ability and the ability of our subsidiaries to incur additional indebtedness, issue preferred stock, incur liens, pay dividends, enter into asset purchase or sale transactions, merge or consolidate with another company, dispose of all or substantially all of our assets or make certain other payments or investments. These restrictions could limit our ability to grow our business through acquisitions and could limit our ability to respond to market conditions or meet extraordinary capital needs.</w:t>
      </w:r>
    </w:p>
    <w:p>
      <w:pPr>
        <w:sectPr>
          <w:pgSz w:w="11900" w:h="16838" w:orient="portrait"/>
          <w:cols w:equalWidth="0" w:num="1">
            <w:col w:w="11000"/>
          </w:cols>
          <w:pgMar w:left="440" w:top="523" w:right="4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46990</wp:posOffset>
            </wp:positionV>
            <wp:extent cx="715454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000"/>
          </w:cols>
          <w:pgMar w:left="440" w:top="523"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To service our indebtedness and other obligations, we will require a significant amount of cash.</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ability to generate cash depends on many factors beyond our control. Our latest credit agreement requires us to repay principal due thereunder to the extent then outstanding on each quarterly interest payment date. Commencing on the quarterly interest payment date ending March 2019, the required principal repayment equals one quarter of 7.5% of the aggregate outstanding principal amount due thereunder such amount payable until December 2019. Commencing on the quarterly interest payment date ending March 2020, the required principal repayment amount equals one quarter of 10.0% of the aggregate outstanding principal amount such amount payable until December 2021. And, commencing on the quarterly interest payment date ending March 2021, the required principal repayment equals one quarter of 12.5% of the aggregate outstanding principal amount due thereunder payable until to December 2022. The Company is also required to use 75% of excess cash flow to repay outstanding term loans due thereunder at par, paid semi-annually and to use 100% of all distributions to the Company or its restricted subsidiaries received in respect of its interest in the MGM National Harbor to repay outstanding terms loans due thereunder at par. Our ability to make payments on our indebtedness and to fund capital expenditures will depend on our ability to generate cash in the future. This ability to generate cash, to a certain extent, is subject to general economic, financial, competitive, legislative, regulatory and other factors that are beyond our control. Our businesses might not generate sufficient cash flow from operations. We might not be able to complete future offerings, and future borrowings might not be available to us in an amount sufficient to enable us to pay our indebtedness or to fund our other liquidity needs.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historically incurred net losses which could continue into the future.</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historically reported net losses in our consolidated statements of operations, due mostly in part to recording non-cash impairment charges for write-downs to radio broadcasting licenses and goodwill, interest expenses (both cash and non-cash), and revenue declines caused by weakened advertising demand resulting from the current economic environment. These results have had a negative impact on our financial condition and could be exacerbated in a poor economic climate. If these trends continue in the future, they could have a material adverse effect on our financial condition.</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revenue is substantially dependent on spending and allocation decisions by advertisers, and seasonality and/or weakening economic conditions may have an impact upon our business.</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Substantially all of our revenue is derived from sales of advertisements and program sponsorships to local and national advertisers. Any reduction in advertising expenditures or changes in advertisers' spending priorities and/or allocations across different types of media/platforms or programming could have an adverse effect on the Company's revenues and results of operations. We do not obtain long-term commitments from our advertisers and advertisers may cancel, reduce, or postpone advertisements without penalty, which could adversely affect our revenue. Seasonal net revenue fluctuations are common in the media industries and are due primarily to fluctuations in advertising expenditures by local and national advertisers. In addition, advertising revenues in even-numbered years tend to benefit from advertising placed by candidates for political offices. The effects of such seasonality (including the weather), combined with the severe structural changes that have occurred in the U.S. economy, make it difficult to estimate future operating results based on the previous results of any specific quarter and may adversely affect operating results.</w:t>
      </w:r>
    </w:p>
    <w:p>
      <w:pPr>
        <w:spacing w:after="0" w:line="150" w:lineRule="exact"/>
        <w:rPr>
          <w:sz w:val="20"/>
          <w:szCs w:val="20"/>
          <w:color w:val="auto"/>
        </w:rPr>
      </w:pPr>
    </w:p>
    <w:p>
      <w:pPr>
        <w:jc w:val="both"/>
        <w:ind w:firstLine="179"/>
        <w:spacing w:after="0" w:line="270" w:lineRule="auto"/>
        <w:rPr>
          <w:sz w:val="20"/>
          <w:szCs w:val="20"/>
          <w:color w:val="auto"/>
        </w:rPr>
      </w:pPr>
      <w:r>
        <w:rPr>
          <w:rFonts w:ascii="Arial" w:cs="Arial" w:eastAsia="Arial" w:hAnsi="Arial"/>
          <w:sz w:val="16"/>
          <w:szCs w:val="16"/>
          <w:color w:val="auto"/>
        </w:rPr>
        <w:t>Advertising expenditures also tend to be cyclical and reflect general economic conditions, both nationally and locally. Because we derive a substantial portion of our revenues from the sale of advertising, a decline or delay in advertising expenditures could reduce our revenues or hinder our ability to increase these revenues. Advertising expenditures by companies in certain sectors of the economy, including the automotive, financial, entertainment, and retail industries, represent a significant portion of our advertising revenues. Structural changes (such as reduced footprints in retail and the movement of retailers online) and business failures in these industries have affected our revenues and continued structural changes or business failures in any of these industries could have significant further impact on our revenues. Any political, economic, social, or technological change resulting in a significant reduction in the advertising spending of these sectors could adversely affect our advertising revenues or our ability to increase such revenues. In addition, because many of the products and services offered by our advertisers are largely discretionary items, weakening economic conditions or changes in consumer spending patterns could reduce the consumption of such products and services and, thus, reduce advertising for such products and services. Changes in advertisers' spending priorities during economic cycles may also affect our results. Disasters (domestic or external to the United States), acts of terrorism, political uncertainty or hostilities could also lead to a reduction in advertising expenditures as a result of supply or demand issues, uninterrupted news coverage and economic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is dependent upon audience acceptance of our content, particularly our television and radio programs, which is difficult to predict.</w:t>
      </w:r>
    </w:p>
    <w:p>
      <w:pPr>
        <w:spacing w:after="0" w:line="234" w:lineRule="exact"/>
        <w:rPr>
          <w:sz w:val="20"/>
          <w:szCs w:val="20"/>
          <w:color w:val="auto"/>
        </w:rPr>
      </w:pPr>
    </w:p>
    <w:p>
      <w:pPr>
        <w:jc w:val="both"/>
        <w:ind w:firstLine="185"/>
        <w:spacing w:after="0"/>
        <w:rPr>
          <w:sz w:val="20"/>
          <w:szCs w:val="20"/>
          <w:color w:val="auto"/>
        </w:rPr>
      </w:pPr>
      <w:r>
        <w:rPr>
          <w:rFonts w:ascii="Arial" w:cs="Arial" w:eastAsia="Arial" w:hAnsi="Arial"/>
          <w:sz w:val="18"/>
          <w:szCs w:val="18"/>
          <w:color w:val="auto"/>
        </w:rPr>
        <w:t>Radio, video, and digital content production and distribution are inherently risky businesses because the revenues derived from the production and distribution of media content or a radio program, and the licensing of rights to the intellectual property associated with the content or program, depend primarily upon their acceptance and perceptions by the public, which can change quickly and are difficult to predict. The commercial success of content or a program also depends upon the quality and acceptance of other competing programs released into the marketplace at or near the same time, the availability of alternative forms of entertainment and leisure time activities, general economic conditions, and other tangible and intangible factors, all of which are difficult to predict. Our failure to obtain or retain rights to popular content on any part of our multi-media platform could adversely affect our revenues.</w:t>
      </w:r>
    </w:p>
    <w:p>
      <w:pPr>
        <w:spacing w:after="0" w:line="178" w:lineRule="exact"/>
        <w:rPr>
          <w:sz w:val="20"/>
          <w:szCs w:val="20"/>
          <w:color w:val="auto"/>
        </w:rPr>
      </w:pPr>
    </w:p>
    <w:p>
      <w:pPr>
        <w:jc w:val="both"/>
        <w:ind w:firstLine="179"/>
        <w:spacing w:after="0" w:line="260" w:lineRule="auto"/>
        <w:rPr>
          <w:sz w:val="20"/>
          <w:szCs w:val="20"/>
          <w:color w:val="auto"/>
        </w:rPr>
      </w:pPr>
      <w:r>
        <w:rPr>
          <w:rFonts w:ascii="Arial" w:cs="Arial" w:eastAsia="Arial" w:hAnsi="Arial"/>
          <w:sz w:val="17"/>
          <w:szCs w:val="17"/>
          <w:color w:val="auto"/>
        </w:rPr>
        <w:t>Ratings for broadcast stations and traffic on a particular website are also factors that are weighed when advertisers determine which outlets to use and in determining the advertising rates that the outlet receives. Poor ratings or traffic levels can lead to a reduction in pricing and advertising revenues. For example, if there is an event causing a change of programming at one of our stations, there could be no assurance that any replacement programming would generate the same level of ratings, revenues, or profitability as the previous programming. In addition, changes in ratings methodology and technology could adversely impact our ratings and negatively affect our advertising revenues.</w:t>
      </w:r>
    </w:p>
    <w:p>
      <w:pPr>
        <w:spacing w:after="0" w:line="162" w:lineRule="exact"/>
        <w:rPr>
          <w:sz w:val="20"/>
          <w:szCs w:val="20"/>
          <w:color w:val="auto"/>
        </w:rPr>
      </w:pPr>
    </w:p>
    <w:p>
      <w:pPr>
        <w:jc w:val="both"/>
        <w:ind w:firstLine="179"/>
        <w:spacing w:after="0" w:line="236" w:lineRule="auto"/>
        <w:rPr>
          <w:sz w:val="20"/>
          <w:szCs w:val="20"/>
          <w:color w:val="auto"/>
        </w:rPr>
      </w:pPr>
      <w:r>
        <w:rPr>
          <w:rFonts w:ascii="Arial" w:cs="Arial" w:eastAsia="Arial" w:hAnsi="Arial"/>
          <w:sz w:val="17"/>
          <w:szCs w:val="17"/>
          <w:color w:val="auto"/>
        </w:rPr>
        <w:t>Television content production is inherently a risky business because the revenues derived from the production and distribution of a television program and the licensing of rights to the associated intellectual property depends primarily upon the public's level of acceptance, which is difficult to predict. The commercial success of a television program also depends upon the quality and acceptance of other competing programs in the marketplace at or near the same time, the availability of alternative forms of entertainment and leisure time activities, general economic conditions, and other tangible and intangible factors, all of which are difficult to predict. Rating points are also factors that are weighed when determining the advertising rates that TV One receives. Poor ratings can lead to a reduction in pricing and advertising revenues. Consequently, low public acceptance of TV One's content may have an adverse effect on TV One's results of operations. Further, networks or programming launched by Netflix</w:t>
      </w:r>
      <w:r>
        <w:rPr>
          <w:rFonts w:ascii="Arial" w:cs="Arial" w:eastAsia="Arial" w:hAnsi="Arial"/>
          <w:sz w:val="28"/>
          <w:szCs w:val="28"/>
          <w:color w:val="auto"/>
          <w:vertAlign w:val="superscript"/>
        </w:rPr>
        <w:t>TM</w:t>
      </w:r>
      <w:r>
        <w:rPr>
          <w:rFonts w:ascii="Arial" w:cs="Arial" w:eastAsia="Arial" w:hAnsi="Arial"/>
          <w:sz w:val="17"/>
          <w:szCs w:val="17"/>
          <w:color w:val="auto"/>
        </w:rPr>
        <w:t>, Oprah Winfrey (OWN</w:t>
      </w:r>
      <w:r>
        <w:rPr>
          <w:rFonts w:ascii="Arial" w:cs="Arial" w:eastAsia="Arial" w:hAnsi="Arial"/>
          <w:sz w:val="28"/>
          <w:szCs w:val="28"/>
          <w:color w:val="auto"/>
          <w:vertAlign w:val="superscript"/>
        </w:rPr>
        <w:t>TM</w:t>
      </w:r>
      <w:r>
        <w:rPr>
          <w:rFonts w:ascii="Arial" w:cs="Arial" w:eastAsia="Arial" w:hAnsi="Arial"/>
          <w:sz w:val="17"/>
          <w:szCs w:val="17"/>
          <w:color w:val="auto"/>
        </w:rPr>
        <w:t>), Sean Combs (REVOLT TV</w:t>
      </w:r>
      <w:r>
        <w:rPr>
          <w:rFonts w:ascii="Arial" w:cs="Arial" w:eastAsia="Arial" w:hAnsi="Arial"/>
          <w:sz w:val="28"/>
          <w:szCs w:val="28"/>
          <w:color w:val="auto"/>
          <w:vertAlign w:val="superscript"/>
        </w:rPr>
        <w:t>TM</w:t>
      </w:r>
      <w:r>
        <w:rPr>
          <w:rFonts w:ascii="Arial" w:cs="Arial" w:eastAsia="Arial" w:hAnsi="Arial"/>
          <w:sz w:val="17"/>
          <w:szCs w:val="17"/>
          <w:color w:val="auto"/>
        </w:rPr>
        <w:t>), and Magic Johnson (ASPIRE</w:t>
      </w:r>
      <w:r>
        <w:rPr>
          <w:rFonts w:ascii="Arial" w:cs="Arial" w:eastAsia="Arial" w:hAnsi="Arial"/>
          <w:sz w:val="28"/>
          <w:szCs w:val="28"/>
          <w:color w:val="auto"/>
          <w:vertAlign w:val="superscript"/>
        </w:rPr>
        <w:t>TM</w:t>
      </w:r>
      <w:r>
        <w:rPr>
          <w:rFonts w:ascii="Arial" w:cs="Arial" w:eastAsia="Arial" w:hAnsi="Arial"/>
          <w:sz w:val="17"/>
          <w:szCs w:val="17"/>
          <w:color w:val="auto"/>
        </w:rPr>
        <w:t>), could take away from our audience share and ratings and thus have an adverse effect on TV One's results of operations.</w:t>
      </w:r>
    </w:p>
    <w:p>
      <w:pPr>
        <w:sectPr>
          <w:pgSz w:w="11900" w:h="16838" w:orient="portrait"/>
          <w:cols w:equalWidth="0" w:num="1">
            <w:col w:w="10860"/>
          </w:cols>
          <w:pgMar w:left="520" w:top="324" w:right="519" w:bottom="635"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46990</wp:posOffset>
            </wp:positionV>
            <wp:extent cx="715454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860"/>
          </w:cols>
          <w:pgMar w:left="520" w:top="324" w:right="519" w:bottom="635"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auto"/>
        </w:rPr>
        <w:t>Legislation could require radio broadcasters to pay additional royalties, including to additional parties such as record labels or recording artists.</w:t>
      </w:r>
    </w:p>
    <w:p>
      <w:pPr>
        <w:spacing w:after="0" w:line="234" w:lineRule="exact"/>
        <w:rPr>
          <w:sz w:val="20"/>
          <w:szCs w:val="20"/>
          <w:color w:val="auto"/>
        </w:rPr>
      </w:pPr>
    </w:p>
    <w:p>
      <w:pPr>
        <w:jc w:val="both"/>
        <w:ind w:left="80" w:right="60" w:firstLine="244"/>
        <w:spacing w:after="0" w:line="260" w:lineRule="auto"/>
        <w:rPr>
          <w:sz w:val="20"/>
          <w:szCs w:val="20"/>
          <w:color w:val="auto"/>
        </w:rPr>
      </w:pPr>
      <w:r>
        <w:rPr>
          <w:rFonts w:ascii="Arial" w:cs="Arial" w:eastAsia="Arial" w:hAnsi="Arial"/>
          <w:sz w:val="17"/>
          <w:szCs w:val="17"/>
          <w:color w:val="auto"/>
        </w:rPr>
        <w:t>We currently pay royalties to song composers and publishers through BMI, ASCAP, SESAC and GMR but not to record labels or recording artists for exhibition or use of over the air broadcasts of music. From time to time, Congress considers legislation which could change the copyright fees and the procedures by which the fees are determined. The legislation historically has been the subject of considerable debate and activity by the broadcast industry and other parties affected by the proposed legislation. It cannot be predicted whether any proposed future legislation will become law or what impact it would have on our results from operations, cash flows or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disproportionate share of our radio segment revenue comes from a small number of geographic markets and from Reach Media.</w:t>
      </w:r>
    </w:p>
    <w:p>
      <w:pPr>
        <w:spacing w:after="0" w:line="211" w:lineRule="exact"/>
        <w:rPr>
          <w:sz w:val="20"/>
          <w:szCs w:val="20"/>
          <w:color w:val="auto"/>
        </w:rPr>
      </w:pPr>
    </w:p>
    <w:p>
      <w:pPr>
        <w:jc w:val="both"/>
        <w:ind w:left="80" w:right="60" w:firstLine="179"/>
        <w:spacing w:after="0" w:line="255" w:lineRule="auto"/>
        <w:rPr>
          <w:sz w:val="20"/>
          <w:szCs w:val="20"/>
          <w:color w:val="auto"/>
        </w:rPr>
      </w:pPr>
      <w:r>
        <w:rPr>
          <w:rFonts w:ascii="Arial" w:cs="Arial" w:eastAsia="Arial" w:hAnsi="Arial"/>
          <w:sz w:val="17"/>
          <w:szCs w:val="17"/>
          <w:color w:val="auto"/>
        </w:rPr>
        <w:t>For the year ended December 31, 2019, approximately 40.6% of our net revenue was generated from the sale of advertising in our core radio business, excluding Reach Media. Within our core radio business, four of the 15 markets in which we operate radio stations (Houston, Washington, DC, Atlanta and Baltimore) accounted for approximately 56.3% of our radio station net revenue for the year ended December 31, 2019. Revenue from the operations of Reach Media, along with revenue from both the Houston and Washington, DC markets accounted for approximately 22.8% of our total consolidated net revenue for the year ended December 31, 2019. Revenue from the operations of Reach Media, along with revenue from our significant contributing markets, accounted for approximately 32.8% of our total consolidated net revenue for the year ended December 31, 2019. Adverse events or conditions (economic, including government cutbacks or otherwise) could lead to declines in the contribution of Reach Media or declines in one or more of the four significant contributing radio markets, which could have a material adverse effect on our overall financial performance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audience share and advertising revenue to our competitors.</w:t>
      </w:r>
    </w:p>
    <w:p>
      <w:pPr>
        <w:spacing w:after="0" w:line="200" w:lineRule="exact"/>
        <w:rPr>
          <w:sz w:val="20"/>
          <w:szCs w:val="20"/>
          <w:color w:val="auto"/>
        </w:rPr>
      </w:pPr>
    </w:p>
    <w:p>
      <w:pPr>
        <w:jc w:val="both"/>
        <w:ind w:left="80" w:firstLine="185"/>
        <w:spacing w:after="0" w:line="254" w:lineRule="auto"/>
        <w:rPr>
          <w:sz w:val="20"/>
          <w:szCs w:val="20"/>
          <w:color w:val="auto"/>
        </w:rPr>
      </w:pPr>
      <w:r>
        <w:rPr>
          <w:rFonts w:ascii="Arial" w:cs="Arial" w:eastAsia="Arial" w:hAnsi="Arial"/>
          <w:sz w:val="17"/>
          <w:szCs w:val="17"/>
          <w:color w:val="auto"/>
        </w:rPr>
        <w:t>Our media properties compete for audiences and advertising revenue with other radio stations and station groups and other media such as broadcast television, newspapers, magazines, cable television, satellite television, satellite radio, outdoor advertising, "over the top providers" on the internet and direct mail. Adverse changes in audience ratings, internet traffic, and market shares could have a material adverse effect on our revenue. Larger media companies, with more financial resources than we have may target our core audiences or enter the segments or markets in which we operate, causing competitive pressure. Further, other media and broadcast companies may change their programming format or engage in aggressive promotional campaigns to compete directly with our media properties for our core audiences and advertisers. Competition for our core audiences or in any of our segments or markets could result in lower ratings or traffic and, hence, lower advertising revenue for us, or cause us to increase promotion and other expenses and, consequently, lower our earnings and cash flow. Changes in population, demographics, audience tastes and other factors beyond our control, could also cause changes in audience ratings or market share. Failure by us to respond successfully to these changes could have an adverse effect on our business and financial performance. We cannot assure that we will be able to maintain or increase our current audience ratings and advertising revenue.</w:t>
      </w:r>
    </w:p>
    <w:p>
      <w:pPr>
        <w:spacing w:after="0" w:line="165"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We must respond to the rapid changes in technology, content offerings, services, and standards across our entire platform in order to remain competitive.</w:t>
      </w:r>
    </w:p>
    <w:p>
      <w:pPr>
        <w:spacing w:after="0" w:line="157" w:lineRule="exact"/>
        <w:rPr>
          <w:sz w:val="20"/>
          <w:szCs w:val="20"/>
          <w:color w:val="auto"/>
        </w:rPr>
      </w:pPr>
    </w:p>
    <w:p>
      <w:pPr>
        <w:jc w:val="both"/>
        <w:ind w:left="80" w:firstLine="179"/>
        <w:spacing w:after="0" w:line="255" w:lineRule="auto"/>
        <w:rPr>
          <w:sz w:val="20"/>
          <w:szCs w:val="20"/>
          <w:color w:val="auto"/>
        </w:rPr>
      </w:pPr>
      <w:r>
        <w:rPr>
          <w:rFonts w:ascii="Arial" w:cs="Arial" w:eastAsia="Arial" w:hAnsi="Arial"/>
          <w:sz w:val="17"/>
          <w:szCs w:val="17"/>
          <w:color w:val="auto"/>
        </w:rPr>
        <w:t>Technological standards across our media properties are evolving and new distribution technologies/platforms are emerging at a rapid pace. We cannot assure that we will have the resources to acquire new technologies or to introduce new features, content or services to compete with these new technologies. New media has resulted in fragmentation in the advertising market, and we cannot predict the effect, if any, that additional competition arising from new technologies or content offerings may have across any of our business segments or our financial condition and results of operations, which may be adversely affected if we are not able to adapt successfully to these new media technologies or distribution platforms. The continuing growth and evolution of channels and platforms has increased our challenges in differentiating ourselves from other media platforms. We continually seek to develop and enhance our content offerings and distribution platforms/methodologies. Failure to effectively execute in these efforts, actions by our competitors, or other failures to deliver content effectively could hurt our ability to differentiate ourselves from our competitors and, as a result, have adverse effects across our business.</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 loss of key personnel, including certain on-air talent, could disrupt the management and operations of our business.</w:t>
      </w:r>
    </w:p>
    <w:p>
      <w:pPr>
        <w:spacing w:after="0" w:line="200" w:lineRule="exact"/>
        <w:rPr>
          <w:sz w:val="20"/>
          <w:szCs w:val="20"/>
          <w:color w:val="auto"/>
        </w:rPr>
      </w:pPr>
    </w:p>
    <w:p>
      <w:pPr>
        <w:jc w:val="both"/>
        <w:ind w:left="80" w:firstLine="179"/>
        <w:spacing w:after="0" w:line="257" w:lineRule="auto"/>
        <w:rPr>
          <w:sz w:val="20"/>
          <w:szCs w:val="20"/>
          <w:color w:val="auto"/>
        </w:rPr>
      </w:pPr>
      <w:r>
        <w:rPr>
          <w:rFonts w:ascii="Arial" w:cs="Arial" w:eastAsia="Arial" w:hAnsi="Arial"/>
          <w:sz w:val="17"/>
          <w:szCs w:val="17"/>
          <w:color w:val="auto"/>
        </w:rPr>
        <w:t>Our business depends upon the continued efforts, abilities and expertise of our executive officers and other key employees, including certain on-air personalities. We believe that the combination of skills and experience possessed by our executive officers and other key employees could be difficult to replace, and that the loss of one or more of them could have a material adverse effect on us, including the impairment of our ability to execute our business strategy. In addition, several of our on-air personalities and syndicated radio programs hosts have large loyal audiences in their respective broadcast areas and may be significantly responsible for the ratings of a station. The loss of such on-air personalities or any change in their popularity could impact the ability of the station to sell advertising and our ability to derive revenue from syndicating programs hosted by them. We cannot be assured that these individuals will remain with us or will retain their current audiences or ratings.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32385</wp:posOffset>
            </wp:positionV>
            <wp:extent cx="715454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000"/>
          </w:cols>
          <w:pgMar w:left="440" w:top="324" w:right="459" w:bottom="1440" w:gutter="0" w:footer="0" w:header="0"/>
        </w:sectPr>
      </w:pPr>
    </w:p>
    <w:bookmarkStart w:id="10" w:name="page11"/>
    <w:bookmarkEnd w:id="10"/>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digital segment does not continue to develop and offer compelling and differentiated content, products and services, our advertising revenues could be adversely affected.</w:t>
      </w:r>
    </w:p>
    <w:p>
      <w:pPr>
        <w:spacing w:after="0" w:line="157" w:lineRule="exact"/>
        <w:rPr>
          <w:sz w:val="20"/>
          <w:szCs w:val="20"/>
          <w:color w:val="auto"/>
        </w:rPr>
      </w:pPr>
    </w:p>
    <w:p>
      <w:pPr>
        <w:jc w:val="both"/>
        <w:ind w:firstLine="179"/>
        <w:spacing w:after="0" w:line="239" w:lineRule="auto"/>
        <w:rPr>
          <w:sz w:val="20"/>
          <w:szCs w:val="20"/>
          <w:color w:val="auto"/>
        </w:rPr>
      </w:pPr>
      <w:r>
        <w:rPr>
          <w:rFonts w:ascii="Arial" w:cs="Arial" w:eastAsia="Arial" w:hAnsi="Arial"/>
          <w:sz w:val="18"/>
          <w:szCs w:val="18"/>
          <w:color w:val="auto"/>
        </w:rPr>
        <w:t>In order to attract consumers and generate increased activity on our digital properties, we believe that we must offer compelling and differentiated content, products and services. However, acquiring, developing, and offering such content, products and services may require significant costs and time to develop, while consumer tastes may be difficult to predict and are subject to rapid change. If we are unable to provide content, products and services that are sufficiently attractive to our digital users, we may not be able to generate the increases in activity necessary to generate increased advertising revenues. In addition, although we have access to certain content provided by our other businesses, we may be required to make substantial payments to license such content. Many of our content arrangements with third parties are non-exclusive, so competitors may be able to offer similar or identical content. If we are not able to acquire or develop compelling content and do so at reasonable prices, or if other companies offer content that is similar to that provided by our digital segment, we may not be able to attract and increase the engagement of digital consumers on our digital properties.</w:t>
      </w:r>
    </w:p>
    <w:p>
      <w:pPr>
        <w:spacing w:after="0" w:line="179" w:lineRule="exact"/>
        <w:rPr>
          <w:sz w:val="20"/>
          <w:szCs w:val="20"/>
          <w:color w:val="auto"/>
        </w:rPr>
      </w:pPr>
    </w:p>
    <w:p>
      <w:pPr>
        <w:jc w:val="both"/>
        <w:ind w:firstLine="179"/>
        <w:spacing w:after="0" w:line="285" w:lineRule="auto"/>
        <w:rPr>
          <w:sz w:val="20"/>
          <w:szCs w:val="20"/>
          <w:color w:val="auto"/>
        </w:rPr>
      </w:pPr>
      <w:r>
        <w:rPr>
          <w:rFonts w:ascii="Arial" w:cs="Arial" w:eastAsia="Arial" w:hAnsi="Arial"/>
          <w:sz w:val="16"/>
          <w:szCs w:val="16"/>
          <w:color w:val="auto"/>
        </w:rPr>
        <w:t>Continued growth in our digital business also depends on our ability to continue offering a competitive and distinctive range of advertising products and services for advertisers and publishers and our ability to maintain or increase prices for our advertising products and services. Continuing to develop and improve these products and services may require significant time and costs. If we cannot continue to develop and improve our advertising products and services or if prices for our advertising products and services decrease, our digital advertising revenues could be adversely affected.</w:t>
      </w:r>
    </w:p>
    <w:p>
      <w:pPr>
        <w:spacing w:after="0" w:line="143" w:lineRule="exact"/>
        <w:rPr>
          <w:sz w:val="20"/>
          <w:szCs w:val="20"/>
          <w:color w:val="auto"/>
        </w:rPr>
      </w:pPr>
    </w:p>
    <w:p>
      <w:pPr>
        <w:jc w:val="both"/>
        <w:spacing w:after="0" w:line="364" w:lineRule="auto"/>
        <w:rPr>
          <w:sz w:val="20"/>
          <w:szCs w:val="20"/>
          <w:color w:val="auto"/>
        </w:rPr>
      </w:pPr>
      <w:r>
        <w:rPr>
          <w:rFonts w:ascii="Arial" w:cs="Arial" w:eastAsia="Arial" w:hAnsi="Arial"/>
          <w:sz w:val="15"/>
          <w:szCs w:val="15"/>
          <w:b w:val="1"/>
          <w:bCs w:val="1"/>
          <w:i w:val="1"/>
          <w:iCs w:val="1"/>
          <w:color w:val="auto"/>
        </w:rPr>
        <w:t>More individuals are using devices other than personal and laptop computers to access and use the internet, and, if we cannot make our products and services available and attractive to consumers via these alternative devices, our internet advertising revenues could be adversely affected.</w:t>
      </w:r>
    </w:p>
    <w:p>
      <w:pPr>
        <w:spacing w:after="0" w:line="87" w:lineRule="exact"/>
        <w:rPr>
          <w:sz w:val="20"/>
          <w:szCs w:val="20"/>
          <w:color w:val="auto"/>
        </w:rPr>
      </w:pPr>
    </w:p>
    <w:p>
      <w:pPr>
        <w:jc w:val="both"/>
        <w:ind w:right="60" w:firstLine="179"/>
        <w:spacing w:after="0" w:line="245" w:lineRule="auto"/>
        <w:rPr>
          <w:sz w:val="20"/>
          <w:szCs w:val="20"/>
          <w:color w:val="auto"/>
        </w:rPr>
      </w:pPr>
      <w:r>
        <w:rPr>
          <w:rFonts w:ascii="Arial" w:cs="Arial" w:eastAsia="Arial" w:hAnsi="Arial"/>
          <w:sz w:val="18"/>
          <w:szCs w:val="18"/>
          <w:color w:val="auto"/>
        </w:rPr>
        <w:t>Digital users are increasingly accessing and using the internet through mobile tablets and smartphones. In order for consumers to access and use our products and services via these devices, we must ensure that our products and services are technologically compatible with such devices. If we cannot effectively make our products and services available on these devices, fewer internet consumers may access and use our products and services and our advertising revenue may be negatively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Unrelated third parties may claim that we infringe on their rights based on the nature and content of information posted on websites we maintain.</w:t>
      </w:r>
    </w:p>
    <w:p>
      <w:pPr>
        <w:spacing w:after="0" w:line="2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host internet services that enable individuals to exchange information, generate content, comment on our content, and engage in various online activities. The law relating to the liability of providers of these online services for activities of their users is currently unsettled both within the United States and internationally. While we monitor postings to such websites, claims may be brought against us for defamation, negligence, copyright or trademark infringement, unlawful activity, tort, including personal injury, fraud, or other theories based on the nature and content of information that may be posted online or generated by our users. Our defense of such actions could be costly and involve significant time and attention of our management and other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domain names and/or content, our reputation and brands could be adversely affected.</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currently hold various domain name registrations relating to our brands, including urban1.com, radio-one.com and interactiveone.com. The registration and maintenance of domain names are generally regulated by governmental agencies and their designees. Governing bodies may establish additional top-level domains, appoint additional domain name registrars, or modify the requirements for holding domain names. As a result, we may be unable to register or maintain relevant domain names. We may be unable, without significant cost or at all, to prevent third parties from registering domain names that are similar to, infringe upon, or otherwise decrease the value of our trademarks and other proprietary rights. Failure to protect our domain names could adversely affect our reputation and brands, and make it more difficult for users to find our websites and our services. In addition, piracy of the Company’s content, including digital piracy, may decrease revenue received from the exploitation of the Company’s programming and other content and adversely affect its businesses and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asset impairment to the carrying values of our FCC licenses and goodwill could adversely impact our results of operations and net worth.</w:t>
      </w:r>
    </w:p>
    <w:p>
      <w:pPr>
        <w:spacing w:after="0" w:line="234" w:lineRule="exact"/>
        <w:rPr>
          <w:sz w:val="20"/>
          <w:szCs w:val="20"/>
          <w:color w:val="auto"/>
        </w:rPr>
      </w:pPr>
    </w:p>
    <w:p>
      <w:pPr>
        <w:jc w:val="both"/>
        <w:ind w:firstLine="179"/>
        <w:spacing w:after="0" w:line="275" w:lineRule="auto"/>
        <w:rPr>
          <w:sz w:val="20"/>
          <w:szCs w:val="20"/>
          <w:color w:val="auto"/>
        </w:rPr>
      </w:pPr>
      <w:r>
        <w:rPr>
          <w:rFonts w:ascii="Arial" w:cs="Arial" w:eastAsia="Arial" w:hAnsi="Arial"/>
          <w:sz w:val="16"/>
          <w:szCs w:val="16"/>
          <w:color w:val="auto"/>
        </w:rPr>
        <w:t>As of December 31, 2019, we had approximately $582.7 million in broadcast licenses and $239.8 million in goodwill, which totaled $822.5 million, and represented approximately 65.7% of our total assets. Therefore, we believe estimating the fair value of goodwill and radio broadcasting licenses is a critical accounting estimate because of the significance of their carrying values in relation to our total assets. We recorded non-cash impairment charges against radio broadcasting licenses of approximately $10.6 million during the year ended December 31, 2019. For the three months ended March 31, 2020, the Company recorded a non-cash impairment charge of approximately $6.0 million related to its Atlanta market and Indianapolis market goodwill balances and also a non-cash impairment charge of approximately $47.7 million associated with our Atlanta, Cincinnati, Dallas, Houston, Indianapolis, Philadelphia, Raleigh, Richmond and St. Louis market radio broadcasting licenses.</w:t>
      </w:r>
    </w:p>
    <w:p>
      <w:pPr>
        <w:spacing w:after="0" w:line="152" w:lineRule="exact"/>
        <w:rPr>
          <w:sz w:val="20"/>
          <w:szCs w:val="20"/>
          <w:color w:val="auto"/>
        </w:rPr>
      </w:pPr>
    </w:p>
    <w:p>
      <w:pPr>
        <w:jc w:val="both"/>
        <w:ind w:firstLine="179"/>
        <w:spacing w:after="0" w:line="239" w:lineRule="auto"/>
        <w:rPr>
          <w:sz w:val="20"/>
          <w:szCs w:val="20"/>
          <w:color w:val="auto"/>
        </w:rPr>
      </w:pPr>
      <w:r>
        <w:rPr>
          <w:rFonts w:ascii="Arial" w:cs="Arial" w:eastAsia="Arial" w:hAnsi="Arial"/>
          <w:sz w:val="18"/>
          <w:szCs w:val="18"/>
          <w:color w:val="auto"/>
        </w:rPr>
        <w:t>We are required to test our goodwill and indefinite-lived intangible assets for impairment at least annually, which we have traditionally done in the fourth quarter, or on an interim basis when events or changes in circumstances suggest impairment may have occurred. Impairment is measured as the excess of the carrying value of the goodwill or indefinite-lived intangible asset over its fair value. Impairment may result from deterioration in our performance, changes in anticipated future cash flows, changes in business plans, adverse economic or market conditions, adverse changes in applicable laws and regulations, or other factors beyond our control. The amount of any impairment must be expensed as a charge to operations. Fair values of FCC licenses and goodwill have been estimated using the income approach, which involves a 10-year model that incorporates several judgmental assumptions about projected revenue growth, future operating margins, discount rates and terminal values. We also utilize a market-based approach to evaluate our fair value estimates. There are inherent uncertainties related to these assumptions and our judgment in applying them to the impairment analysis.</w:t>
      </w:r>
    </w:p>
    <w:p>
      <w:pPr>
        <w:spacing w:after="0" w:line="179" w:lineRule="exact"/>
        <w:rPr>
          <w:sz w:val="20"/>
          <w:szCs w:val="20"/>
          <w:color w:val="auto"/>
        </w:rPr>
      </w:pPr>
    </w:p>
    <w:p>
      <w:pPr>
        <w:jc w:val="both"/>
        <w:ind w:firstLine="244"/>
        <w:spacing w:after="0" w:line="239" w:lineRule="auto"/>
        <w:rPr>
          <w:sz w:val="20"/>
          <w:szCs w:val="20"/>
          <w:color w:val="auto"/>
        </w:rPr>
      </w:pPr>
      <w:r>
        <w:rPr>
          <w:rFonts w:ascii="Arial" w:cs="Arial" w:eastAsia="Arial" w:hAnsi="Arial"/>
          <w:sz w:val="18"/>
          <w:szCs w:val="18"/>
          <w:color w:val="auto"/>
        </w:rPr>
        <w:t>During the year ended December 31, 2019, the Company recorded a non-cash impairment charge of approximately $4.8 million associated with our Indianapolis and Detroit market radio broadcasting licenses. As part of our annual goodwill impairment analysis, the Company recorded a goodwill impairment charge related to Interactive One of approximately $5.8 million for the year ended December 31, 2019. For the second and third quarters of 2018, the total market revenue growth for certain markets in which we operate was below the estimated total market revenue growth used in our respective prior year annual impairment testing. In each quarter, we deemed that to be an impairment indicator that warranted interim impairment testing of certain markets’ radio broadcasting licenses, which we performed as of each quarter-end date. We recorded an impairment charge of approximately $21.3 million related to our Detroit radio broadcasting licenses and Atlanta and Charlotte goodwill balances during the year ended December 31, 2018.</w:t>
      </w:r>
    </w:p>
    <w:p>
      <w:pPr>
        <w:spacing w:after="0" w:line="182" w:lineRule="exact"/>
        <w:rPr>
          <w:sz w:val="20"/>
          <w:szCs w:val="20"/>
          <w:color w:val="auto"/>
        </w:rPr>
      </w:pPr>
    </w:p>
    <w:p>
      <w:pPr>
        <w:jc w:val="both"/>
        <w:ind w:firstLine="179"/>
        <w:spacing w:after="0" w:line="249" w:lineRule="auto"/>
        <w:rPr>
          <w:sz w:val="20"/>
          <w:szCs w:val="20"/>
          <w:color w:val="auto"/>
        </w:rPr>
      </w:pPr>
      <w:r>
        <w:rPr>
          <w:rFonts w:ascii="Arial" w:cs="Arial" w:eastAsia="Arial" w:hAnsi="Arial"/>
          <w:sz w:val="18"/>
          <w:szCs w:val="18"/>
          <w:color w:val="auto"/>
        </w:rPr>
        <w:t>Changes in certain events or circumstances could result in changes to our estimated fair values, and may result in further write-downs to the carrying values of these assets. Additional impairment charges could adversely affect our financial results, financial ratios and could limit our ability to obtain financing in the future.</w:t>
      </w:r>
    </w:p>
    <w:p>
      <w:pPr>
        <w:sectPr>
          <w:pgSz w:w="11900" w:h="16856" w:orient="portrait"/>
          <w:cols w:equalWidth="0" w:num="1">
            <w:col w:w="10920"/>
          </w:cols>
          <w:pgMar w:left="520" w:top="324" w:right="459" w:bottom="0" w:gutter="0" w:footer="0" w:header="0"/>
        </w:sect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0"/>
          <w:szCs w:val="10"/>
          <w:b w:val="1"/>
          <w:bCs w:val="1"/>
          <w:color w:val="auto"/>
        </w:rPr>
        <w:t>6</w:t>
      </w:r>
    </w:p>
    <w:p>
      <w:pPr>
        <w:sectPr>
          <w:pgSz w:w="11900" w:h="16856" w:orient="portrait"/>
          <w:cols w:equalWidth="0" w:num="1">
            <w:col w:w="10920"/>
          </w:cols>
          <w:pgMar w:left="520" w:top="324" w:right="459" w:bottom="0" w:gutter="0" w:footer="0" w:header="0"/>
          <w:type w:val="continuous"/>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ind w:left="80" w:right="260"/>
        <w:spacing w:after="0" w:line="263" w:lineRule="auto"/>
        <w:rPr>
          <w:sz w:val="20"/>
          <w:szCs w:val="20"/>
          <w:color w:val="auto"/>
        </w:rPr>
      </w:pPr>
      <w:r>
        <w:rPr>
          <w:rFonts w:ascii="Arial" w:cs="Arial" w:eastAsia="Arial" w:hAnsi="Arial"/>
          <w:sz w:val="18"/>
          <w:szCs w:val="18"/>
          <w:b w:val="1"/>
          <w:bCs w:val="1"/>
          <w:i w:val="1"/>
          <w:iCs w:val="1"/>
          <w:color w:val="auto"/>
        </w:rPr>
        <w:t>Our business depends on maintaining our licenses with the FCC. We could be prevented from operating a radio station if we fail to maintain its license.</w:t>
      </w:r>
    </w:p>
    <w:p>
      <w:pPr>
        <w:spacing w:after="0" w:line="157" w:lineRule="exact"/>
        <w:rPr>
          <w:sz w:val="20"/>
          <w:szCs w:val="20"/>
          <w:color w:val="auto"/>
        </w:rPr>
      </w:pPr>
    </w:p>
    <w:p>
      <w:pPr>
        <w:jc w:val="both"/>
        <w:ind w:left="80" w:firstLine="249"/>
        <w:spacing w:after="0" w:line="254" w:lineRule="auto"/>
        <w:rPr>
          <w:sz w:val="20"/>
          <w:szCs w:val="20"/>
          <w:color w:val="auto"/>
        </w:rPr>
      </w:pPr>
      <w:r>
        <w:rPr>
          <w:rFonts w:ascii="Arial" w:cs="Arial" w:eastAsia="Arial" w:hAnsi="Arial"/>
          <w:sz w:val="17"/>
          <w:szCs w:val="17"/>
          <w:color w:val="auto"/>
        </w:rPr>
        <w:t>Within our primary business, we are required to maintain radio broadcasting licenses issued by the FCC. These licenses are ordinarily issued for a maximum term of eight years and are renewable. Currently, subject to renewal, our radio broadcasting licenses expire at various times beginning August 2020 through April 28, 2028. While we anticipate receiving renewals of all of our broadcasting licenses, interested third parties may challenge our renewal applications. In addition, we are subject to extensive and changing regulation by the FCC with respect to such matters as programming, indecency standards, technical operations, employment and business practices. If we or any of our significant stockholders, officers, or directors violate the FCC’s rules and regulations or the Communications Act of 1934, as amended (the “Communications Act”), or is convicted of a felony or found to have engaged in certain other types of non-FCC related misconduct, the FCC may commence a proceeding to impose fines or other sanctions upon us. Examples of possible sanctions include the imposition of fines, the renewal of one or more of our broadcasting licenses for a term of fewer than eight years or the revocation of our broadcast licenses.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Disruptions or security breaches of our information technology infrastructure could interfere with our operations, compromise client information and expose us to liability, possibly causing our business and reputation to suffer.</w:t>
      </w:r>
    </w:p>
    <w:p>
      <w:pPr>
        <w:spacing w:after="0" w:line="157" w:lineRule="exact"/>
        <w:rPr>
          <w:sz w:val="20"/>
          <w:szCs w:val="20"/>
          <w:color w:val="auto"/>
        </w:rPr>
      </w:pPr>
    </w:p>
    <w:p>
      <w:pPr>
        <w:jc w:val="both"/>
        <w:ind w:left="80" w:firstLine="244"/>
        <w:spacing w:after="0"/>
        <w:rPr>
          <w:sz w:val="20"/>
          <w:szCs w:val="20"/>
          <w:color w:val="auto"/>
        </w:rPr>
      </w:pPr>
      <w:r>
        <w:rPr>
          <w:rFonts w:ascii="Arial" w:cs="Arial" w:eastAsia="Arial" w:hAnsi="Arial"/>
          <w:sz w:val="18"/>
          <w:szCs w:val="18"/>
          <w:color w:val="auto"/>
        </w:rPr>
        <w:t>Our industry is prone to cyber-attacks by third parties seeking unauthorized access to our data or users’ data. Any failure to prevent or mitigate security breaches and improper access to or disclosure of our data or user data could result in the loss or misuse of such data, which could harm our business and reputation and diminish our competitive position. In addition, computer malware, viruses, social engineering (predominantly spear phishing attacks), and general hacking have become more prevalent in general. Our efforts to protect our company’s data or the information we receive may be unsuccessful due to software bugs or other technical malfunctions; employee, contractor, or vendor error or malfeasance; government surveillance; or other threats that evolve. In addition, third parties may attempt to fraudulently induce employees or users to disclose information in order to gain access to our data or our users’ data on a continual basis.</w:t>
      </w:r>
    </w:p>
    <w:p>
      <w:pPr>
        <w:spacing w:after="0" w:line="178" w:lineRule="exact"/>
        <w:rPr>
          <w:sz w:val="20"/>
          <w:szCs w:val="20"/>
          <w:color w:val="auto"/>
        </w:rPr>
      </w:pPr>
    </w:p>
    <w:p>
      <w:pPr>
        <w:jc w:val="both"/>
        <w:ind w:left="80" w:firstLine="183"/>
        <w:spacing w:after="0"/>
        <w:rPr>
          <w:sz w:val="20"/>
          <w:szCs w:val="20"/>
          <w:color w:val="auto"/>
        </w:rPr>
      </w:pPr>
      <w:r>
        <w:rPr>
          <w:rFonts w:ascii="Arial" w:cs="Arial" w:eastAsia="Arial" w:hAnsi="Arial"/>
          <w:sz w:val="18"/>
          <w:szCs w:val="18"/>
          <w:color w:val="auto"/>
        </w:rPr>
        <w:t>Any internal technology breach, error or failure impacting systems hosted internally or externally, or any large scale external interruption in technology infrastructure we depend on, such as power, telecommunications or the Internet, may disrupt our technology network. Any individual, sustained or repeated failure of technology could impact our customer service and result in increased costs or reduced revenues. Our technology systems and related data also may be vulnerable to a variety of sources of interruption due to events beyond our control, including natural disasters, terrorist attacks, telecommunications failures, computer viruses, hackers and other security issues. Our technology security initiatives, disaster recovery plans and other measures may not be adequate or implemented properly to prevent a business disruption and its adverse financial consequences to our reputation.</w:t>
      </w:r>
    </w:p>
    <w:p>
      <w:pPr>
        <w:spacing w:after="0" w:line="178" w:lineRule="exact"/>
        <w:rPr>
          <w:sz w:val="20"/>
          <w:szCs w:val="20"/>
          <w:color w:val="auto"/>
        </w:rPr>
      </w:pPr>
    </w:p>
    <w:p>
      <w:pPr>
        <w:jc w:val="both"/>
        <w:ind w:left="80" w:firstLine="244"/>
        <w:spacing w:after="0" w:line="274" w:lineRule="auto"/>
        <w:rPr>
          <w:sz w:val="20"/>
          <w:szCs w:val="20"/>
          <w:color w:val="auto"/>
        </w:rPr>
      </w:pPr>
      <w:r>
        <w:rPr>
          <w:rFonts w:ascii="Arial" w:cs="Arial" w:eastAsia="Arial" w:hAnsi="Arial"/>
          <w:sz w:val="16"/>
          <w:szCs w:val="16"/>
          <w:color w:val="auto"/>
        </w:rPr>
        <w:t>In addition, as a part of our ordinary business operations, we may collect and store sensitive data, including personal information of our clients, listeners and employees. The secure operation of the networks and systems on which this type of information is stored, processed and maintained is critical to our business operations and strategy. Any compromise of our technology systems resulting from attacks by hackers or breaches due to employee error or malfeasance could result in the loss, disclosure, misappropriation of or access to clients', listeners', employees' or business partners' information. Any such loss, disclosure, misappropriation or access could result in legal claims or proceedings, liability or regulatory penalties under laws protecting the privacy of personal information, disruption of our operations and damage to our reputation, any or all of which could adversely affect our business. Although we have developed systems and processes that are designed to protect our data and user data, to prevent data loss, and to prevent or detect security breaches, we cannot assure you that such measures will provide absolute security.</w:t>
      </w:r>
    </w:p>
    <w:p>
      <w:pPr>
        <w:spacing w:after="0" w:line="150" w:lineRule="exact"/>
        <w:rPr>
          <w:sz w:val="20"/>
          <w:szCs w:val="20"/>
          <w:color w:val="auto"/>
        </w:rPr>
      </w:pPr>
    </w:p>
    <w:p>
      <w:pPr>
        <w:jc w:val="both"/>
        <w:ind w:left="80" w:firstLine="244"/>
        <w:spacing w:after="0" w:line="256" w:lineRule="auto"/>
        <w:rPr>
          <w:sz w:val="20"/>
          <w:szCs w:val="20"/>
          <w:color w:val="auto"/>
        </w:rPr>
      </w:pPr>
      <w:r>
        <w:rPr>
          <w:rFonts w:ascii="Arial" w:cs="Arial" w:eastAsia="Arial" w:hAnsi="Arial"/>
          <w:sz w:val="17"/>
          <w:szCs w:val="17"/>
          <w:color w:val="auto"/>
        </w:rPr>
        <w:t>In the event of a technical or cyber event, we could experience a significant, unplanned disruption, or substantial and extensive degradation of our services, or our network may fail in the future. Despite our significant infrastructure investments, we may have insufficient communications and server capacity to address these or other disruptions, which could result in interruptions in our services. Any widespread interruption or substantial and extensive degradation in the functioning of our IT or technical platform for any reason could negatively impact our revenue and could harm our business and results of operations. If such a widespread interruption occurred, or if we failed to deliver content to users as expected, our reputation could be damaged severely. Moreover, any disruptions, significant degradation, cybersecurity threats, security breaches, or attacks on our internal information technology systems could impact our ratings and cause us to lose listeners, users or viewers or make it more difficult to attract new ones, either of which could harm our business and results of operations.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Certain Regulatory Risks</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 FCC's media ownership rules could restrict our ability to acquire radio stations.</w:t>
      </w:r>
    </w:p>
    <w:p>
      <w:pPr>
        <w:spacing w:after="0" w:line="200" w:lineRule="exact"/>
        <w:rPr>
          <w:sz w:val="20"/>
          <w:szCs w:val="20"/>
          <w:color w:val="auto"/>
        </w:rPr>
      </w:pPr>
    </w:p>
    <w:p>
      <w:pPr>
        <w:jc w:val="both"/>
        <w:ind w:left="80"/>
        <w:spacing w:after="0" w:line="277" w:lineRule="auto"/>
        <w:rPr>
          <w:sz w:val="20"/>
          <w:szCs w:val="20"/>
          <w:color w:val="auto"/>
        </w:rPr>
      </w:pPr>
      <w:r>
        <w:rPr>
          <w:rFonts w:ascii="Arial" w:cs="Arial" w:eastAsia="Arial" w:hAnsi="Arial"/>
          <w:sz w:val="16"/>
          <w:szCs w:val="16"/>
          <w:color w:val="auto"/>
        </w:rPr>
        <w:t>The Communications Act and FCC rules and policies limit the number of broadcasting properties that any person or entity may own (directly or by attribution) in any market and require FCC approval for transfers of control and assignments of licenses. The FCC's media ownership rules remain subject to further agency and court proceedings. As a result of the FCC media ownership rules, the outside media interests of our officers and directors could limit our ability to acquire stations. The filing of petitions or complaints against Urban One or any FCC licensee from which we are acquiring a station could result in the FCC delaying the grant of, refusing to grant or imposing conditions on its consent to the assignment or transfer of control of licenses. The Communications Act and FCC rules and policies also impose limitations on non-U.S. ownership and voting of our capital stock.</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32385</wp:posOffset>
            </wp:positionV>
            <wp:extent cx="715454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000"/>
          </w:cols>
          <w:pgMar w:left="440" w:top="324" w:right="459" w:bottom="1440" w:gutter="0" w:footer="0" w:header="0"/>
        </w:sectPr>
      </w:pPr>
    </w:p>
    <w:bookmarkStart w:id="13" w:name="page14"/>
    <w:bookmarkEnd w:id="13"/>
    <w:p>
      <w:pPr>
        <w:spacing w:after="0" w:line="3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Enforcement by the FCC of its indecency rules against the broadcast industry could adversely affect our business operations.</w:t>
      </w:r>
    </w:p>
    <w:p>
      <w:pPr>
        <w:spacing w:after="0" w:line="200" w:lineRule="exact"/>
        <w:rPr>
          <w:sz w:val="20"/>
          <w:szCs w:val="20"/>
          <w:color w:val="auto"/>
        </w:rPr>
      </w:pPr>
    </w:p>
    <w:p>
      <w:pPr>
        <w:jc w:val="both"/>
        <w:ind w:left="80"/>
        <w:spacing w:after="0" w:line="252" w:lineRule="auto"/>
        <w:rPr>
          <w:sz w:val="20"/>
          <w:szCs w:val="20"/>
          <w:color w:val="auto"/>
        </w:rPr>
      </w:pPr>
      <w:r>
        <w:rPr>
          <w:rFonts w:ascii="Arial" w:cs="Arial" w:eastAsia="Arial" w:hAnsi="Arial"/>
          <w:sz w:val="17"/>
          <w:szCs w:val="17"/>
          <w:color w:val="auto"/>
        </w:rPr>
        <w:t>The FCC's rules prohibit the broadcast of obscene material at any time and indecent or profane material on broadcast stations between the hours of 6 a.m. and 10 p.m. Broadcasters risk violating the prohibition against broadcasting indecent material because of the vagueness of the FCC's indecency and profanity definitions, coupled with the spontaneity of live programming. The FCC has in the past vigorously enforced its indecency rules against the broadcasting industry and has threatened to initiate license revocation proceedings against broadcast licensees for "serious" indecency violations. In June 2012, the Supreme Court issued a decision which, while setting aside certain FCC indecency enforcement actions on narrow due process grounds, declined to rule on the constitutionality of the FCC's indecency policies. Following the Supreme Court's decision, the FCC requested public comment on the appropriate substance and scope of its indecency enforcement policy. It is not possible to predict whether and, if so, how the FCC will revise its indecency enforcement policies or the effect of any such changes on us. The fines for broadcasting indecent material are a maximum of $325,000 per utterance. The determination of whether content is indecent is inherently subjective and, as such, it can be difficult to predict whether particular content could violate indecency standards. The difficulty in predicting whether individual programs, words or phrases may violate the FCC's indecency rules adds significant uncertainty to our ability to comply with the rules. Violation of the indecency rules could lead to sanctions which may adversely affect our business and results of operations. In addition, third parties could oppose our license renewal applications or applications for consent to acquire broadcast stations on the grounds that we broadcast allegedly indecent programming on our stations. Some policymakers support the extension of the indecency rules that are applicable to over-the-air broadcasters to cover cable programming and/or attempts to increase enforcement of or otherwise expand existing laws and rules. If such an extension, attempt to increase enforcement, or other expansion took place and was found to be constitutional, some of TV One's content could be subject to additional regulation and might not be able to attract the same subscription and viewership levels.</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Changes in current federal regulations could adversely affect our business operations.</w:t>
      </w:r>
    </w:p>
    <w:p>
      <w:pPr>
        <w:spacing w:after="0" w:line="200" w:lineRule="exact"/>
        <w:rPr>
          <w:sz w:val="20"/>
          <w:szCs w:val="20"/>
          <w:color w:val="auto"/>
        </w:rPr>
      </w:pPr>
    </w:p>
    <w:p>
      <w:pPr>
        <w:jc w:val="both"/>
        <w:ind w:left="80" w:firstLine="183"/>
        <w:spacing w:after="0" w:line="256" w:lineRule="auto"/>
        <w:rPr>
          <w:sz w:val="20"/>
          <w:szCs w:val="20"/>
          <w:color w:val="auto"/>
        </w:rPr>
      </w:pPr>
      <w:r>
        <w:rPr>
          <w:rFonts w:ascii="Arial" w:cs="Arial" w:eastAsia="Arial" w:hAnsi="Arial"/>
          <w:sz w:val="17"/>
          <w:szCs w:val="17"/>
          <w:color w:val="auto"/>
        </w:rPr>
        <w:t>Congress and the FCC have considered, and may in the future consider and adopt, new laws, regulations and policies that could, directly or indirectly, affect the profitability of our broadcast stations. In particular, Congress may consider and adopt a revocation of terrestrial radio's exemption from paying royalties to performing artists and record companies for use of their recordings (radio already pays a royalty to songwriters, composers and publishers). In addition, commercial radio broadcasters and entities representing artists are negotiating agreements that could result in broadcast stations paying royalties to artists. A requirement to pay additional royalties could have an adverse effect on our business operations and financial performance. Moreover, it is possible that our license fees and negotiating costs associated with obtaining rights to use musical compositions and sound recordings in our programming could sharply increase as a result of private negotiations, one or more regulatory rate-setting processes, or administrative and court decisions. We cannot predict whether such increases will occur.</w:t>
      </w:r>
    </w:p>
    <w:p>
      <w:pPr>
        <w:spacing w:after="0" w:line="163" w:lineRule="exact"/>
        <w:rPr>
          <w:sz w:val="20"/>
          <w:szCs w:val="20"/>
          <w:color w:val="auto"/>
        </w:rPr>
      </w:pPr>
    </w:p>
    <w:p>
      <w:pPr>
        <w:jc w:val="both"/>
        <w:ind w:firstLine="183"/>
        <w:spacing w:after="0" w:line="254" w:lineRule="auto"/>
        <w:rPr>
          <w:sz w:val="20"/>
          <w:szCs w:val="20"/>
          <w:color w:val="auto"/>
        </w:rPr>
      </w:pPr>
      <w:r>
        <w:rPr>
          <w:rFonts w:ascii="Arial" w:cs="Arial" w:eastAsia="Arial" w:hAnsi="Arial"/>
          <w:sz w:val="17"/>
          <w:szCs w:val="17"/>
          <w:color w:val="auto"/>
        </w:rPr>
        <w:t>The television and distribution industries in the United States are highly regulated by U.S. federal laws and regulations issued and administered by various federal agencies, including the FCC. The television broadcasting industry is subject to extensive regulation by the FCC under the Communications Act. The U.S. Congress and the FCC currently have under consideration, and may in the future adopt, new laws, regulations, and policies regarding a wide variety of matters that could, directly or indirectly, affect the operation of TV One. For example, the FCC has initiated a proceeding to examine and potentially regulate more closely embedded advertising such as product placement and product integration. Enhanced restrictions affecting these means of delivering advertising messages may adversely affect TV One's advertising revenues. Changes to the media ownership and other FCC rules may affect the competitive landscape in ways that could increase the competition faced by TV One. Proposals have also been advanced from time to time before the U.S. Congress and the FCC to extend the program access rules (currently applicable only to those cable program services which also own or are owned by cable distribution systems) to all cable program services. TV One's ability to obtain the most favorable terms available for its content could be adversely affected should such an extension be enacted into law. TV One is unable to predict the effect that any such laws, regulations or policies may have on its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the Company's cash flow, results of operations or financial condition.</w:t>
      </w:r>
    </w:p>
    <w:p>
      <w:pPr>
        <w:spacing w:after="0" w:line="211" w:lineRule="exact"/>
        <w:rPr>
          <w:sz w:val="20"/>
          <w:szCs w:val="20"/>
          <w:color w:val="auto"/>
        </w:rPr>
      </w:pPr>
    </w:p>
    <w:p>
      <w:pPr>
        <w:jc w:val="both"/>
        <w:ind w:firstLine="185"/>
        <w:spacing w:after="0" w:line="241" w:lineRule="auto"/>
        <w:rPr>
          <w:sz w:val="20"/>
          <w:szCs w:val="20"/>
          <w:color w:val="auto"/>
        </w:rPr>
      </w:pPr>
      <w:r>
        <w:rPr>
          <w:rFonts w:ascii="Arial" w:cs="Arial" w:eastAsia="Arial" w:hAnsi="Arial"/>
          <w:sz w:val="18"/>
          <w:szCs w:val="18"/>
          <w:color w:val="auto"/>
        </w:rPr>
        <w:t>On December 22, 2017, the Tax Cuts and Jobs Act (the "Act") was signed into law and contains broad and complex changes to U.S. Federal tax laws. The Company has provided for an estimated impact of the Act in the financial statements. The Company's interpretation of the law changes requires significant judgments to be made, and significant estimates in the calculation of the provision for income taxes. However, additional guidance may be issued by the Internal Revenue Service, Department of Treasury, or other governing body that may significantly differ from the Company's interpretation of the Act's changes, which may result in a material adverse effect on the Company's cash flow,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changing federal, state or international privacy legislation or regulation could hinder the growth of our internet business.</w:t>
      </w:r>
    </w:p>
    <w:p>
      <w:pPr>
        <w:spacing w:after="0" w:line="200" w:lineRule="exact"/>
        <w:rPr>
          <w:sz w:val="20"/>
          <w:szCs w:val="20"/>
          <w:color w:val="auto"/>
        </w:rPr>
      </w:pPr>
    </w:p>
    <w:p>
      <w:pPr>
        <w:jc w:val="both"/>
        <w:ind w:firstLine="185"/>
        <w:spacing w:after="0"/>
        <w:rPr>
          <w:sz w:val="20"/>
          <w:szCs w:val="20"/>
          <w:color w:val="auto"/>
        </w:rPr>
      </w:pPr>
      <w:r>
        <w:rPr>
          <w:rFonts w:ascii="Arial" w:cs="Arial" w:eastAsia="Arial" w:hAnsi="Arial"/>
          <w:sz w:val="18"/>
          <w:szCs w:val="18"/>
          <w:color w:val="auto"/>
        </w:rPr>
        <w:t>A variety of federal and state laws govern the collection, use, retention, sharing and security of consumer data that our business uses to operate its services and to deliver certain advertisements to its customers, as well as the technologies used to collect such data. Not only are existing privacy-related laws in these jurisdictions evolving and subject to potentially disparate interpretation by governmental entities, new legislative proposals affecting privacy are now pending at both the federal and state level in the U.S. Changes to the interpretation of existing law or the adoption of new privacy-related requirements could hinder the growth of our business. Also, a failure or perceived failure to comply with such laws or requirements or with our own policies and procedures could result in significant liabilities, including a possible loss of consumer or investor confidence or a loss of customers or advertisers.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controls and procedures may fail or be circumvented, which may result in a material adverse effect on our business, financial condition and results of operations.</w:t>
      </w:r>
    </w:p>
    <w:p>
      <w:pPr>
        <w:spacing w:after="0" w:line="157" w:lineRule="exact"/>
        <w:rPr>
          <w:sz w:val="20"/>
          <w:szCs w:val="20"/>
          <w:color w:val="auto"/>
        </w:rPr>
      </w:pPr>
    </w:p>
    <w:p>
      <w:pPr>
        <w:jc w:val="both"/>
        <w:ind w:firstLine="170"/>
        <w:spacing w:after="0" w:line="285" w:lineRule="auto"/>
        <w:rPr>
          <w:sz w:val="20"/>
          <w:szCs w:val="20"/>
          <w:color w:val="auto"/>
        </w:rPr>
      </w:pPr>
      <w:r>
        <w:rPr>
          <w:rFonts w:ascii="Arial" w:cs="Arial" w:eastAsia="Arial" w:hAnsi="Arial"/>
          <w:sz w:val="16"/>
          <w:szCs w:val="16"/>
          <w:color w:val="auto"/>
        </w:rPr>
        <w:t>Management regularly reviews and updates our internal controls, disclosure controls and procedures, and corporate governance policies and procedures. Any system of controls, however well designed and operated, is based in part on certain assumptions and can provide only reasonable, not absolute, assurances that the objectives of the system are met. Any failure or circumvention of the controls and procedures or failure to comply with regulations related to controls and procedures could have a material adverse effect on our business, results of operations and financial condition.</w:t>
      </w:r>
    </w:p>
    <w:p>
      <w:pPr>
        <w:spacing w:after="0" w:line="143" w:lineRule="exact"/>
        <w:rPr>
          <w:sz w:val="20"/>
          <w:szCs w:val="20"/>
          <w:color w:val="auto"/>
        </w:rPr>
      </w:pPr>
    </w:p>
    <w:p>
      <w:pPr>
        <w:jc w:val="both"/>
        <w:ind w:firstLine="170"/>
        <w:spacing w:after="0" w:line="258" w:lineRule="auto"/>
        <w:rPr>
          <w:sz w:val="20"/>
          <w:szCs w:val="20"/>
          <w:color w:val="auto"/>
        </w:rPr>
      </w:pPr>
      <w:r>
        <w:rPr>
          <w:rFonts w:ascii="Arial" w:cs="Arial" w:eastAsia="Arial" w:hAnsi="Arial"/>
          <w:sz w:val="17"/>
          <w:szCs w:val="17"/>
          <w:color w:val="auto"/>
        </w:rPr>
        <w:t>Material weaknesses were identified in our internal control over financial reporting resulting from an error in the Company’s recording of an out-of-period tax provision adjustment of approximately $3.4 million during the quarter ended March 31, 2019, not designing and maintaining effective controls over the completeness and accuracy of the balances of the income tax related accounts during the quarter ended September 30, 2019, and not designing and maintaining effective controls over the adoption of ASC 842 right of use assets and lease liability accounts and related lease accounting activity during the quarter ended December 31, 2019. The specific issues leading to these conclusions are described in Item 9A in the Form 10-K filed for the year ended December 31, 2019 in “Management’s Report on Internal Control over Financial Reporting.”</w:t>
      </w:r>
    </w:p>
    <w:p>
      <w:pPr>
        <w:spacing w:after="0" w:line="163" w:lineRule="exact"/>
        <w:rPr>
          <w:sz w:val="20"/>
          <w:szCs w:val="20"/>
          <w:color w:val="auto"/>
        </w:rPr>
      </w:pPr>
    </w:p>
    <w:p>
      <w:pPr>
        <w:jc w:val="both"/>
        <w:ind w:firstLine="170"/>
        <w:spacing w:after="0" w:line="296"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began efforts to remediate the material weakness as part of the third quarter close of 2019. However, our remedial measures to address the material weakness</w:t>
      </w:r>
    </w:p>
    <w:p>
      <w:pPr>
        <w:sectPr>
          <w:pgSz w:w="11900" w:h="16869" w:orient="portrait"/>
          <w:cols w:equalWidth="0" w:num="1">
            <w:col w:w="11000"/>
          </w:cols>
          <w:pgMar w:left="440" w:top="324" w:right="459" w:bottom="0" w:gutter="0" w:footer="0" w:header="0"/>
        </w:sectPr>
      </w:pPr>
    </w:p>
    <w:bookmarkStart w:id="14" w:name="page15"/>
    <w:bookmarkEnd w:id="14"/>
    <w:p>
      <w:pPr>
        <w:jc w:val="both"/>
        <w:spacing w:after="0" w:line="244" w:lineRule="auto"/>
        <w:rPr>
          <w:sz w:val="20"/>
          <w:szCs w:val="20"/>
          <w:color w:val="auto"/>
        </w:rPr>
      </w:pPr>
      <w:r>
        <w:rPr>
          <w:rFonts w:ascii="Arial" w:cs="Arial" w:eastAsia="Arial" w:hAnsi="Arial"/>
          <w:sz w:val="18"/>
          <w:szCs w:val="18"/>
          <w:color w:val="auto"/>
        </w:rPr>
        <w:t>may be insufficient and we may in the future discover areas of our internal controls that need improvement. Failure to maintain effective controls or to timely implement any necessary improvement of our internal and disclosure controls could, among other things, result in losses from errors, harm our reputation, or cause investors to lose confidence in the reported financial information, all of which could have a material adverse effect on our results of operations and financial condition.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32385</wp:posOffset>
            </wp:positionV>
            <wp:extent cx="715454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Unique Risks Related to Our Cable Television Segment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affiliation agreements could materially adversely affect our cable segment’s results of operations.</w:t>
      </w:r>
    </w:p>
    <w:p>
      <w:pPr>
        <w:spacing w:after="0" w:line="200" w:lineRule="exact"/>
        <w:rPr>
          <w:sz w:val="20"/>
          <w:szCs w:val="20"/>
          <w:color w:val="auto"/>
        </w:rPr>
      </w:pPr>
    </w:p>
    <w:p>
      <w:pPr>
        <w:jc w:val="both"/>
        <w:ind w:firstLine="185"/>
        <w:spacing w:after="0" w:line="271" w:lineRule="auto"/>
        <w:rPr>
          <w:sz w:val="20"/>
          <w:szCs w:val="20"/>
          <w:color w:val="auto"/>
        </w:rPr>
      </w:pPr>
      <w:r>
        <w:rPr>
          <w:rFonts w:ascii="Arial" w:cs="Arial" w:eastAsia="Arial" w:hAnsi="Arial"/>
          <w:sz w:val="16"/>
          <w:szCs w:val="16"/>
          <w:color w:val="auto"/>
        </w:rPr>
        <w:t>Our cable television segment is dependent upon the maintenance of affiliation agreements with cable and direct broadcast distributors for its revenues, and there can be no assurance that these agreements will be renewed in the future on terms acceptable to such distributors. The loss of one or more of these arrangements could reduce the distribution of TV One's and/or CLEO TV’s programming services and reduce revenues from subscriber fees and advertising, as applicable. Further, the loss of favorable packaging, positioning, pricing or other marketing opportunities with any distributor could reduce revenues from subscribers and associated subscriber fees. In addition, consolidation among cable distributors and increased vertical integration of such distributors into the cable or broadcast network business have provided more leverage to these distributors and could adversely affect our cable television segment’s ability to maintain or obtain distribution for its network programming on favorable or commercially reasonable terms, or at all. The results of renewals could have a material adverse effect on our cable television segment’s revenues and results and operations. We cannot assure you that TV One and/or CLEO TV will be able to renew its affiliation agreements on commercially reasonable terms, or at all. The loss of a significant number of these arrangements or the loss of carriage on basic programming tiers could reduce the distribution of our content, which may adversely affect our revenues from subscriber fees and our ability to sell national and local advertising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consumer behavior resulting from new technologies and distribution platforms may impact the performance of our businesses.</w:t>
      </w:r>
    </w:p>
    <w:p>
      <w:pPr>
        <w:spacing w:after="0" w:line="223" w:lineRule="exact"/>
        <w:rPr>
          <w:sz w:val="20"/>
          <w:szCs w:val="20"/>
          <w:color w:val="auto"/>
        </w:rPr>
      </w:pPr>
    </w:p>
    <w:p>
      <w:pPr>
        <w:jc w:val="both"/>
        <w:ind w:firstLine="185"/>
        <w:spacing w:after="0" w:line="227" w:lineRule="auto"/>
        <w:rPr>
          <w:sz w:val="20"/>
          <w:szCs w:val="20"/>
          <w:color w:val="auto"/>
        </w:rPr>
      </w:pPr>
      <w:r>
        <w:rPr>
          <w:rFonts w:ascii="Arial" w:cs="Arial" w:eastAsia="Arial" w:hAnsi="Arial"/>
          <w:sz w:val="17"/>
          <w:szCs w:val="17"/>
          <w:color w:val="auto"/>
        </w:rPr>
        <w:t>Our cable television segment faces emerging competition from other providers of digital media, some of which have greater financial, marketing and other resources than we do. In particular, content offered over the internet has become more prevalent as the speed and quality of broadband networks have improved. Providers such as Hulu</w:t>
      </w:r>
      <w:r>
        <w:rPr>
          <w:rFonts w:ascii="Arial" w:cs="Arial" w:eastAsia="Arial" w:hAnsi="Arial"/>
          <w:sz w:val="28"/>
          <w:szCs w:val="28"/>
          <w:color w:val="auto"/>
          <w:vertAlign w:val="superscript"/>
        </w:rPr>
        <w:t>TM</w:t>
      </w:r>
      <w:r>
        <w:rPr>
          <w:rFonts w:ascii="Arial" w:cs="Arial" w:eastAsia="Arial" w:hAnsi="Arial"/>
          <w:sz w:val="17"/>
          <w:szCs w:val="17"/>
          <w:color w:val="auto"/>
        </w:rPr>
        <w:t>, Netflix</w:t>
      </w:r>
      <w:r>
        <w:rPr>
          <w:rFonts w:ascii="Arial" w:cs="Arial" w:eastAsia="Arial" w:hAnsi="Arial"/>
          <w:sz w:val="28"/>
          <w:szCs w:val="28"/>
          <w:color w:val="auto"/>
          <w:vertAlign w:val="superscript"/>
        </w:rPr>
        <w:t>TM</w:t>
      </w:r>
      <w:r>
        <w:rPr>
          <w:rFonts w:ascii="Arial" w:cs="Arial" w:eastAsia="Arial" w:hAnsi="Arial"/>
          <w:sz w:val="17"/>
          <w:szCs w:val="17"/>
          <w:color w:val="auto"/>
        </w:rPr>
        <w:t>, Apple</w:t>
      </w:r>
      <w:r>
        <w:rPr>
          <w:rFonts w:ascii="Arial" w:cs="Arial" w:eastAsia="Arial" w:hAnsi="Arial"/>
          <w:sz w:val="28"/>
          <w:szCs w:val="28"/>
          <w:color w:val="auto"/>
          <w:vertAlign w:val="superscript"/>
        </w:rPr>
        <w:t>TM</w:t>
      </w:r>
      <w:r>
        <w:rPr>
          <w:rFonts w:ascii="Arial" w:cs="Arial" w:eastAsia="Arial" w:hAnsi="Arial"/>
          <w:sz w:val="17"/>
          <w:szCs w:val="17"/>
          <w:color w:val="auto"/>
        </w:rPr>
        <w:t>, Amazon</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Google</w:t>
      </w:r>
      <w:r>
        <w:rPr>
          <w:rFonts w:ascii="Arial" w:cs="Arial" w:eastAsia="Arial" w:hAnsi="Arial"/>
          <w:sz w:val="28"/>
          <w:szCs w:val="28"/>
          <w:color w:val="auto"/>
          <w:vertAlign w:val="superscript"/>
        </w:rPr>
        <w:t>TM</w:t>
      </w:r>
      <w:r>
        <w:rPr>
          <w:rFonts w:ascii="Arial" w:cs="Arial" w:eastAsia="Arial" w:hAnsi="Arial"/>
          <w:sz w:val="17"/>
          <w:szCs w:val="17"/>
          <w:color w:val="auto"/>
        </w:rPr>
        <w:t>, as well as gaming and other consoles such as Microsoft's Xbox</w:t>
      </w:r>
      <w:r>
        <w:rPr>
          <w:rFonts w:ascii="Arial" w:cs="Arial" w:eastAsia="Arial" w:hAnsi="Arial"/>
          <w:sz w:val="28"/>
          <w:szCs w:val="28"/>
          <w:color w:val="auto"/>
          <w:vertAlign w:val="superscript"/>
        </w:rPr>
        <w:t>TM</w:t>
      </w:r>
      <w:r>
        <w:rPr>
          <w:rFonts w:ascii="Arial" w:cs="Arial" w:eastAsia="Arial" w:hAnsi="Arial"/>
          <w:sz w:val="17"/>
          <w:szCs w:val="17"/>
          <w:color w:val="auto"/>
        </w:rPr>
        <w:t>, Sony's PS4</w:t>
      </w:r>
      <w:r>
        <w:rPr>
          <w:rFonts w:ascii="Arial" w:cs="Arial" w:eastAsia="Arial" w:hAnsi="Arial"/>
          <w:sz w:val="28"/>
          <w:szCs w:val="28"/>
          <w:color w:val="auto"/>
          <w:vertAlign w:val="superscript"/>
        </w:rPr>
        <w:t>TM</w:t>
      </w:r>
      <w:r>
        <w:rPr>
          <w:rFonts w:ascii="Arial" w:cs="Arial" w:eastAsia="Arial" w:hAnsi="Arial"/>
          <w:sz w:val="17"/>
          <w:szCs w:val="17"/>
          <w:color w:val="auto"/>
        </w:rPr>
        <w:t>, Nintendo's Wii</w:t>
      </w:r>
      <w:r>
        <w:rPr>
          <w:rFonts w:ascii="Arial" w:cs="Arial" w:eastAsia="Arial" w:hAnsi="Arial"/>
          <w:sz w:val="28"/>
          <w:szCs w:val="28"/>
          <w:color w:val="auto"/>
          <w:vertAlign w:val="superscript"/>
        </w:rPr>
        <w:t>TM</w:t>
      </w:r>
      <w:r>
        <w:rPr>
          <w:rFonts w:ascii="Arial" w:cs="Arial" w:eastAsia="Arial" w:hAnsi="Arial"/>
          <w:sz w:val="17"/>
          <w:szCs w:val="17"/>
          <w:color w:val="auto"/>
        </w:rPr>
        <w:t>, and Roku</w:t>
      </w:r>
      <w:r>
        <w:rPr>
          <w:rFonts w:ascii="Arial" w:cs="Arial" w:eastAsia="Arial" w:hAnsi="Arial"/>
          <w:sz w:val="28"/>
          <w:szCs w:val="28"/>
          <w:color w:val="auto"/>
          <w:vertAlign w:val="superscript"/>
        </w:rPr>
        <w:t>TM</w:t>
      </w:r>
      <w:r>
        <w:rPr>
          <w:rFonts w:ascii="Arial" w:cs="Arial" w:eastAsia="Arial" w:hAnsi="Arial"/>
          <w:sz w:val="17"/>
          <w:szCs w:val="17"/>
          <w:color w:val="auto"/>
        </w:rPr>
        <w:t>, are aggressively establishing themselves as alternative providers of video services, including online TV services. Most recently, new online distribution services have emerged offering live sports and other content without paying for a traditional cable bundle of channels. These services and the growing availability of online content, coupled with an expanding market for mobile devices and tablets that allow users to view content on an on-demand basis and internet-connected televisions, may impact TV One's distribution for its services and content. Additionally, devices or services that allow users to view television programs away from traditional cable providers or on a time-shifted basis and technologies that enable users to fast-forward or skip programming, including commercials, such as DVRs and portable digital devices and systems that enable users to store or make portable copies of content, have caused changes in consumer behavior that may affect the attractiveness of our offerings to advertisers and could therefore adversely affect our revenues. If we cannot ensure that our distribution methods and content are responsive to TV One's target audiences, our business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Unique Risks Related to Our Capital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President and Chief Executive Officer has an interest in TV One that may conflict with your interests.</w:t>
      </w:r>
    </w:p>
    <w:p>
      <w:pPr>
        <w:spacing w:after="0" w:line="200" w:lineRule="exact"/>
        <w:rPr>
          <w:sz w:val="20"/>
          <w:szCs w:val="20"/>
          <w:color w:val="auto"/>
        </w:rPr>
      </w:pPr>
    </w:p>
    <w:p>
      <w:pPr>
        <w:jc w:val="both"/>
        <w:ind w:firstLine="185"/>
        <w:spacing w:after="0" w:line="268" w:lineRule="auto"/>
        <w:rPr>
          <w:sz w:val="20"/>
          <w:szCs w:val="20"/>
          <w:color w:val="auto"/>
        </w:rPr>
      </w:pPr>
      <w:r>
        <w:rPr>
          <w:rFonts w:ascii="Arial" w:cs="Arial" w:eastAsia="Arial" w:hAnsi="Arial"/>
          <w:sz w:val="16"/>
          <w:szCs w:val="16"/>
          <w:color w:val="auto"/>
        </w:rPr>
        <w:t>Pursuant to the terms of employment with our President and Chief Executive Officer, Mr. Alfred C. Liggins, III, in recognition of Mr. Liggins' contributions in founding TV One on our behalf, he is eligible to receive an award amount equal to approximately 4% of any proceeds from distributions or other liquidity events in excess of the return of our aggregate investment in TV One (the "Employment Agreement Award"). Our obligation to pay the award was triggered after our recovery of the aggregate amount of our pre-Comcast Buyout capital contribution in TV One, and payment is required only upon actual receipt of distributions of cash or marketable securities or proceeds from a liquidity event in excess of such invested amount. Mr. Liggins' rights to the Employment Agreement Award (i) cease if he is terminated for cause or he resigns without good reason and</w:t>
      </w:r>
    </w:p>
    <w:p>
      <w:pPr>
        <w:spacing w:after="0" w:line="4" w:lineRule="exact"/>
        <w:rPr>
          <w:sz w:val="20"/>
          <w:szCs w:val="20"/>
          <w:color w:val="auto"/>
        </w:rPr>
      </w:pPr>
    </w:p>
    <w:p>
      <w:pPr>
        <w:jc w:val="both"/>
        <w:ind w:firstLine="6"/>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expire at the termination of his employment (but similar rights could be included in the terms of a new employment agreement or arrangement). As a result of this arrangement, the interest of Mr. Liggins' with respect to TV One may conflict with your interests as holders of our debt or equity securities.</w:t>
      </w:r>
    </w:p>
    <w:p>
      <w:pPr>
        <w:spacing w:after="0" w:line="177" w:lineRule="exact"/>
        <w:rPr>
          <w:sz w:val="20"/>
          <w:szCs w:val="20"/>
          <w:color w:val="auto"/>
        </w:rPr>
      </w:pPr>
    </w:p>
    <w:p>
      <w:pPr>
        <w:jc w:val="both"/>
        <w:ind w:left="80"/>
        <w:spacing w:after="0" w:line="263" w:lineRule="auto"/>
        <w:rPr>
          <w:sz w:val="20"/>
          <w:szCs w:val="20"/>
          <w:color w:val="auto"/>
        </w:rPr>
      </w:pPr>
      <w:r>
        <w:rPr>
          <w:rFonts w:ascii="Arial" w:cs="Arial" w:eastAsia="Arial" w:hAnsi="Arial"/>
          <w:sz w:val="18"/>
          <w:szCs w:val="18"/>
          <w:b w:val="1"/>
          <w:bCs w:val="1"/>
          <w:i w:val="1"/>
          <w:iCs w:val="1"/>
          <w:color w:val="auto"/>
        </w:rPr>
        <w:t>Two common stockholders have a majority voting interest in Urban One and have the power to control matters on which our common stockholders may vote, and their interests may conflict with yours.</w:t>
      </w:r>
    </w:p>
    <w:p>
      <w:pPr>
        <w:spacing w:after="0" w:line="157" w:lineRule="exact"/>
        <w:rPr>
          <w:sz w:val="20"/>
          <w:szCs w:val="20"/>
          <w:color w:val="auto"/>
        </w:rPr>
      </w:pPr>
    </w:p>
    <w:p>
      <w:pPr>
        <w:jc w:val="both"/>
        <w:ind w:left="80" w:firstLine="183"/>
        <w:spacing w:after="0" w:line="277" w:lineRule="auto"/>
        <w:rPr>
          <w:sz w:val="20"/>
          <w:szCs w:val="20"/>
          <w:color w:val="auto"/>
        </w:rPr>
      </w:pPr>
      <w:r>
        <w:rPr>
          <w:rFonts w:ascii="Arial" w:cs="Arial" w:eastAsia="Arial" w:hAnsi="Arial"/>
          <w:sz w:val="16"/>
          <w:szCs w:val="16"/>
          <w:color w:val="auto"/>
        </w:rPr>
        <w:t>As of December 31, 2019, our Chairperson and her son, our President and CEO, collectively held in excess of 95% of the outstanding voting power of our common stock. As a result, our Chairperson and our CEO control our management and policies and decisions involving or impacting upon Urban One, including transactions involving a change of control, such as a sale or merger. The interests of these stockholders may differ from the interests of our other stockholders and our debt holders. In addition, certain covenants in our debt instruments require that our Chairperson and the CEO maintain a specified ownership and voting interest in Urban One, and prohibit other parties' voting interests from exceeding specified amounts. Our Chairperson and the CEO have agreed to vote their shares together in elections of members to the Board of Directors of Urban One.</w:t>
      </w:r>
    </w:p>
    <w:p>
      <w:pPr>
        <w:spacing w:after="0" w:line="150" w:lineRule="exact"/>
        <w:rPr>
          <w:sz w:val="20"/>
          <w:szCs w:val="20"/>
          <w:color w:val="auto"/>
        </w:rPr>
      </w:pPr>
    </w:p>
    <w:p>
      <w:pPr>
        <w:jc w:val="both"/>
        <w:ind w:left="80" w:firstLine="328"/>
        <w:spacing w:after="0" w:line="256" w:lineRule="auto"/>
        <w:rPr>
          <w:sz w:val="20"/>
          <w:szCs w:val="20"/>
          <w:color w:val="auto"/>
        </w:rPr>
      </w:pPr>
      <w:r>
        <w:rPr>
          <w:rFonts w:ascii="Arial" w:cs="Arial" w:eastAsia="Arial" w:hAnsi="Arial"/>
          <w:sz w:val="17"/>
          <w:szCs w:val="17"/>
          <w:color w:val="auto"/>
        </w:rPr>
        <w:t>Further, we are a "controlled company" under rules governing the listing of our securities on the NASDAQ Stock Market because more than 50% of our voting power is held by our Chairperson and the CEO. Therefore, we are not subject to NASDAQ Stock Market listing rules that would otherwise require us to have: (i) a majority of independent directors on the board; (ii) a compensation committee composed solely of independent directors; (iii) a nominating committee composed solely of independent directors; (iv) compensation of our executive officers determined by a majority of the independent directors or a compensation committee composed solely of independent directors; and (v) director nominees selected, or recommended for the board's selection, either by a majority of the independent directors or a nominating committee composed solely of independent directors. While a majority of our board members are currently independent directors, we do not make any assurances that a majority of our board members will be independent directors at any given time.</w:t>
      </w:r>
    </w:p>
    <w:p>
      <w:pPr>
        <w:sectPr>
          <w:pgSz w:w="11900" w:h="16838" w:orient="portrait"/>
          <w:cols w:equalWidth="0" w:num="1">
            <w:col w:w="11000"/>
          </w:cols>
          <w:pgMar w:left="440" w:top="320" w:right="459" w:bottom="1440"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46990</wp:posOffset>
            </wp:positionV>
            <wp:extent cx="715454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000"/>
          </w:cols>
          <w:pgMar w:left="440" w:top="320" w:right="459" w:bottom="1440" w:gutter="0" w:footer="0" w:header="0"/>
          <w:type w:val="continuous"/>
        </w:sectPr>
      </w:pPr>
    </w:p>
    <w:bookmarkStart w:id="16" w:name="page17"/>
    <w:bookmarkEnd w:id="16"/>
    <w:p>
      <w:pPr>
        <w:jc w:val="both"/>
        <w:ind w:right="140"/>
        <w:spacing w:after="0" w:line="249" w:lineRule="auto"/>
        <w:rPr>
          <w:sz w:val="20"/>
          <w:szCs w:val="20"/>
          <w:color w:val="auto"/>
        </w:rPr>
      </w:pPr>
      <w:r>
        <w:rPr>
          <w:rFonts w:ascii="Arial" w:cs="Arial" w:eastAsia="Arial" w:hAnsi="Arial"/>
          <w:sz w:val="18"/>
          <w:szCs w:val="18"/>
          <w:b w:val="1"/>
          <w:bCs w:val="1"/>
          <w:i w:val="1"/>
          <w:iCs w:val="1"/>
          <w:color w:val="auto"/>
        </w:rPr>
        <w:t>We are a smaller reporting company and a non-accelerated filer and we cannot be certain if the reduced disclosure requirements applicable to our filing status, as well as the exemption from the requirement to provide an auditor’s attestation report regarding the effectiveness of our internal controls, will make our common stock less attractive to investors.</w:t>
      </w:r>
    </w:p>
    <w:p>
      <w:pPr>
        <w:spacing w:after="0" w:line="169" w:lineRule="exact"/>
        <w:rPr>
          <w:sz w:val="20"/>
          <w:szCs w:val="20"/>
          <w:color w:val="auto"/>
        </w:rPr>
      </w:pPr>
    </w:p>
    <w:p>
      <w:pPr>
        <w:jc w:val="both"/>
        <w:ind w:right="140" w:firstLine="249"/>
        <w:spacing w:after="0" w:line="275" w:lineRule="auto"/>
        <w:rPr>
          <w:sz w:val="20"/>
          <w:szCs w:val="20"/>
          <w:color w:val="auto"/>
        </w:rPr>
      </w:pPr>
      <w:r>
        <w:rPr>
          <w:rFonts w:ascii="Arial" w:cs="Arial" w:eastAsia="Arial" w:hAnsi="Arial"/>
          <w:sz w:val="16"/>
          <w:szCs w:val="16"/>
          <w:color w:val="auto"/>
        </w:rPr>
        <w:t>We are a “smaller reporting company” and, thus, have certain decreased disclosure obligations in our SEC filings, including, among other things, simplified executive compensation disclosures and only being required to provide two years of audited financial statements in annual reports. We are also a “non-accelerated filer,” meaning we have a public float of less than $75 million measured as of the last business day of our most recently completed second fiscal quarter. As a “non-accelerated filer,” we are exempt from the provisions of Section 404(b) of the Sarbanes-Oxley Act requiring that independent registered public accounting firms provide an attestation report on the effectiveness of internal control over financial reporting. Decreased disclosures in our SEC filings due to our status as a “smaller reporting company” and as a “non-accelerated filer” may make it harder for investors to analyze our results of operations and financial prospects and may make our common stock a less attractive investment.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0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The market price of our Class A and/or Class D common stock may be adversely affected by the issuance and sale of our common stock, including pursuant to the sales agreement.</w:t>
      </w:r>
    </w:p>
    <w:p>
      <w:pPr>
        <w:spacing w:after="0" w:line="157" w:lineRule="exact"/>
        <w:rPr>
          <w:sz w:val="20"/>
          <w:szCs w:val="20"/>
          <w:color w:val="auto"/>
        </w:rPr>
      </w:pPr>
    </w:p>
    <w:p>
      <w:pPr>
        <w:jc w:val="both"/>
        <w:ind w:right="140" w:firstLine="339"/>
        <w:spacing w:after="0" w:line="296" w:lineRule="auto"/>
        <w:rPr>
          <w:sz w:val="20"/>
          <w:szCs w:val="20"/>
          <w:color w:val="auto"/>
        </w:rPr>
      </w:pPr>
      <w:r>
        <w:rPr>
          <w:rFonts w:ascii="Arial" w:cs="Arial" w:eastAsia="Arial" w:hAnsi="Arial"/>
          <w:sz w:val="16"/>
          <w:szCs w:val="16"/>
          <w:color w:val="auto"/>
        </w:rPr>
        <w:t>We are not restricted from issuing additional shares of our Class A or Class D common stock or other equity-related securities. We cannot predict the effect that issuances or sales of our common stock, may have on the market price for our common stock. The issuance and sale of substantial amounts of Class A or Class D common stock or other equity-related securities could adversely affect the market price of our common stock.</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market price of our Class A and/or Class D common stock may fluctuate significantly, and shares of our Class A and/or Class D common stock may trade at prices below the price at which you purchased them.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market price of our Class A and/or D common stock may fluctuate significantly as a result of many factors, including, but not limited to:</w:t>
      </w:r>
    </w:p>
    <w:p>
      <w:pPr>
        <w:spacing w:after="0" w:line="107" w:lineRule="exact"/>
        <w:rPr>
          <w:sz w:val="20"/>
          <w:szCs w:val="20"/>
          <w:color w:val="auto"/>
        </w:rPr>
      </w:pPr>
    </w:p>
    <w:p>
      <w:pPr>
        <w:ind w:left="600" w:hanging="267"/>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economic or political conditions;</w:t>
      </w:r>
    </w:p>
    <w:p>
      <w:pPr>
        <w:spacing w:after="0" w:line="143" w:lineRule="exact"/>
        <w:rPr>
          <w:rFonts w:ascii="Arial" w:cs="Arial" w:eastAsia="Arial" w:hAnsi="Arial"/>
          <w:sz w:val="15"/>
          <w:szCs w:val="15"/>
          <w:color w:val="auto"/>
        </w:rPr>
      </w:pPr>
    </w:p>
    <w:p>
      <w:pPr>
        <w:ind w:left="600" w:hanging="267"/>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volatility in the equity securities market;</w:t>
      </w:r>
    </w:p>
    <w:p>
      <w:pPr>
        <w:spacing w:after="0" w:line="143" w:lineRule="exact"/>
        <w:rPr>
          <w:rFonts w:ascii="Arial" w:cs="Arial" w:eastAsia="Arial" w:hAnsi="Arial"/>
          <w:sz w:val="15"/>
          <w:szCs w:val="15"/>
          <w:color w:val="auto"/>
        </w:rPr>
      </w:pPr>
    </w:p>
    <w:p>
      <w:pPr>
        <w:ind w:left="600" w:hanging="267"/>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operating and stock price performance of other companies that investors or analysts may deem comparable to us;</w:t>
      </w:r>
    </w:p>
    <w:p>
      <w:pPr>
        <w:spacing w:after="0" w:line="143" w:lineRule="exact"/>
        <w:rPr>
          <w:rFonts w:ascii="Arial" w:cs="Arial" w:eastAsia="Arial" w:hAnsi="Arial"/>
          <w:sz w:val="15"/>
          <w:szCs w:val="15"/>
          <w:color w:val="auto"/>
        </w:rPr>
      </w:pPr>
    </w:p>
    <w:p>
      <w:pPr>
        <w:ind w:left="600" w:hanging="267"/>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investors’ and analysts’ perception of our and/or our industry’s risk and return characteristics relative to other investment alternatives;</w:t>
      </w:r>
    </w:p>
    <w:p>
      <w:pPr>
        <w:spacing w:after="0" w:line="143" w:lineRule="exact"/>
        <w:rPr>
          <w:rFonts w:ascii="Arial" w:cs="Arial" w:eastAsia="Arial" w:hAnsi="Arial"/>
          <w:sz w:val="15"/>
          <w:szCs w:val="15"/>
          <w:color w:val="auto"/>
        </w:rPr>
      </w:pPr>
    </w:p>
    <w:p>
      <w:pPr>
        <w:ind w:left="600" w:hanging="267"/>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differences between our actual financial and operating results and those expected by investors and analysts;</w:t>
      </w:r>
    </w:p>
    <w:p>
      <w:pPr>
        <w:spacing w:after="0" w:line="143" w:lineRule="exact"/>
        <w:rPr>
          <w:rFonts w:ascii="Arial" w:cs="Arial" w:eastAsia="Arial" w:hAnsi="Arial"/>
          <w:sz w:val="15"/>
          <w:szCs w:val="15"/>
          <w:color w:val="auto"/>
        </w:rPr>
      </w:pPr>
    </w:p>
    <w:p>
      <w:pPr>
        <w:ind w:left="600" w:hanging="267"/>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adverse outcomes from litigation or regulatory or other governmental proceedings or investigations; and</w:t>
      </w:r>
    </w:p>
    <w:p>
      <w:pPr>
        <w:spacing w:after="0" w:line="98" w:lineRule="exact"/>
        <w:rPr>
          <w:rFonts w:ascii="Arial" w:cs="Arial" w:eastAsia="Arial" w:hAnsi="Arial"/>
          <w:sz w:val="15"/>
          <w:szCs w:val="15"/>
          <w:color w:val="auto"/>
        </w:rPr>
      </w:pPr>
    </w:p>
    <w:p>
      <w:pPr>
        <w:ind w:left="600" w:hanging="267"/>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regulation or tax law.</w:t>
      </w:r>
    </w:p>
    <w:p>
      <w:pPr>
        <w:spacing w:after="0" w:line="203" w:lineRule="exact"/>
        <w:rPr>
          <w:sz w:val="20"/>
          <w:szCs w:val="20"/>
          <w:color w:val="auto"/>
        </w:rPr>
      </w:pPr>
    </w:p>
    <w:p>
      <w:pPr>
        <w:jc w:val="both"/>
        <w:ind w:right="140" w:firstLine="542"/>
        <w:spacing w:after="0" w:line="245" w:lineRule="auto"/>
        <w:rPr>
          <w:sz w:val="20"/>
          <w:szCs w:val="20"/>
          <w:color w:val="auto"/>
        </w:rPr>
      </w:pPr>
      <w:r>
        <w:rPr>
          <w:rFonts w:ascii="Arial" w:cs="Arial" w:eastAsia="Arial" w:hAnsi="Arial"/>
          <w:sz w:val="18"/>
          <w:szCs w:val="18"/>
          <w:color w:val="auto"/>
        </w:rPr>
        <w:t>These factors, as well as those referred to under “Risks Related to Our Business” above and other factors relating to the market as a whole or our industry, may adversely affect the market price of our common stock, regardless, in some instances, of our actual operating performance. As a result, shares of our Class A and/or Class D common stock may trade at prices significantly below the price paid by you to acquire shares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pay dividends on our common stock, which could adversely affect the market price of our Class A and/or Class D common stock</w:t>
      </w:r>
      <w:r>
        <w:rPr>
          <w:rFonts w:ascii="Arial" w:cs="Arial" w:eastAsia="Arial" w:hAnsi="Arial"/>
          <w:sz w:val="16"/>
          <w:szCs w:val="16"/>
          <w:color w:val="auto"/>
        </w:rPr>
        <w:t>.</w:t>
      </w:r>
    </w:p>
    <w:p>
      <w:pPr>
        <w:spacing w:after="0" w:line="223"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color w:val="auto"/>
        </w:rPr>
        <w:t>Since first selling our common stock publicly in May 1999, we have not declared any cash dividends on any class of our common stock. We intend to retain future earnings for use in our business and do not anticipate declaring or paying any cash or stock dividends on shares of our common stock in the foreseeable future. In addition, any determination to declare and pay dividends will be made by our board of directors in light of our earnings, financial position, capital requirements, contractual restrictions contained in our credit facility and the indentures governing our senior subordinated notes, and other factors as the board of directors deems relevant.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Class A and our Class D common stock are equity securities and are subordinate to our existing and any future indebtedness.</w:t>
      </w:r>
    </w:p>
    <w:p>
      <w:pPr>
        <w:spacing w:after="0" w:line="211"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auto"/>
        </w:rPr>
        <w:t>Shares of our Class A and D common stock are equity interests and, as such, rank junior to all of our current indebtedness as well as any indebtedness incurred by us in the future. Accordingly, in the event of a bankruptcy, liquidation or other similar proceeding, your rights as a holder of our Class A and D common stock will be subordinate to the rights of the holders of our indebtedness and any other non-equity claims against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organizational documents and under Delaware law may deter or delay an acquisition of us.</w:t>
      </w:r>
    </w:p>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provisions of the Delaware General Corporation Law and our articles of incorporation and bylaws may deter or delay certain transactions that our shareholders may otherwise consider to be in their best interest, including transactions that might result in our shareholders receiving a premium for their shares. See “Description of Common Stock” in the accompanying base prospectus and the material referred to therein for more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02564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5640" cy="14605"/>
                    </a:xfrm>
                    <a:prstGeom prst="rect">
                      <a:avLst/>
                    </a:prstGeom>
                    <a:noFill/>
                  </pic:spPr>
                </pic:pic>
              </a:graphicData>
            </a:graphic>
          </wp:anchor>
        </w:drawing>
      </w:r>
    </w:p>
    <w:p>
      <w:pPr>
        <w:sectPr>
          <w:pgSz w:w="11900" w:h="16838" w:orient="portrait"/>
          <w:cols w:equalWidth="0" w:num="1">
            <w:col w:w="11060"/>
          </w:cols>
          <w:pgMar w:left="520" w:top="324" w:right="319" w:bottom="1440" w:gutter="0" w:footer="0" w:header="0"/>
        </w:sectPr>
      </w:pPr>
    </w:p>
    <w:bookmarkStart w:id="17" w:name="page18"/>
    <w:bookmarkEnd w:id="17"/>
    <w:p>
      <w:pPr>
        <w:jc w:val="center"/>
        <w:ind w:right="2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7" w:lineRule="exact"/>
        <w:rPr>
          <w:sz w:val="20"/>
          <w:szCs w:val="20"/>
          <w:color w:val="auto"/>
        </w:rPr>
      </w:pPr>
    </w:p>
    <w:p>
      <w:pPr>
        <w:jc w:val="both"/>
        <w:ind w:right="200"/>
        <w:spacing w:after="0" w:line="249" w:lineRule="auto"/>
        <w:rPr>
          <w:sz w:val="20"/>
          <w:szCs w:val="20"/>
          <w:color w:val="auto"/>
        </w:rPr>
      </w:pPr>
      <w:r>
        <w:rPr>
          <w:rFonts w:ascii="Arial" w:cs="Arial" w:eastAsia="Arial" w:hAnsi="Arial"/>
          <w:sz w:val="18"/>
          <w:szCs w:val="18"/>
          <w:color w:val="auto"/>
        </w:rPr>
        <w:t>We will retain broad discretion over the use of the net proceeds to us from the sale of our securities under this prospectus. Unless we indicate otherwise in the applicable prospectus supplement, we anticipate that any net proceeds will be used for general corporate purposes. General corporate purposes may include:</w:t>
      </w:r>
    </w:p>
    <w:p>
      <w:pPr>
        <w:spacing w:after="0" w:line="178" w:lineRule="exact"/>
        <w:rPr>
          <w:sz w:val="20"/>
          <w:szCs w:val="20"/>
          <w:color w:val="auto"/>
        </w:rPr>
      </w:pPr>
    </w:p>
    <w:p>
      <w:pPr>
        <w:ind w:left="440" w:hanging="84"/>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providing working capital;</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funding capital expenditures;</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acquisitions or other investments in our business; or</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repaying debt.</w:t>
      </w:r>
    </w:p>
    <w:p>
      <w:pPr>
        <w:spacing w:after="0" w:line="200" w:lineRule="exact"/>
        <w:rPr>
          <w:sz w:val="20"/>
          <w:szCs w:val="20"/>
          <w:color w:val="auto"/>
        </w:rPr>
      </w:pPr>
    </w:p>
    <w:p>
      <w:pPr>
        <w:spacing w:after="0" w:line="207" w:lineRule="exact"/>
        <w:rPr>
          <w:sz w:val="20"/>
          <w:szCs w:val="20"/>
          <w:color w:val="auto"/>
        </w:rPr>
      </w:pPr>
    </w:p>
    <w:p>
      <w:pPr>
        <w:jc w:val="both"/>
        <w:ind w:right="200"/>
        <w:spacing w:after="0" w:line="245" w:lineRule="auto"/>
        <w:rPr>
          <w:sz w:val="20"/>
          <w:szCs w:val="20"/>
          <w:color w:val="auto"/>
        </w:rPr>
      </w:pPr>
      <w:r>
        <w:rPr>
          <w:rFonts w:ascii="Arial" w:cs="Arial" w:eastAsia="Arial" w:hAnsi="Arial"/>
          <w:sz w:val="18"/>
          <w:szCs w:val="18"/>
          <w:color w:val="auto"/>
        </w:rPr>
        <w:t>Pending application of the net proceeds from any particular offering, we intend to invest such proceeds in short-term, interest-bearing, investment-grade securities. Each time we issue securities, we will provide a prospectus supplement that will contain information about how we intend to use the proceeds from each such offering. We cannot guarantee that we will receive any proceeds in connection with any offering hereunder because we may choose not to issue any of the securities covered by this prospectus.</w:t>
      </w:r>
    </w:p>
    <w:p>
      <w:pPr>
        <w:spacing w:after="0" w:line="37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PLAN OF DISTRIBUTION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208" w:lineRule="exact"/>
        <w:rPr>
          <w:sz w:val="20"/>
          <w:szCs w:val="20"/>
          <w:color w:val="auto"/>
        </w:rPr>
      </w:pPr>
    </w:p>
    <w:p>
      <w:pPr>
        <w:ind w:left="440" w:hanging="84"/>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directly to one or more purchasers;</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or through underwriters, brokers or dealers; or</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through a combination of any of these methods.</w:t>
      </w:r>
    </w:p>
    <w:p>
      <w:pPr>
        <w:spacing w:after="0" w:line="203" w:lineRule="exact"/>
        <w:rPr>
          <w:sz w:val="20"/>
          <w:szCs w:val="20"/>
          <w:color w:val="auto"/>
        </w:rPr>
      </w:pPr>
    </w:p>
    <w:p>
      <w:pPr>
        <w:ind w:right="820"/>
        <w:spacing w:after="0" w:line="293" w:lineRule="auto"/>
        <w:rPr>
          <w:sz w:val="20"/>
          <w:szCs w:val="20"/>
          <w:color w:val="auto"/>
        </w:rPr>
      </w:pPr>
      <w:r>
        <w:rPr>
          <w:rFonts w:ascii="Arial" w:cs="Arial" w:eastAsia="Arial" w:hAnsi="Arial"/>
          <w:sz w:val="17"/>
          <w:szCs w:val="17"/>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 through:</w:t>
      </w:r>
    </w:p>
    <w:p>
      <w:pPr>
        <w:spacing w:after="0" w:line="208" w:lineRule="exact"/>
        <w:rPr>
          <w:sz w:val="20"/>
          <w:szCs w:val="20"/>
          <w:color w:val="auto"/>
        </w:rPr>
      </w:pPr>
    </w:p>
    <w:p>
      <w:pPr>
        <w:ind w:left="440" w:hanging="84"/>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block trade in which a broker-dealer will attempt to sell as agent, but may position or resell a portion of the block, as principal, in order to facilitate the transaction;</w:t>
      </w:r>
    </w:p>
    <w:p>
      <w:pPr>
        <w:spacing w:after="0" w:line="223" w:lineRule="exact"/>
        <w:rPr>
          <w:rFonts w:ascii="Arial" w:cs="Arial" w:eastAsia="Arial" w:hAnsi="Arial"/>
          <w:sz w:val="14"/>
          <w:szCs w:val="14"/>
          <w:color w:val="auto"/>
        </w:rPr>
      </w:pPr>
    </w:p>
    <w:p>
      <w:pPr>
        <w:ind w:left="440" w:hanging="84"/>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purchases by a broker-dealer, as principal, and resale by the broker-dealer for its account;</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ordinary brokerage transactions and transactions in which a broker solicits purchasers;</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at-the-market offerings into an existing trading market in accordance with Rule 415(a)(4), through an underwriter or underwriters acting as principal or agent; or</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privately negotiated transactions.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208" w:lineRule="exact"/>
        <w:rPr>
          <w:sz w:val="20"/>
          <w:szCs w:val="20"/>
          <w:color w:val="auto"/>
        </w:rPr>
      </w:pPr>
    </w:p>
    <w:p>
      <w:pPr>
        <w:ind w:left="440" w:hanging="84"/>
        <w:spacing w:after="0" w:line="313" w:lineRule="auto"/>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enter into transactions with a broker-dealer or affiliate thereof in connection with which such broker-dealer or affiliate will engage in short sales of the common stock pursuant to this prospectus, in which case such broker- dealer or affiliate may use shares of common stock received from us to close out its short positions;</w:t>
      </w:r>
    </w:p>
    <w:p>
      <w:pPr>
        <w:spacing w:after="0" w:line="145" w:lineRule="exact"/>
        <w:rPr>
          <w:rFonts w:ascii="Arial" w:cs="Arial" w:eastAsia="Arial" w:hAnsi="Arial"/>
          <w:sz w:val="14"/>
          <w:szCs w:val="14"/>
          <w:color w:val="auto"/>
        </w:rPr>
      </w:pPr>
    </w:p>
    <w:p>
      <w:pPr>
        <w:ind w:left="440" w:hanging="84"/>
        <w:spacing w:after="0"/>
        <w:tabs>
          <w:tab w:leader="none" w:pos="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sell securities short and redeliver such shares to close out our short positions;</w:t>
      </w:r>
    </w:p>
    <w:p>
      <w:pPr>
        <w:spacing w:after="0" w:line="211" w:lineRule="exact"/>
        <w:rPr>
          <w:rFonts w:ascii="Arial" w:cs="Arial" w:eastAsia="Arial" w:hAnsi="Arial"/>
          <w:sz w:val="15"/>
          <w:szCs w:val="15"/>
          <w:color w:val="auto"/>
        </w:rPr>
      </w:pPr>
    </w:p>
    <w:p>
      <w:pPr>
        <w:ind w:left="440" w:right="280" w:hanging="84"/>
        <w:spacing w:after="0" w:line="276" w:lineRule="auto"/>
        <w:tabs>
          <w:tab w:leader="none" w:pos="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enter into option or other types of transactions that require us to deliver common stock to a broker-dealer or an affiliate thereof, who will then resell or transfer the common stock under this prospectus; or</w:t>
      </w:r>
    </w:p>
    <w:p>
      <w:pPr>
        <w:spacing w:after="0" w:line="168" w:lineRule="exact"/>
        <w:rPr>
          <w:rFonts w:ascii="Arial" w:cs="Arial" w:eastAsia="Arial" w:hAnsi="Arial"/>
          <w:sz w:val="15"/>
          <w:szCs w:val="15"/>
          <w:color w:val="auto"/>
        </w:rPr>
      </w:pPr>
    </w:p>
    <w:p>
      <w:pPr>
        <w:ind w:left="440" w:right="320" w:hanging="84"/>
        <w:spacing w:after="0" w:line="276" w:lineRule="auto"/>
        <w:tabs>
          <w:tab w:leader="none" w:pos="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loan or pledge the common stock to a broker-dealer or an affiliate thereof, who may sell the loaned shares or, in an event of default in the case of a pledge, sell the pledged shares pursuant to this prospectus.</w:t>
      </w:r>
    </w:p>
    <w:p>
      <w:pPr>
        <w:spacing w:after="0" w:line="160"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ectPr>
          <w:pgSz w:w="11900" w:h="16838" w:orient="portrait"/>
          <w:cols w:equalWidth="0" w:num="1">
            <w:col w:w="11060"/>
          </w:cols>
          <w:pgMar w:left="520" w:top="320" w:right="319" w:bottom="1440" w:gutter="0" w:footer="0" w:header="0"/>
        </w:sect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46990</wp:posOffset>
            </wp:positionV>
            <wp:extent cx="715454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060"/>
          </w:cols>
          <w:pgMar w:left="520" w:top="320" w:right="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208" w:lineRule="exact"/>
        <w:rPr>
          <w:sz w:val="20"/>
          <w:szCs w:val="20"/>
          <w:color w:val="auto"/>
        </w:rPr>
      </w:pPr>
    </w:p>
    <w:p>
      <w:pPr>
        <w:ind w:left="440" w:hanging="84"/>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name or names of any underwriters or agents and the amounts of securities underwritten or purchased by each of them, if any;</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public offering price or purchase price of the securities and the net proceeds to be received by us from the sale;</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delayed delivery arrangements;</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underwriting discounts or agency fees and other items constituting underwriter or agent compensation;</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discounts or concessions allowed or reallowed or paid to dealers; and</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securities exchange or markets on which the securities may be listed.</w:t>
      </w:r>
    </w:p>
    <w:p>
      <w:pPr>
        <w:spacing w:after="0" w:line="200" w:lineRule="exact"/>
        <w:rPr>
          <w:sz w:val="20"/>
          <w:szCs w:val="20"/>
          <w:color w:val="auto"/>
        </w:rPr>
      </w:pPr>
    </w:p>
    <w:p>
      <w:pPr>
        <w:spacing w:after="0" w:line="20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65" w:lineRule="exact"/>
        <w:rPr>
          <w:sz w:val="20"/>
          <w:szCs w:val="20"/>
          <w:color w:val="auto"/>
        </w:rPr>
      </w:pPr>
    </w:p>
    <w:p>
      <w:pPr>
        <w:ind w:left="440" w:hanging="84"/>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a fixed price or prices, which may be changed;</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market prices prevailing at the time of sale;</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prices related to the prevailing market prices; or</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negotiated prices.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Class A shares may be "underwriters" as defined in the Securities Act. Any discounts or commissions they receive and any profits they receive on the resale of the offered Class A shares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underwriters are used in a sale, they will acquire the offered Class A shares for their own account. The underwriters may resell the offered Class A shares in one or more transactions, including negotiated transactions. These sales may be made at a fixed public offering price or prices, which may be changed, at market prices prevailing at the time of the sale, at prices related to such prevailing market price or at negotiated prices. The securities may be offered to the public through an underwriting syndicate or through a single underwriter. The underwriters in any particular offering will be mentioned in the applicable prospectus supplement or pricing supplement, as the case may be.</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Class A shares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may designate agents to sell the offered Class A shares. Unless otherwise specified in connection with any particular offering of securities, the agents will agree to use their best efforts to solicit purchases for the period of their appointment. We may also sell the offered Class A shares to one or more remarketing firms, acting as principals for their own accounts or as agents for us. These firms will remarket the offered Class A shares upon purchasing them in accordance with a redemption or repayment pursuant to the terms of the offered Class A shares. A prospectus supplement or pricing supplement, as the case may be will identify any remarketing firm and will describe the terms of its agreement, if any, with us and its compensation.</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our outstanding securities are received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in this offering under these arrangements to close out any related open borrowings of securities.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32385</wp:posOffset>
            </wp:positionV>
            <wp:extent cx="715454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860"/>
          </w:cols>
          <w:pgMar w:left="520" w:top="324" w:right="519" w:bottom="1440" w:gutter="0" w:footer="0" w:header="0"/>
        </w:sectPr>
      </w:pPr>
    </w:p>
    <w:bookmarkStart w:id="19" w:name="page20"/>
    <w:bookmarkEnd w:id="19"/>
    <w:p>
      <w:pPr>
        <w:ind w:left="80"/>
        <w:spacing w:after="0"/>
        <w:rPr>
          <w:sz w:val="20"/>
          <w:szCs w:val="20"/>
          <w:color w:val="auto"/>
        </w:rPr>
      </w:pPr>
      <w:r>
        <w:rPr>
          <w:rFonts w:ascii="Arial" w:cs="Arial" w:eastAsia="Arial" w:hAnsi="Arial"/>
          <w:sz w:val="18"/>
          <w:szCs w:val="18"/>
          <w:b w:val="1"/>
          <w:bCs w:val="1"/>
          <w:color w:val="auto"/>
        </w:rPr>
        <w:t>Dealers</w:t>
      </w:r>
    </w:p>
    <w:p>
      <w:pPr>
        <w:spacing w:after="0" w:line="204" w:lineRule="exact"/>
        <w:rPr>
          <w:sz w:val="20"/>
          <w:szCs w:val="20"/>
          <w:color w:val="auto"/>
        </w:rPr>
      </w:pPr>
    </w:p>
    <w:p>
      <w:pPr>
        <w:jc w:val="both"/>
        <w:ind w:left="80" w:right="200"/>
        <w:spacing w:after="0" w:line="271" w:lineRule="auto"/>
        <w:rPr>
          <w:sz w:val="20"/>
          <w:szCs w:val="20"/>
          <w:color w:val="auto"/>
        </w:rPr>
      </w:pPr>
      <w:r>
        <w:rPr>
          <w:rFonts w:ascii="Arial" w:cs="Arial" w:eastAsia="Arial" w:hAnsi="Arial"/>
          <w:sz w:val="17"/>
          <w:szCs w:val="17"/>
          <w:color w:val="auto"/>
        </w:rPr>
        <w:t>We may sell the offered Class A shares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Direct Sales</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 may choose to sell the offered Class A shares directly. In this case, no underwriters or agents would be involved.</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Institutional Purchasers</w:t>
      </w:r>
    </w:p>
    <w:p>
      <w:pPr>
        <w:spacing w:after="0" w:line="204" w:lineRule="exact"/>
        <w:rPr>
          <w:sz w:val="20"/>
          <w:szCs w:val="20"/>
          <w:color w:val="auto"/>
        </w:rPr>
      </w:pPr>
    </w:p>
    <w:p>
      <w:pPr>
        <w:jc w:val="both"/>
        <w:ind w:left="80" w:right="200"/>
        <w:spacing w:after="0" w:line="245"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72" w:lineRule="exact"/>
        <w:rPr>
          <w:sz w:val="20"/>
          <w:szCs w:val="20"/>
          <w:color w:val="auto"/>
        </w:rPr>
      </w:pPr>
    </w:p>
    <w:p>
      <w:pPr>
        <w:jc w:val="both"/>
        <w:ind w:left="80" w:right="200"/>
        <w:spacing w:after="0" w:line="263" w:lineRule="auto"/>
        <w:rPr>
          <w:sz w:val="20"/>
          <w:szCs w:val="20"/>
          <w:color w:val="auto"/>
        </w:rPr>
      </w:pPr>
      <w:r>
        <w:rPr>
          <w:rFonts w:ascii="Arial" w:cs="Arial" w:eastAsia="Arial" w:hAnsi="Arial"/>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Indemnification; Other Relationships</w:t>
      </w:r>
    </w:p>
    <w:p>
      <w:pPr>
        <w:spacing w:after="0" w:line="204" w:lineRule="exact"/>
        <w:rPr>
          <w:sz w:val="20"/>
          <w:szCs w:val="20"/>
          <w:color w:val="auto"/>
        </w:rPr>
      </w:pPr>
    </w:p>
    <w:p>
      <w:pPr>
        <w:jc w:val="both"/>
        <w:ind w:left="140"/>
        <w:spacing w:after="0" w:line="271" w:lineRule="auto"/>
        <w:rPr>
          <w:sz w:val="20"/>
          <w:szCs w:val="20"/>
          <w:color w:val="auto"/>
        </w:rPr>
      </w:pPr>
      <w:r>
        <w:rPr>
          <w:rFonts w:ascii="Arial" w:cs="Arial" w:eastAsia="Arial" w:hAnsi="Arial"/>
          <w:sz w:val="17"/>
          <w:szCs w:val="17"/>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204" w:lineRule="exact"/>
        <w:rPr>
          <w:sz w:val="20"/>
          <w:szCs w:val="20"/>
          <w:color w:val="auto"/>
        </w:rPr>
      </w:pPr>
    </w:p>
    <w:p>
      <w:pPr>
        <w:jc w:val="both"/>
        <w:ind w:right="200"/>
        <w:spacing w:after="0" w:line="277" w:lineRule="auto"/>
        <w:rPr>
          <w:sz w:val="20"/>
          <w:szCs w:val="20"/>
          <w:color w:val="auto"/>
        </w:rPr>
      </w:pPr>
      <w:r>
        <w:rPr>
          <w:rFonts w:ascii="Arial" w:cs="Arial" w:eastAsia="Arial" w:hAnsi="Arial"/>
          <w:sz w:val="16"/>
          <w:szCs w:val="16"/>
          <w:color w:val="auto"/>
        </w:rPr>
        <w:t>If the offered Class A shares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Class A shares, such underwriter would not be obligated to do so, and any such market-making could be discontinued at any time without notice. Therefore, no assurance can be given as to whether an active trading market will develop for the offered Class A shares. We have no current plans for the listing of the debt securities or preferred stock on any securities exchange; any such listing with respect to any particular debt securities or preferred stock will be described in the applicable prospectus supplement or pricing supplement, as the case may be.</w:t>
      </w:r>
    </w:p>
    <w:p>
      <w:pPr>
        <w:spacing w:after="0" w:line="150" w:lineRule="exact"/>
        <w:rPr>
          <w:sz w:val="20"/>
          <w:szCs w:val="20"/>
          <w:color w:val="auto"/>
        </w:rPr>
      </w:pPr>
    </w:p>
    <w:p>
      <w:pPr>
        <w:jc w:val="both"/>
        <w:ind w:right="200"/>
        <w:spacing w:after="0" w:line="270"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61" w:lineRule="exact"/>
        <w:rPr>
          <w:sz w:val="20"/>
          <w:szCs w:val="20"/>
          <w:color w:val="auto"/>
        </w:rPr>
      </w:pPr>
    </w:p>
    <w:p>
      <w:pPr>
        <w:jc w:val="both"/>
        <w:ind w:right="200"/>
        <w:spacing w:after="0" w:line="285" w:lineRule="auto"/>
        <w:rPr>
          <w:sz w:val="20"/>
          <w:szCs w:val="20"/>
          <w:color w:val="auto"/>
        </w:rPr>
      </w:pPr>
      <w:r>
        <w:rPr>
          <w:rFonts w:ascii="Arial" w:cs="Arial" w:eastAsia="Arial" w:hAnsi="Arial"/>
          <w:sz w:val="16"/>
          <w:szCs w:val="16"/>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Commissions</w:t>
      </w:r>
    </w:p>
    <w:p>
      <w:pPr>
        <w:spacing w:after="0" w:line="204" w:lineRule="exact"/>
        <w:rPr>
          <w:sz w:val="20"/>
          <w:szCs w:val="20"/>
          <w:color w:val="auto"/>
        </w:rPr>
      </w:pPr>
    </w:p>
    <w:p>
      <w:pPr>
        <w:jc w:val="both"/>
        <w:ind w:left="80" w:right="200"/>
        <w:spacing w:after="0" w:line="242" w:lineRule="auto"/>
        <w:rPr>
          <w:sz w:val="20"/>
          <w:szCs w:val="20"/>
          <w:color w:val="auto"/>
        </w:rPr>
      </w:pPr>
      <w:r>
        <w:rPr>
          <w:rFonts w:ascii="Arial" w:cs="Arial" w:eastAsia="Arial" w:hAnsi="Arial"/>
          <w:sz w:val="18"/>
          <w:szCs w:val="18"/>
          <w:color w:val="auto"/>
        </w:rPr>
        <w:t>In compliance with the guidelines of the Financial Industry Regulatory Authority, Inc.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pricing supplement, as the case may be; however, it is anticipated that the maximum commission or discount to be received in any particular offering of securities will be significantly less than this amount.</w:t>
      </w:r>
    </w:p>
    <w:p>
      <w:pPr>
        <w:spacing w:after="0" w:line="323"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32385</wp:posOffset>
            </wp:positionV>
            <wp:extent cx="715454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140"/>
          </w:cols>
          <w:pgMar w:left="440" w:top="320"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Amended and Restated Certificate of Incorporation provides for four classes of common stock: Class A; Class B; Class C; and Class D. Each class of shares has a $.001 par value. There are 30,000,000 Class A shares authorized with 1,582,359 issued and outstanding as of August 3, 2020. There are 150,000,000 Class B shares authorized with 2,861,843 shares issued and outstanding as of August 3, 2020. There are 150,000,000 Class C shares authorized with 2,928,906 shares issued and outstanding as of August 3, 2020. There are 150,000,000 Class D shares authorized with 37,520,026 shares issued and outstanding as of August 3, 2020. Finally, there are 1,000,000 shares of convertible preferred stock authorized with a par value of $.001. However, no shares of convertible preferred stock were outstanding at August 3, 2020 or are currently outstanding.</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shares being offered under this prospectus and registration statement are Class A shares of common stock. Generally, except as summarized below, the shares of each class are identical in all respects and entitle the holders thereof to the same rights and privileges. However, with respect to voting rights, each share of Class A common stock entitles its holder to one vote and each share of Class B common stock entitles its holder to ten votes. The holders of Class C and Class D common stock are not entitled to vote on any matters. The holders of Class A common stock can convert such shares into shares of Class C or Class D common stock. Subject to certain limitations, the holders of Class B common stock can convert such shares into shares of Class A common stock. The holders of Class C common stock can convert such shares into shares of Class A common stock. The holders of Class D common stock have no such conversion rights.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traded on the NASDAQ Stock Market under the symbol "UONE."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common stock offered by this prospectus will be passed upon for us by Ballard Spahr LLP</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207"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The financial statements and schedules as of December 31, 2019 and 2018 and for each of the two years in the period ended December 31, 2019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32385</wp:posOffset>
            </wp:positionV>
            <wp:extent cx="715454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860"/>
          </w:cols>
          <w:pgMar w:left="520" w:top="320" w:right="519" w:bottom="1440" w:gutter="0" w:footer="0" w:header="0"/>
        </w:sectPr>
      </w:pPr>
    </w:p>
    <w:bookmarkStart w:id="21" w:name="page22"/>
    <w:bookmarkEnd w:id="21"/>
    <w:p>
      <w:pPr>
        <w:jc w:val="center"/>
        <w:ind w:right="60"/>
        <w:spacing w:after="0"/>
        <w:rPr>
          <w:sz w:val="20"/>
          <w:szCs w:val="20"/>
          <w:color w:val="auto"/>
        </w:rPr>
      </w:pPr>
      <w:r>
        <w:rPr>
          <w:rFonts w:ascii="Arial" w:cs="Arial" w:eastAsia="Arial" w:hAnsi="Arial"/>
          <w:sz w:val="18"/>
          <w:szCs w:val="18"/>
          <w:b w:val="1"/>
          <w:bCs w:val="1"/>
          <w:color w:val="auto"/>
        </w:rPr>
        <w:t>INCORPORATION BY REFERENCE</w:t>
      </w:r>
    </w:p>
    <w:p>
      <w:pPr>
        <w:spacing w:after="0" w:line="204"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color w:val="auto"/>
        </w:rPr>
        <w:t>The SEC allows us to "incorporate by reference" information we file with it. This means that we can disclose important information to you by referring you to those documents. Any information we reference in this manner is considered part of this prospectus. Information we file with the SEC after the date of this prospectus will automatically update and, to the extent inconsistent, supersede the information contained in this prospectus.</w:t>
      </w:r>
    </w:p>
    <w:p>
      <w:pPr>
        <w:spacing w:after="0" w:line="1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We incorporate by reference the documents listed below, and future filings we make with the SEC pursuant to Sections 13(a), 13(c), 14 or 15(d) of the Securities Exchange Act of 1934 (excluding, unless otherwise provided therein or herein, information furnished pursuant to Item 2.02 and Item 7.01 on any Current Report on Form 8-K) after the date of the initial registration statement and prior to effectiveness of the registration statement and after the effectiveness of this registration statement and before the termination of the offering:</w:t>
      </w:r>
    </w:p>
    <w:p>
      <w:pPr>
        <w:spacing w:after="0" w:line="165" w:lineRule="exact"/>
        <w:rPr>
          <w:sz w:val="20"/>
          <w:szCs w:val="20"/>
          <w:color w:val="auto"/>
        </w:rPr>
      </w:pPr>
    </w:p>
    <w:p>
      <w:pPr>
        <w:ind w:left="440" w:hanging="84"/>
        <w:spacing w:after="0"/>
        <w:tabs>
          <w:tab w:leader="none" w:pos="4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Urban One's annual report on Form 10-K for the year ended December 31, 2019, filed with the Commission on April 29, 2020;</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Urban One's quarterly report on Form 10-Q for the quarter ended March 31, 2020, filed with the Commission on May 29, 2020;</w:t>
      </w:r>
    </w:p>
    <w:p>
      <w:pPr>
        <w:spacing w:after="0" w:line="211" w:lineRule="exact"/>
        <w:rPr>
          <w:rFonts w:ascii="Arial" w:cs="Arial" w:eastAsia="Arial" w:hAnsi="Arial"/>
          <w:sz w:val="15"/>
          <w:szCs w:val="15"/>
          <w:color w:val="auto"/>
        </w:rPr>
      </w:pPr>
    </w:p>
    <w:p>
      <w:pPr>
        <w:ind w:left="440" w:hanging="84"/>
        <w:spacing w:after="0"/>
        <w:tabs>
          <w:tab w:leader="none" w:pos="4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Urban One's quarterly report on Form 10-Q for the quarter ended June 30, 2020, filed with the Commission on July 31, 2020;</w:t>
      </w:r>
    </w:p>
    <w:p>
      <w:pPr>
        <w:spacing w:after="0" w:line="211" w:lineRule="exact"/>
        <w:rPr>
          <w:rFonts w:ascii="Arial" w:cs="Arial" w:eastAsia="Arial" w:hAnsi="Arial"/>
          <w:sz w:val="15"/>
          <w:szCs w:val="15"/>
          <w:color w:val="auto"/>
        </w:rPr>
      </w:pPr>
    </w:p>
    <w:p>
      <w:pPr>
        <w:ind w:left="440" w:right="200" w:hanging="84"/>
        <w:spacing w:after="0" w:line="276" w:lineRule="auto"/>
        <w:tabs>
          <w:tab w:leader="none" w:pos="4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Urban One's current reports on Form 8-K, filed with the Commission on each of January 3, 2020, March 26, 2020, March 30, 2020, May 14, 2020, June 2, 2020, June 17, 2020, June 22, 2020, July 2, 2020 and July 30, 2020;</w:t>
      </w:r>
    </w:p>
    <w:p>
      <w:pPr>
        <w:spacing w:after="0" w:line="168" w:lineRule="exact"/>
        <w:rPr>
          <w:rFonts w:ascii="Arial" w:cs="Arial" w:eastAsia="Arial" w:hAnsi="Arial"/>
          <w:sz w:val="15"/>
          <w:szCs w:val="15"/>
          <w:color w:val="auto"/>
        </w:rPr>
      </w:pPr>
    </w:p>
    <w:p>
      <w:pPr>
        <w:ind w:left="400" w:hanging="94"/>
        <w:spacing w:after="0" w:line="263" w:lineRule="auto"/>
        <w:tabs>
          <w:tab w:leader="none" w:pos="4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under the sections entitled "The Board of Directors and Committees of the Board", "Security Ownership of Beneficial Owners and Management", "Compensation Discussion and Analysis", "Executive Compensation", "Certain Relationships and Related Transactions", and "Principal Accounting Fees and Services" in our Definitive Proxy Statement on Schedule 14A, filed with the SEC on April 29, 2020;</w:t>
      </w:r>
    </w:p>
    <w:p>
      <w:pPr>
        <w:spacing w:after="0" w:line="178" w:lineRule="exact"/>
        <w:rPr>
          <w:rFonts w:ascii="Arial" w:cs="Arial" w:eastAsia="Arial" w:hAnsi="Arial"/>
          <w:sz w:val="15"/>
          <w:szCs w:val="15"/>
          <w:color w:val="auto"/>
        </w:rPr>
      </w:pPr>
    </w:p>
    <w:p>
      <w:pPr>
        <w:ind w:left="440" w:hanging="84"/>
        <w:spacing w:after="0" w:line="276" w:lineRule="auto"/>
        <w:tabs>
          <w:tab w:leader="none" w:pos="4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description of our common stock contained in our registration statement on Form 8-A (filed with the SEC on May 17, 2000) under Section 12 of the Securities Exchange Act of 1934, including any amendments or reports filed for the purpose of updating such description; and</w:t>
      </w:r>
    </w:p>
    <w:p>
      <w:pPr>
        <w:spacing w:after="0" w:line="168" w:lineRule="exact"/>
        <w:rPr>
          <w:rFonts w:ascii="Arial" w:cs="Arial" w:eastAsia="Arial" w:hAnsi="Arial"/>
          <w:sz w:val="15"/>
          <w:szCs w:val="15"/>
          <w:color w:val="auto"/>
        </w:rPr>
      </w:pPr>
    </w:p>
    <w:p>
      <w:pPr>
        <w:ind w:left="440" w:right="320" w:hanging="84"/>
        <w:spacing w:after="0" w:line="276" w:lineRule="auto"/>
        <w:tabs>
          <w:tab w:leader="none" w:pos="4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All other documents filed by us with the SEC under Sections 13 and 14 of the Securities Exchange Act of 1934 after the date of this prospectus but before the end of the offering of the securities made by this prospectus.</w:t>
      </w:r>
    </w:p>
    <w:p>
      <w:pPr>
        <w:spacing w:after="0" w:line="160"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We will provide to each person, including any beneficial owner, to whom a prospectus is delivered, a copy of any or all of the reports or documents that we incorporate by reference in this prospectus contained in the registration statement (except exhibits to the documents that are not specifically incorporated by reference) at no cost to you, by writing or calling us at:</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Urban One, Inc.</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1010 Wayne Avenue, 14th Floor</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Silver Spring, Maryland 20910</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(301) 429-3200</w:t>
      </w:r>
    </w:p>
    <w:p>
      <w:pPr>
        <w:spacing w:after="0" w:line="20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Information about us is also available at our website at http://www.urban1.com. However, the information in our website is not a part of this prospectus and is not incorporated by reference into this prospectus.</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0" w:lineRule="exact"/>
        <w:rPr>
          <w:sz w:val="20"/>
          <w:szCs w:val="20"/>
          <w:color w:val="auto"/>
        </w:rPr>
      </w:pPr>
    </w:p>
    <w:p>
      <w:pPr>
        <w:spacing w:after="0" w:line="207"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 site at http://www.sec.gov. You may also read and copy any document we file with the SEC at its public reference rooms at: 100 F Street, N.E., Washington, D.C. 20549.</w:t>
      </w:r>
    </w:p>
    <w:p>
      <w:pPr>
        <w:spacing w:after="0" w:line="169" w:lineRule="exact"/>
        <w:rPr>
          <w:sz w:val="20"/>
          <w:szCs w:val="20"/>
          <w:color w:val="auto"/>
        </w:rPr>
      </w:pPr>
    </w:p>
    <w:p>
      <w:pPr>
        <w:jc w:val="both"/>
        <w:ind w:right="60"/>
        <w:spacing w:after="0" w:line="211" w:lineRule="exact"/>
        <w:rPr>
          <w:sz w:val="20"/>
          <w:szCs w:val="20"/>
          <w:color w:val="auto"/>
        </w:rPr>
      </w:pPr>
      <w:r>
        <w:rPr>
          <w:rFonts w:ascii="Arial" w:cs="Arial" w:eastAsia="Arial" w:hAnsi="Arial"/>
          <w:sz w:val="16"/>
          <w:szCs w:val="16"/>
          <w:color w:val="auto"/>
        </w:rPr>
        <w:t>You may call the SEC at 1-800-SEC-0330 for more information on the public reference rooms and their copy charges.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77" w:lineRule="exact"/>
        <w:rPr>
          <w:sz w:val="20"/>
          <w:szCs w:val="20"/>
          <w:color w:val="auto"/>
        </w:rPr>
      </w:pPr>
    </w:p>
    <w:p>
      <w:pPr>
        <w:jc w:val="both"/>
        <w:ind w:right="60"/>
        <w:spacing w:after="0" w:line="241" w:lineRule="auto"/>
        <w:rPr>
          <w:sz w:val="20"/>
          <w:szCs w:val="20"/>
          <w:color w:val="auto"/>
        </w:rPr>
      </w:pPr>
      <w:r>
        <w:rPr>
          <w:rFonts w:ascii="Arial" w:cs="Arial" w:eastAsia="Arial" w:hAnsi="Arial"/>
          <w:sz w:val="18"/>
          <w:szCs w:val="18"/>
          <w:color w:val="auto"/>
        </w:rPr>
        <w:t>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SEC at the address listed above. The registration statement and the documents referred to below under "Incorporation by Reference" are also available on our Internet website, www.urban1.com. We have not incorporated by reference into this prospectus the information on our website, and you should not consider it to be a part of this prospectus.</w:t>
      </w:r>
    </w:p>
    <w:p>
      <w:pPr>
        <w:sectPr>
          <w:pgSz w:w="11900" w:h="16838" w:orient="portrait"/>
          <w:cols w:equalWidth="0" w:num="1">
            <w:col w:w="10920"/>
          </w:cols>
          <w:pgMar w:left="520" w:top="320" w:right="459" w:bottom="1440" w:gutter="0" w:footer="0" w:header="0"/>
        </w:sect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10"/>
          <w:szCs w:val="1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46990</wp:posOffset>
            </wp:positionV>
            <wp:extent cx="715454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920"/>
          </w:cols>
          <w:pgMar w:left="520" w:top="320" w:right="459" w:bottom="1440" w:gutter="0" w:footer="0" w:header="0"/>
          <w:type w:val="continuous"/>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04" w:lineRule="exact"/>
        <w:rPr>
          <w:sz w:val="20"/>
          <w:szCs w:val="20"/>
          <w:color w:val="auto"/>
        </w:rPr>
      </w:pPr>
    </w:p>
    <w:p>
      <w:pPr>
        <w:ind w:left="200" w:right="640"/>
        <w:spacing w:after="0" w:line="326" w:lineRule="auto"/>
        <w:rPr>
          <w:sz w:val="20"/>
          <w:szCs w:val="20"/>
          <w:color w:val="auto"/>
        </w:rPr>
      </w:pPr>
      <w:r>
        <w:rPr>
          <w:rFonts w:ascii="Arial" w:cs="Arial" w:eastAsia="Arial" w:hAnsi="Arial"/>
          <w:sz w:val="16"/>
          <w:szCs w:val="16"/>
          <w:color w:val="auto"/>
        </w:rPr>
        <w:t>The following table sets forth the estimated costs and expenses, other than underwriting discounts and commissions, payable by the registrant in connection with the offering of the securities being registered. All the amounts shown are estimates, except for the SEC registration fee.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20" w:type="dxa"/>
            <w:vAlign w:val="bottom"/>
            <w:shd w:val="clear" w:color="auto" w:fill="CCEEFF"/>
          </w:tcPr>
          <w:p>
            <w:pPr>
              <w:spacing w:after="0"/>
              <w:rPr>
                <w:sz w:val="20"/>
                <w:szCs w:val="20"/>
                <w:color w:val="auto"/>
              </w:rPr>
            </w:pPr>
            <w:r>
              <w:rPr>
                <w:rFonts w:ascii="Arial" w:cs="Arial" w:eastAsia="Arial" w:hAnsi="Arial"/>
                <w:sz w:val="15"/>
                <w:szCs w:val="15"/>
                <w:color w:val="auto"/>
              </w:rPr>
              <w:t>Registration Statement filing fee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6,490.00</w:t>
            </w:r>
          </w:p>
        </w:tc>
        <w:tc>
          <w:tcPr>
            <w:tcW w:w="100" w:type="dxa"/>
            <w:vAlign w:val="bottom"/>
            <w:shd w:val="clear" w:color="auto" w:fill="CCEEFF"/>
          </w:tcPr>
          <w:p>
            <w:pPr>
              <w:spacing w:after="0"/>
              <w:rPr>
                <w:sz w:val="15"/>
                <w:szCs w:val="15"/>
                <w:color w:val="auto"/>
              </w:rPr>
            </w:pPr>
          </w:p>
        </w:tc>
      </w:tr>
      <w:tr>
        <w:trPr>
          <w:trHeight w:val="181"/>
        </w:trPr>
        <w:tc>
          <w:tcPr>
            <w:tcW w:w="10020" w:type="dxa"/>
            <w:vAlign w:val="bottom"/>
          </w:tcPr>
          <w:p>
            <w:pPr>
              <w:ind w:left="40"/>
              <w:spacing w:after="0"/>
              <w:rPr>
                <w:sz w:val="20"/>
                <w:szCs w:val="20"/>
                <w:color w:val="auto"/>
              </w:rPr>
            </w:pPr>
            <w:r>
              <w:rPr>
                <w:rFonts w:ascii="Arial" w:cs="Arial" w:eastAsia="Arial" w:hAnsi="Arial"/>
                <w:sz w:val="15"/>
                <w:szCs w:val="15"/>
                <w:color w:val="auto"/>
              </w:rPr>
              <w:t>Printing fees and expenses</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81"/>
        </w:trPr>
        <w:tc>
          <w:tcPr>
            <w:tcW w:w="100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Legal fees</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5"/>
                <w:szCs w:val="15"/>
                <w:color w:val="auto"/>
              </w:rPr>
            </w:pPr>
          </w:p>
        </w:tc>
      </w:tr>
      <w:tr>
        <w:trPr>
          <w:trHeight w:val="181"/>
        </w:trPr>
        <w:tc>
          <w:tcPr>
            <w:tcW w:w="10020" w:type="dxa"/>
            <w:vAlign w:val="bottom"/>
          </w:tcPr>
          <w:p>
            <w:pPr>
              <w:ind w:left="20"/>
              <w:spacing w:after="0"/>
              <w:rPr>
                <w:sz w:val="20"/>
                <w:szCs w:val="20"/>
                <w:color w:val="auto"/>
              </w:rPr>
            </w:pPr>
            <w:r>
              <w:rPr>
                <w:rFonts w:ascii="Arial" w:cs="Arial" w:eastAsia="Arial" w:hAnsi="Arial"/>
                <w:sz w:val="15"/>
                <w:szCs w:val="15"/>
                <w:color w:val="auto"/>
              </w:rPr>
              <w:t>Accounting fees</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30,000</w:t>
            </w:r>
          </w:p>
        </w:tc>
        <w:tc>
          <w:tcPr>
            <w:tcW w:w="100" w:type="dxa"/>
            <w:vAlign w:val="bottom"/>
          </w:tcPr>
          <w:p>
            <w:pPr>
              <w:spacing w:after="0"/>
              <w:rPr>
                <w:sz w:val="15"/>
                <w:szCs w:val="15"/>
                <w:color w:val="auto"/>
              </w:rPr>
            </w:pPr>
          </w:p>
        </w:tc>
      </w:tr>
      <w:tr>
        <w:trPr>
          <w:trHeight w:val="181"/>
        </w:trPr>
        <w:tc>
          <w:tcPr>
            <w:tcW w:w="100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Miscellaneous fees</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3"/>
        </w:trPr>
        <w:tc>
          <w:tcPr>
            <w:tcW w:w="10020" w:type="dxa"/>
            <w:vAlign w:val="bottom"/>
          </w:tcPr>
          <w:p>
            <w:pPr>
              <w:ind w:left="20"/>
              <w:spacing w:after="0"/>
              <w:rPr>
                <w:sz w:val="20"/>
                <w:szCs w:val="20"/>
                <w:color w:val="auto"/>
              </w:rPr>
            </w:pPr>
            <w:r>
              <w:rPr>
                <w:rFonts w:ascii="Arial" w:cs="Arial" w:eastAsia="Arial" w:hAnsi="Arial"/>
                <w:sz w:val="15"/>
                <w:szCs w:val="15"/>
                <w:color w:val="auto"/>
              </w:rPr>
              <w:t>Trustee fees</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83"/>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93" w:lineRule="exact"/>
        <w:rPr>
          <w:sz w:val="20"/>
          <w:szCs w:val="20"/>
          <w:color w:val="auto"/>
        </w:rPr>
      </w:pPr>
    </w:p>
    <w:p>
      <w:pPr>
        <w:ind w:left="220" w:right="120" w:hanging="88"/>
        <w:spacing w:after="0" w:line="276" w:lineRule="auto"/>
        <w:tabs>
          <w:tab w:leader="none" w:pos="627" w:val="left"/>
        </w:tabs>
        <w:numPr>
          <w:ilvl w:val="0"/>
          <w:numId w:val="12"/>
        </w:numPr>
        <w:rPr>
          <w:rFonts w:ascii="Arial" w:cs="Arial" w:eastAsia="Arial" w:hAnsi="Arial"/>
          <w:sz w:val="15"/>
          <w:szCs w:val="15"/>
          <w:color w:val="auto"/>
        </w:rPr>
      </w:pPr>
      <w:r>
        <w:rPr>
          <w:rFonts w:ascii="Arial" w:cs="Arial" w:eastAsia="Arial" w:hAnsi="Arial"/>
          <w:sz w:val="15"/>
          <w:szCs w:val="15"/>
          <w:color w:val="auto"/>
        </w:rPr>
        <w:t>Fees and expenses (other than the SEC Registration Fee to be paid upon filing of this registration statement) will depend on the securities offered, the number of issuances and the nature of the offerings, and cannot be estimated at this time.</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4" w:lineRule="exact"/>
        <w:rPr>
          <w:sz w:val="20"/>
          <w:szCs w:val="20"/>
          <w:color w:val="auto"/>
        </w:rPr>
      </w:pPr>
    </w:p>
    <w:p>
      <w:pPr>
        <w:jc w:val="both"/>
        <w:ind w:left="260" w:right="200"/>
        <w:spacing w:after="0" w:line="272" w:lineRule="auto"/>
        <w:rPr>
          <w:sz w:val="20"/>
          <w:szCs w:val="20"/>
          <w:color w:val="auto"/>
        </w:rPr>
      </w:pPr>
      <w:r>
        <w:rPr>
          <w:rFonts w:ascii="Arial" w:cs="Arial" w:eastAsia="Arial" w:hAnsi="Arial"/>
          <w:sz w:val="16"/>
          <w:szCs w:val="16"/>
          <w:color w:val="auto"/>
        </w:rPr>
        <w:t>Section 145 of the General Corporation Law of the State of Delaware (the "DGCL") provides generally that a person sued (other than in a derivative suit) as a director, officer, employee or agent of a corporation may be indemnified by the corporation for reasonable expenses, including counsel fees, if the person acted in good faith and in a manner the person reasonably believed to be in or not opposed to the best interests of the corporation, and, with respect to any criminal action or proceeding, had no reasonable cause to believe that the person's conduct was unlawful. In the case of a derivative suit, a director, officer, employee or agent of the corporation may be indemnified by the corporation for reasonable expenses, including 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 employee or agent has been adjudged to be liable to the corporation unless the Delaware Court of Chancery or the court in which such action or suit was brought shall determine that such person is fairly and reasonably entitled to indemnity for proper expenses. Indemnification is mandatory under section 145 of the DGCL in the case of a director or officer who is successful on the merits in defense of a suit against him.</w:t>
      </w:r>
    </w:p>
    <w:p>
      <w:pPr>
        <w:spacing w:after="0" w:line="152" w:lineRule="exact"/>
        <w:rPr>
          <w:sz w:val="20"/>
          <w:szCs w:val="20"/>
          <w:color w:val="auto"/>
        </w:rPr>
      </w:pPr>
    </w:p>
    <w:p>
      <w:pPr>
        <w:jc w:val="both"/>
        <w:ind w:left="200" w:right="200"/>
        <w:spacing w:after="0" w:line="254" w:lineRule="auto"/>
        <w:rPr>
          <w:sz w:val="20"/>
          <w:szCs w:val="20"/>
          <w:color w:val="auto"/>
        </w:rPr>
      </w:pPr>
      <w:r>
        <w:rPr>
          <w:rFonts w:ascii="Arial" w:cs="Arial" w:eastAsia="Arial" w:hAnsi="Arial"/>
          <w:sz w:val="17"/>
          <w:szCs w:val="17"/>
          <w:color w:val="auto"/>
        </w:rPr>
        <w:t>The Company's Amended and Restated Certificate of Incorporation provides that the Company shall indemnify (including indemnification for expenses incurred in defending or otherwise participating in any proceeding) its directors and officers to the fullest extent authorized or permitted by the DGCL, as it may be amended, and that such right to indemnification shall continue as to a person who has ceased to be a director or officer of the Company and shall inure to the benefit of his or her heirs, executors and administrators except that such right shall not apply to proceedings initiated by such indemnified person unless it is a successful proceeding to enforce indemnification or such proceeding was authorized or consented to by the board of directors. The Amended and Restated Certificate of Incorporation also specifically provides for the elimination of the personal liability of a director to the corporation and its stockholders for monetary damages for breach of fiduciary duty as director. The provision is limited to monetary damages, applies only to a director's actions while acting within his or her capacity as a director, and does not entitle the Company to limit director liability for any judgment resulting from (a) any breach of the director's duty of loyalty to the Company or its stockholders; (b) acts or omissions not in good faith or which involve intentional misconduct or a knowing violation of the law; (c) paying an illegal dividend or approving an illegal stock repurchase; or (d) any transaction from which the director derived an improper benefit.</w:t>
      </w:r>
    </w:p>
    <w:p>
      <w:pPr>
        <w:spacing w:after="0" w:line="165" w:lineRule="exact"/>
        <w:rPr>
          <w:sz w:val="20"/>
          <w:szCs w:val="20"/>
          <w:color w:val="auto"/>
        </w:rPr>
      </w:pPr>
    </w:p>
    <w:p>
      <w:pPr>
        <w:jc w:val="both"/>
        <w:ind w:left="200" w:right="200"/>
        <w:spacing w:after="0" w:line="242" w:lineRule="auto"/>
        <w:rPr>
          <w:sz w:val="20"/>
          <w:szCs w:val="20"/>
          <w:color w:val="auto"/>
        </w:rPr>
      </w:pPr>
      <w:r>
        <w:rPr>
          <w:rFonts w:ascii="Arial" w:cs="Arial" w:eastAsia="Arial" w:hAnsi="Arial"/>
          <w:sz w:val="18"/>
          <w:szCs w:val="18"/>
          <w:color w:val="auto"/>
        </w:rPr>
        <w:t>The Company's Amended and Restated Bylaws incorporate substantially the provisions of the DGCL in providing for indemnification of directors and officers against expenses, judgments, fines, settlements and other amounts actually and reasonably incurred in connection with any proceeding arising by reason of the fact that such person is or was an officer or director of the Company. In addition, the Company is authorized to indemnify employees and agents of the Company and may enter into indemnification agreements with its directors and officers providing mandatory indemnification to them to the maximum extent permissible under Delaware law.</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maintains directors and officers liability insurance for the benefit of its directors and certain of its officers.</w:t>
      </w:r>
    </w:p>
    <w:p>
      <w:pPr>
        <w:spacing w:after="0" w:line="200" w:lineRule="exact"/>
        <w:rPr>
          <w:sz w:val="20"/>
          <w:szCs w:val="20"/>
          <w:color w:val="auto"/>
        </w:rPr>
      </w:pPr>
    </w:p>
    <w:p>
      <w:pPr>
        <w:jc w:val="both"/>
        <w:ind w:left="200" w:right="200"/>
        <w:spacing w:after="0" w:line="24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under the foregoing provisions, or otherwise, the Company understands that in the opinion of the Commission such indemnification is against public policy as expressed in the Securities Act is, therefore, unenforceable.</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15454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23" w:name="page24"/>
    <w:bookmarkEnd w:id="23"/>
    <w:p>
      <w:pPr>
        <w:ind w:left="4"/>
        <w:spacing w:after="0"/>
        <w:rPr>
          <w:sz w:val="20"/>
          <w:szCs w:val="20"/>
          <w:color w:val="auto"/>
        </w:rPr>
      </w:pPr>
      <w:r>
        <w:rPr>
          <w:rFonts w:ascii="Arial" w:cs="Arial" w:eastAsia="Arial" w:hAnsi="Arial"/>
          <w:sz w:val="15"/>
          <w:szCs w:val="15"/>
          <w:b w:val="1"/>
          <w:bCs w:val="1"/>
          <w:color w:val="auto"/>
        </w:rPr>
        <w:t>Item 16.</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Exhibits.</w:t>
      </w:r>
    </w:p>
    <w:p>
      <w:pPr>
        <w:sectPr>
          <w:pgSz w:w="11900" w:h="16838" w:orient="portrait"/>
          <w:cols w:equalWidth="0" w:num="1">
            <w:col w:w="10704"/>
          </w:cols>
          <w:pgMar w:left="316" w:top="532" w:right="879" w:bottom="1440" w:gutter="0" w:footer="0" w:header="0"/>
        </w:sectPr>
      </w:pPr>
    </w:p>
    <w:p>
      <w:pPr>
        <w:spacing w:after="0" w:line="199" w:lineRule="exact"/>
        <w:rPr>
          <w:sz w:val="20"/>
          <w:szCs w:val="20"/>
          <w:color w:val="auto"/>
        </w:rPr>
      </w:pPr>
    </w:p>
    <w:p>
      <w:pPr>
        <w:ind w:left="324"/>
        <w:spacing w:after="0"/>
        <w:rPr>
          <w:sz w:val="20"/>
          <w:szCs w:val="20"/>
          <w:color w:val="auto"/>
        </w:rPr>
      </w:pPr>
      <w:r>
        <w:rPr>
          <w:rFonts w:ascii="Arial" w:cs="Arial" w:eastAsia="Arial" w:hAnsi="Arial"/>
          <w:sz w:val="15"/>
          <w:szCs w:val="15"/>
          <w:b w:val="1"/>
          <w:bCs w:val="1"/>
          <w:color w:val="auto"/>
        </w:rPr>
        <w:t>Exhibit</w:t>
      </w:r>
    </w:p>
    <w:p>
      <w:pPr>
        <w:spacing w:after="0" w:line="22" w:lineRule="exact"/>
        <w:rPr>
          <w:sz w:val="20"/>
          <w:szCs w:val="20"/>
          <w:color w:val="auto"/>
        </w:rPr>
      </w:pPr>
    </w:p>
    <w:p>
      <w:pPr>
        <w:ind w:left="304"/>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755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29210</wp:posOffset>
            </wp:positionV>
            <wp:extent cx="318643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86430" cy="1460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2244" w:space="720"/>
            <w:col w:w="7740"/>
          </w:cols>
          <w:pgMar w:left="316" w:top="532" w:right="879" w:bottom="1440" w:gutter="0" w:footer="0" w:header="0"/>
          <w:type w:val="continuous"/>
        </w:sectPr>
      </w:pPr>
    </w:p>
    <w:p>
      <w:pPr>
        <w:spacing w:after="0" w:line="14" w:lineRule="exact"/>
        <w:rPr>
          <w:sz w:val="20"/>
          <w:szCs w:val="20"/>
          <w:color w:val="auto"/>
        </w:rPr>
      </w:pPr>
    </w:p>
    <w:p>
      <w:pPr>
        <w:ind w:left="944"/>
        <w:spacing w:after="0"/>
        <w:tabs>
          <w:tab w:leader="none" w:pos="1223"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4"/>
          <w:szCs w:val="14"/>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154545" cy="114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4545" cy="114935"/>
                    </a:xfrm>
                    <a:prstGeom prst="rect">
                      <a:avLst/>
                    </a:prstGeom>
                    <a:noFill/>
                  </pic:spPr>
                </pic:pic>
              </a:graphicData>
            </a:graphic>
          </wp:anchor>
        </w:drawing>
      </w:r>
    </w:p>
    <w:p>
      <w:pPr>
        <w:ind w:left="944"/>
        <w:spacing w:after="0"/>
        <w:tabs>
          <w:tab w:leader="none" w:pos="1223" w:val="left"/>
        </w:tabs>
        <w:rPr>
          <w:rFonts w:ascii="Arial" w:cs="Arial" w:eastAsia="Arial" w:hAnsi="Arial"/>
          <w:sz w:val="15"/>
          <w:szCs w:val="15"/>
          <w:color w:val="0000EE"/>
        </w:rPr>
      </w:pPr>
      <w:hyperlink w:anchor="page28">
        <w:r>
          <w:rPr>
            <w:rFonts w:ascii="Arial" w:cs="Arial" w:eastAsia="Arial" w:hAnsi="Arial"/>
            <w:sz w:val="15"/>
            <w:szCs w:val="15"/>
            <w:u w:val="single" w:color="auto"/>
            <w:color w:val="0000EE"/>
          </w:rPr>
          <w:t>4.1</w:t>
        </w:r>
      </w:hyperlink>
      <w:r>
        <w:rPr>
          <w:rFonts w:ascii="Arial" w:cs="Arial" w:eastAsia="Arial" w:hAnsi="Arial"/>
          <w:sz w:val="15"/>
          <w:szCs w:val="15"/>
          <w:color w:val="0000EE"/>
        </w:rPr>
        <w:tab/>
      </w:r>
      <w:r>
        <w:rPr>
          <w:rFonts w:ascii="Arial" w:cs="Arial" w:eastAsia="Arial" w:hAnsi="Arial"/>
          <w:sz w:val="13"/>
          <w:szCs w:val="13"/>
          <w:color w:val="0000EE"/>
        </w:rPr>
        <w:t>Specimen stock certificate for Class A shares</w:t>
      </w:r>
    </w:p>
    <w:p>
      <w:pPr>
        <w:spacing w:after="0" w:line="8" w:lineRule="exact"/>
        <w:rPr>
          <w:sz w:val="20"/>
          <w:szCs w:val="20"/>
          <w:color w:val="auto"/>
        </w:rPr>
      </w:pPr>
    </w:p>
    <w:p>
      <w:pPr>
        <w:ind w:left="944"/>
        <w:spacing w:after="0"/>
        <w:tabs>
          <w:tab w:leader="none" w:pos="1223" w:val="left"/>
        </w:tabs>
        <w:rPr>
          <w:rFonts w:ascii="Arial" w:cs="Arial" w:eastAsia="Arial" w:hAnsi="Arial"/>
          <w:sz w:val="15"/>
          <w:szCs w:val="15"/>
          <w:color w:val="0000EE"/>
        </w:rPr>
      </w:pPr>
      <w:hyperlink w:anchor="page30">
        <w:r>
          <w:rPr>
            <w:rFonts w:ascii="Arial" w:cs="Arial" w:eastAsia="Arial" w:hAnsi="Arial"/>
            <w:sz w:val="15"/>
            <w:szCs w:val="15"/>
            <w:u w:val="single" w:color="auto"/>
            <w:color w:val="0000EE"/>
          </w:rPr>
          <w:t>5.1</w:t>
        </w:r>
      </w:hyperlink>
      <w:r>
        <w:rPr>
          <w:rFonts w:ascii="Arial" w:cs="Arial" w:eastAsia="Arial" w:hAnsi="Arial"/>
          <w:sz w:val="15"/>
          <w:szCs w:val="15"/>
          <w:color w:val="0000EE"/>
        </w:rPr>
        <w:tab/>
      </w:r>
      <w:r>
        <w:rPr>
          <w:rFonts w:ascii="Arial" w:cs="Arial" w:eastAsia="Arial" w:hAnsi="Arial"/>
          <w:sz w:val="14"/>
          <w:szCs w:val="14"/>
          <w:color w:val="0000EE"/>
        </w:rPr>
        <w:t>Opinion of Ballard Spahr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54545" cy="114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4545" cy="114935"/>
                    </a:xfrm>
                    <a:prstGeom prst="rect">
                      <a:avLst/>
                    </a:prstGeom>
                    <a:noFill/>
                  </pic:spPr>
                </pic:pic>
              </a:graphicData>
            </a:graphic>
          </wp:anchor>
        </w:drawing>
      </w:r>
    </w:p>
    <w:p>
      <w:pPr>
        <w:ind w:left="864"/>
        <w:spacing w:after="0"/>
        <w:tabs>
          <w:tab w:leader="none" w:pos="1223" w:val="left"/>
        </w:tabs>
        <w:rPr>
          <w:rFonts w:ascii="Arial" w:cs="Arial" w:eastAsia="Arial" w:hAnsi="Arial"/>
          <w:sz w:val="15"/>
          <w:szCs w:val="15"/>
          <w:color w:val="0000EE"/>
        </w:rPr>
      </w:pPr>
      <w:hyperlink w:anchor="page31">
        <w:r>
          <w:rPr>
            <w:rFonts w:ascii="Arial" w:cs="Arial" w:eastAsia="Arial" w:hAnsi="Arial"/>
            <w:sz w:val="15"/>
            <w:szCs w:val="15"/>
            <w:u w:val="single" w:color="auto"/>
            <w:color w:val="0000EE"/>
          </w:rPr>
          <w:t>23.1</w:t>
        </w:r>
      </w:hyperlink>
      <w:r>
        <w:rPr>
          <w:rFonts w:ascii="Arial" w:cs="Arial" w:eastAsia="Arial" w:hAnsi="Arial"/>
          <w:sz w:val="15"/>
          <w:szCs w:val="15"/>
          <w:color w:val="0000EE"/>
        </w:rPr>
        <w:tab/>
      </w:r>
      <w:r>
        <w:rPr>
          <w:rFonts w:ascii="Arial" w:cs="Arial" w:eastAsia="Arial" w:hAnsi="Arial"/>
          <w:sz w:val="14"/>
          <w:szCs w:val="14"/>
          <w:color w:val="0000EE"/>
        </w:rPr>
        <w:t>Consent of BDO USA LLP (filed herewith)</w:t>
      </w:r>
    </w:p>
    <w:p>
      <w:pPr>
        <w:spacing w:after="0" w:line="8" w:lineRule="exact"/>
        <w:rPr>
          <w:sz w:val="20"/>
          <w:szCs w:val="20"/>
          <w:color w:val="auto"/>
        </w:rPr>
      </w:pPr>
    </w:p>
    <w:p>
      <w:pPr>
        <w:ind w:left="864"/>
        <w:spacing w:after="0"/>
        <w:tabs>
          <w:tab w:leader="none" w:pos="1223" w:val="left"/>
        </w:tabs>
        <w:rPr>
          <w:sz w:val="20"/>
          <w:szCs w:val="20"/>
          <w:color w:val="auto"/>
        </w:rPr>
      </w:pPr>
      <w:r>
        <w:rPr>
          <w:rFonts w:ascii="Arial" w:cs="Arial" w:eastAsia="Arial" w:hAnsi="Arial"/>
          <w:sz w:val="15"/>
          <w:szCs w:val="15"/>
          <w:color w:val="auto"/>
        </w:rPr>
        <w:t>23.2</w:t>
      </w:r>
      <w:r>
        <w:rPr>
          <w:sz w:val="20"/>
          <w:szCs w:val="20"/>
          <w:color w:val="auto"/>
        </w:rPr>
        <w:tab/>
      </w:r>
      <w:r>
        <w:rPr>
          <w:rFonts w:ascii="Arial" w:cs="Arial" w:eastAsia="Arial" w:hAnsi="Arial"/>
          <w:sz w:val="13"/>
          <w:szCs w:val="13"/>
          <w:color w:val="auto"/>
        </w:rPr>
        <w:t>Consent of Ballard Spahr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54545" cy="114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4545" cy="114935"/>
                    </a:xfrm>
                    <a:prstGeom prst="rect">
                      <a:avLst/>
                    </a:prstGeom>
                    <a:noFill/>
                  </pic:spPr>
                </pic:pic>
              </a:graphicData>
            </a:graphic>
          </wp:anchor>
        </w:drawing>
      </w:r>
    </w:p>
    <w:p>
      <w:pPr>
        <w:spacing w:after="0" w:line="160" w:lineRule="exact"/>
        <w:rPr>
          <w:sz w:val="20"/>
          <w:szCs w:val="20"/>
          <w:color w:val="auto"/>
        </w:rPr>
      </w:pPr>
    </w:p>
    <w:p>
      <w:pPr>
        <w:ind w:left="864"/>
        <w:spacing w:after="0"/>
        <w:tabs>
          <w:tab w:leader="none" w:pos="1223"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auto"/>
        </w:rPr>
        <w:t>Power of Attorney (included on the signature page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154545" cy="114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4545" cy="114935"/>
                    </a:xfrm>
                    <a:prstGeom prst="rect">
                      <a:avLst/>
                    </a:prstGeom>
                    <a:noFill/>
                  </pic:spPr>
                </pic:pic>
              </a:graphicData>
            </a:graphic>
          </wp:anchor>
        </w:drawing>
      </w:r>
    </w:p>
    <w:p>
      <w:pPr>
        <w:spacing w:after="0" w:line="387"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pacing w:after="0" w:line="203" w:lineRule="exact"/>
        <w:rPr>
          <w:sz w:val="20"/>
          <w:szCs w:val="20"/>
          <w:color w:val="auto"/>
        </w:rPr>
      </w:pPr>
    </w:p>
    <w:p>
      <w:pPr>
        <w:ind w:left="4" w:hanging="4"/>
        <w:spacing w:after="0" w:line="263" w:lineRule="auto"/>
        <w:tabs>
          <w:tab w:leader="none" w:pos="2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200" w:lineRule="exact"/>
        <w:rPr>
          <w:sz w:val="20"/>
          <w:szCs w:val="20"/>
          <w:color w:val="auto"/>
        </w:rPr>
      </w:pPr>
    </w:p>
    <w:p>
      <w:pPr>
        <w:spacing w:after="0" w:line="306" w:lineRule="exact"/>
        <w:rPr>
          <w:sz w:val="20"/>
          <w:szCs w:val="20"/>
          <w:color w:val="auto"/>
        </w:rPr>
      </w:pPr>
    </w:p>
    <w:p>
      <w:pPr>
        <w:jc w:val="center"/>
        <w:ind w:right="-543"/>
        <w:spacing w:after="0"/>
        <w:rPr>
          <w:sz w:val="20"/>
          <w:szCs w:val="20"/>
          <w:color w:val="auto"/>
        </w:rPr>
      </w:pP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15454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704"/>
          </w:cols>
          <w:pgMar w:left="316" w:top="532" w:right="8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17. Undertakings.</w:t>
      </w:r>
    </w:p>
    <w:p>
      <w:pPr>
        <w:spacing w:after="0" w:line="212" w:lineRule="exact"/>
        <w:rPr>
          <w:sz w:val="20"/>
          <w:szCs w:val="20"/>
          <w:color w:val="auto"/>
        </w:rPr>
      </w:pPr>
    </w:p>
    <w:p>
      <w:pPr>
        <w:ind w:left="1060" w:hanging="621"/>
        <w:spacing w:after="0"/>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undersigned registrant hereby undertakes:</w:t>
      </w:r>
    </w:p>
    <w:p>
      <w:pPr>
        <w:spacing w:after="0" w:line="211" w:lineRule="exact"/>
        <w:rPr>
          <w:rFonts w:ascii="Arial" w:cs="Arial" w:eastAsia="Arial" w:hAnsi="Arial"/>
          <w:sz w:val="15"/>
          <w:szCs w:val="15"/>
          <w:color w:val="auto"/>
        </w:rPr>
      </w:pPr>
    </w:p>
    <w:p>
      <w:pPr>
        <w:ind w:left="1080" w:hanging="312"/>
        <w:spacing w:after="0"/>
        <w:tabs>
          <w:tab w:leader="none" w:pos="1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211" w:lineRule="exact"/>
        <w:rPr>
          <w:rFonts w:ascii="Arial" w:cs="Arial" w:eastAsia="Arial" w:hAnsi="Arial"/>
          <w:sz w:val="15"/>
          <w:szCs w:val="15"/>
          <w:color w:val="auto"/>
        </w:rPr>
      </w:pPr>
    </w:p>
    <w:p>
      <w:pPr>
        <w:ind w:left="1500" w:hanging="203"/>
        <w:spacing w:after="0"/>
        <w:tabs>
          <w:tab w:leader="none" w:pos="1500" w:val="left"/>
        </w:tabs>
        <w:numPr>
          <w:ilvl w:val="2"/>
          <w:numId w:val="14"/>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 of 1933;</w:t>
      </w:r>
    </w:p>
    <w:p>
      <w:pPr>
        <w:spacing w:after="0" w:line="211" w:lineRule="exact"/>
        <w:rPr>
          <w:rFonts w:ascii="Arial" w:cs="Arial" w:eastAsia="Arial" w:hAnsi="Arial"/>
          <w:sz w:val="15"/>
          <w:szCs w:val="15"/>
          <w:color w:val="auto"/>
        </w:rPr>
      </w:pPr>
    </w:p>
    <w:p>
      <w:pPr>
        <w:jc w:val="both"/>
        <w:ind w:left="1500" w:hanging="241"/>
        <w:spacing w:after="0" w:line="278" w:lineRule="auto"/>
        <w:tabs>
          <w:tab w:leader="none" w:pos="1620" w:val="left"/>
        </w:tabs>
        <w:numPr>
          <w:ilvl w:val="2"/>
          <w:numId w:val="14"/>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9" w:lineRule="exact"/>
        <w:rPr>
          <w:rFonts w:ascii="Arial" w:cs="Arial" w:eastAsia="Arial" w:hAnsi="Arial"/>
          <w:sz w:val="14"/>
          <w:szCs w:val="14"/>
          <w:color w:val="auto"/>
        </w:rPr>
      </w:pPr>
    </w:p>
    <w:p>
      <w:pPr>
        <w:ind w:left="1500" w:right="40" w:hanging="279"/>
        <w:spacing w:after="0" w:line="276" w:lineRule="auto"/>
        <w:tabs>
          <w:tab w:leader="none" w:pos="1620" w:val="left"/>
        </w:tabs>
        <w:numPr>
          <w:ilvl w:val="2"/>
          <w:numId w:val="14"/>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1000" w:right="260"/>
        <w:spacing w:after="0" w:line="264"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5" w:lineRule="exact"/>
        <w:rPr>
          <w:sz w:val="20"/>
          <w:szCs w:val="20"/>
          <w:color w:val="auto"/>
        </w:rPr>
      </w:pPr>
    </w:p>
    <w:p>
      <w:pPr>
        <w:ind w:left="1000" w:hanging="232"/>
        <w:spacing w:after="0" w:line="313" w:lineRule="auto"/>
        <w:tabs>
          <w:tab w:leader="none" w:pos="1075"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5" w:lineRule="exact"/>
        <w:rPr>
          <w:rFonts w:ascii="Arial" w:cs="Arial" w:eastAsia="Arial" w:hAnsi="Arial"/>
          <w:sz w:val="14"/>
          <w:szCs w:val="14"/>
          <w:color w:val="auto"/>
        </w:rPr>
      </w:pPr>
    </w:p>
    <w:p>
      <w:pPr>
        <w:ind w:left="1080" w:hanging="312"/>
        <w:spacing w:after="0"/>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223" w:lineRule="exact"/>
        <w:rPr>
          <w:rFonts w:ascii="Arial" w:cs="Arial" w:eastAsia="Arial" w:hAnsi="Arial"/>
          <w:sz w:val="14"/>
          <w:szCs w:val="14"/>
          <w:color w:val="auto"/>
        </w:rPr>
      </w:pPr>
    </w:p>
    <w:p>
      <w:pPr>
        <w:ind w:left="1080" w:hanging="312"/>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That, for the purpose of determining liability under the Securities Act of 1933 to any purchaser:</w:t>
      </w:r>
    </w:p>
    <w:p>
      <w:pPr>
        <w:spacing w:after="0" w:line="211" w:lineRule="exact"/>
        <w:rPr>
          <w:rFonts w:ascii="Arial" w:cs="Arial" w:eastAsia="Arial" w:hAnsi="Arial"/>
          <w:sz w:val="15"/>
          <w:szCs w:val="15"/>
          <w:color w:val="auto"/>
        </w:rPr>
      </w:pPr>
    </w:p>
    <w:p>
      <w:pPr>
        <w:ind w:left="1500" w:hanging="203"/>
        <w:spacing w:after="0"/>
        <w:tabs>
          <w:tab w:leader="none" w:pos="15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If the registrant is relying on Rule 430B;</w:t>
      </w:r>
    </w:p>
    <w:p>
      <w:pPr>
        <w:spacing w:after="0" w:line="211" w:lineRule="exact"/>
        <w:rPr>
          <w:rFonts w:ascii="Arial" w:cs="Arial" w:eastAsia="Arial" w:hAnsi="Arial"/>
          <w:sz w:val="15"/>
          <w:szCs w:val="15"/>
          <w:color w:val="auto"/>
        </w:rPr>
      </w:pPr>
    </w:p>
    <w:p>
      <w:pPr>
        <w:ind w:left="2000" w:right="440" w:hanging="266"/>
        <w:spacing w:after="0" w:line="276" w:lineRule="auto"/>
        <w:tabs>
          <w:tab w:leader="none" w:pos="2166" w:val="left"/>
        </w:tabs>
        <w:numPr>
          <w:ilvl w:val="2"/>
          <w:numId w:val="15"/>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8" w:lineRule="exact"/>
        <w:rPr>
          <w:rFonts w:ascii="Arial" w:cs="Arial" w:eastAsia="Arial" w:hAnsi="Arial"/>
          <w:sz w:val="15"/>
          <w:szCs w:val="15"/>
          <w:color w:val="auto"/>
        </w:rPr>
      </w:pPr>
    </w:p>
    <w:p>
      <w:pPr>
        <w:jc w:val="both"/>
        <w:ind w:left="2000" w:hanging="258"/>
        <w:spacing w:after="0" w:line="273" w:lineRule="auto"/>
        <w:tabs>
          <w:tab w:leader="none" w:pos="2166" w:val="left"/>
        </w:tabs>
        <w:numPr>
          <w:ilvl w:val="2"/>
          <w:numId w:val="15"/>
        </w:numPr>
        <w:rPr>
          <w:rFonts w:ascii="Arial" w:cs="Arial" w:eastAsia="Arial" w:hAnsi="Arial"/>
          <w:sz w:val="14"/>
          <w:szCs w:val="14"/>
          <w:color w:val="auto"/>
        </w:rPr>
      </w:pPr>
      <w:r>
        <w:rPr>
          <w:rFonts w:ascii="Arial" w:cs="Arial" w:eastAsia="Arial" w:hAnsi="Arial"/>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7" w:lineRule="exact"/>
        <w:rPr>
          <w:rFonts w:ascii="Arial" w:cs="Arial" w:eastAsia="Arial" w:hAnsi="Arial"/>
          <w:sz w:val="14"/>
          <w:szCs w:val="14"/>
          <w:color w:val="auto"/>
        </w:rPr>
      </w:pPr>
    </w:p>
    <w:p>
      <w:pPr>
        <w:jc w:val="both"/>
        <w:ind w:left="1500" w:hanging="241"/>
        <w:spacing w:after="0" w:line="303" w:lineRule="auto"/>
        <w:tabs>
          <w:tab w:leader="none" w:pos="1620" w:val="left"/>
        </w:tabs>
        <w:numPr>
          <w:ilvl w:val="1"/>
          <w:numId w:val="15"/>
        </w:numPr>
        <w:rPr>
          <w:rFonts w:ascii="Arial" w:cs="Arial" w:eastAsia="Arial" w:hAnsi="Arial"/>
          <w:sz w:val="13"/>
          <w:szCs w:val="13"/>
          <w:color w:val="auto"/>
        </w:rPr>
      </w:pPr>
      <w:r>
        <w:rPr>
          <w:rFonts w:ascii="Arial" w:cs="Arial" w:eastAsia="Arial" w:hAnsi="Arial"/>
          <w:sz w:val="13"/>
          <w:szCs w:val="13"/>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15454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25" w:name="page26"/>
    <w:bookmarkEnd w:id="25"/>
    <w:p>
      <w:pPr>
        <w:ind w:left="328"/>
        <w:spacing w:after="0"/>
        <w:tabs>
          <w:tab w:leader="none" w:pos="628" w:val="left"/>
        </w:tabs>
        <w:rPr>
          <w:sz w:val="20"/>
          <w:szCs w:val="20"/>
          <w:color w:val="auto"/>
        </w:rPr>
      </w:pPr>
      <w:r>
        <w:rPr>
          <w:rFonts w:ascii="Arial" w:cs="Arial" w:eastAsia="Arial" w:hAnsi="Arial"/>
          <w:sz w:val="15"/>
          <w:szCs w:val="15"/>
          <w:color w:val="auto"/>
        </w:rPr>
        <w:t>(5)</w:t>
      </w:r>
      <w:r>
        <w:rPr>
          <w:sz w:val="20"/>
          <w:szCs w:val="20"/>
          <w:color w:val="auto"/>
        </w:rPr>
        <w:tab/>
      </w:r>
      <w:r>
        <w:rPr>
          <w:rFonts w:ascii="Arial" w:cs="Arial" w:eastAsia="Arial" w:hAnsi="Arial"/>
          <w:sz w:val="13"/>
          <w:szCs w:val="13"/>
          <w:color w:val="auto"/>
        </w:rPr>
        <w:t>That, for the purpose of determining liability of the registrant under the Securities Act of 1933 to any purchaser in the initial distribution of the securities:</w:t>
      </w:r>
    </w:p>
    <w:p>
      <w:pPr>
        <w:spacing w:after="0" w:line="203" w:lineRule="exact"/>
        <w:rPr>
          <w:sz w:val="20"/>
          <w:szCs w:val="20"/>
          <w:color w:val="auto"/>
        </w:rPr>
      </w:pPr>
    </w:p>
    <w:p>
      <w:pPr>
        <w:jc w:val="both"/>
        <w:ind w:left="28" w:right="260"/>
        <w:spacing w:after="0" w:line="245"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1068" w:hanging="203"/>
        <w:spacing w:after="0"/>
        <w:tabs>
          <w:tab w:leader="none" w:pos="1068" w:val="left"/>
        </w:tabs>
        <w:numPr>
          <w:ilvl w:val="3"/>
          <w:numId w:val="16"/>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211" w:lineRule="exact"/>
        <w:rPr>
          <w:rFonts w:ascii="Arial" w:cs="Arial" w:eastAsia="Arial" w:hAnsi="Arial"/>
          <w:sz w:val="15"/>
          <w:szCs w:val="15"/>
          <w:color w:val="auto"/>
        </w:rPr>
      </w:pPr>
    </w:p>
    <w:p>
      <w:pPr>
        <w:ind w:left="1188" w:hanging="361"/>
        <w:spacing w:after="0"/>
        <w:tabs>
          <w:tab w:leader="none" w:pos="1188" w:val="left"/>
        </w:tabs>
        <w:numPr>
          <w:ilvl w:val="3"/>
          <w:numId w:val="16"/>
        </w:numPr>
        <w:rPr>
          <w:rFonts w:ascii="Arial" w:cs="Arial" w:eastAsia="Arial" w:hAnsi="Arial"/>
          <w:sz w:val="13"/>
          <w:szCs w:val="13"/>
          <w:color w:val="auto"/>
        </w:rPr>
      </w:pPr>
      <w:r>
        <w:rPr>
          <w:rFonts w:ascii="Arial" w:cs="Arial" w:eastAsia="Arial" w:hAnsi="Arial"/>
          <w:sz w:val="13"/>
          <w:szCs w:val="13"/>
          <w:color w:val="auto"/>
        </w:rPr>
        <w:t>Any free writing prospectus relating to the offering prepared by or on behalf of the undersigned registrant or used or referred to by the undersigned registrant;</w:t>
      </w:r>
    </w:p>
    <w:p>
      <w:pPr>
        <w:spacing w:after="0" w:line="234" w:lineRule="exact"/>
        <w:rPr>
          <w:rFonts w:ascii="Arial" w:cs="Arial" w:eastAsia="Arial" w:hAnsi="Arial"/>
          <w:sz w:val="13"/>
          <w:szCs w:val="13"/>
          <w:color w:val="auto"/>
        </w:rPr>
      </w:pPr>
    </w:p>
    <w:p>
      <w:pPr>
        <w:ind w:left="708" w:right="480" w:hanging="255"/>
        <w:spacing w:after="0" w:line="276" w:lineRule="auto"/>
        <w:tabs>
          <w:tab w:leader="none" w:pos="1175" w:val="left"/>
        </w:tabs>
        <w:numPr>
          <w:ilvl w:val="2"/>
          <w:numId w:val="17"/>
        </w:numPr>
        <w:rPr>
          <w:rFonts w:ascii="Arial" w:cs="Arial" w:eastAsia="Arial" w:hAnsi="Arial"/>
          <w:sz w:val="15"/>
          <w:szCs w:val="15"/>
          <w:color w:val="auto"/>
        </w:rPr>
      </w:pPr>
      <w:r>
        <w:rPr>
          <w:rFonts w:ascii="Arial" w:cs="Arial" w:eastAsia="Arial" w:hAnsi="Arial"/>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8" w:lineRule="exact"/>
        <w:rPr>
          <w:rFonts w:ascii="Arial" w:cs="Arial" w:eastAsia="Arial" w:hAnsi="Arial"/>
          <w:sz w:val="15"/>
          <w:szCs w:val="15"/>
          <w:color w:val="auto"/>
        </w:rPr>
      </w:pPr>
    </w:p>
    <w:p>
      <w:pPr>
        <w:ind w:left="1188" w:hanging="392"/>
        <w:spacing w:after="0"/>
        <w:tabs>
          <w:tab w:leader="none" w:pos="1188" w:val="left"/>
        </w:tabs>
        <w:numPr>
          <w:ilvl w:val="3"/>
          <w:numId w:val="17"/>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211" w:lineRule="exact"/>
        <w:rPr>
          <w:rFonts w:ascii="Arial" w:cs="Arial" w:eastAsia="Arial" w:hAnsi="Arial"/>
          <w:sz w:val="15"/>
          <w:szCs w:val="15"/>
          <w:color w:val="auto"/>
        </w:rPr>
      </w:pPr>
    </w:p>
    <w:p>
      <w:pPr>
        <w:jc w:val="both"/>
        <w:ind w:left="208" w:hanging="208"/>
        <w:spacing w:after="0" w:line="284" w:lineRule="auto"/>
        <w:tabs>
          <w:tab w:leader="none" w:pos="63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Arial" w:cs="Arial" w:eastAsia="Arial" w:hAnsi="Arial"/>
          <w:sz w:val="14"/>
          <w:szCs w:val="14"/>
          <w:color w:val="auto"/>
        </w:rPr>
      </w:pPr>
    </w:p>
    <w:p>
      <w:pPr>
        <w:jc w:val="both"/>
        <w:ind w:left="208" w:hanging="201"/>
        <w:spacing w:after="0" w:line="257" w:lineRule="auto"/>
        <w:tabs>
          <w:tab w:leader="none" w:pos="6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4" w:lineRule="exact"/>
        <w:rPr>
          <w:rFonts w:ascii="Arial" w:cs="Arial" w:eastAsia="Arial" w:hAnsi="Arial"/>
          <w:sz w:val="15"/>
          <w:szCs w:val="15"/>
          <w:color w:val="auto"/>
        </w:rPr>
      </w:pPr>
    </w:p>
    <w:p>
      <w:pPr>
        <w:jc w:val="both"/>
        <w:ind w:left="208" w:hanging="208"/>
        <w:spacing w:after="0" w:line="255" w:lineRule="auto"/>
        <w:tabs>
          <w:tab w:leader="none" w:pos="63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6" w:lineRule="exact"/>
        <w:rPr>
          <w:rFonts w:ascii="Arial" w:cs="Arial" w:eastAsia="Arial" w:hAnsi="Arial"/>
          <w:sz w:val="15"/>
          <w:szCs w:val="15"/>
          <w:color w:val="auto"/>
        </w:rPr>
      </w:pPr>
    </w:p>
    <w:p>
      <w:pPr>
        <w:ind w:left="628" w:hanging="621"/>
        <w:spacing w:after="0"/>
        <w:tabs>
          <w:tab w:leader="none" w:pos="628"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undersigned registrant hereby undertakes that:</w:t>
      </w:r>
    </w:p>
    <w:p>
      <w:pPr>
        <w:spacing w:after="0" w:line="211" w:lineRule="exact"/>
        <w:rPr>
          <w:rFonts w:ascii="Arial" w:cs="Arial" w:eastAsia="Arial" w:hAnsi="Arial"/>
          <w:sz w:val="15"/>
          <w:szCs w:val="15"/>
          <w:color w:val="auto"/>
        </w:rPr>
      </w:pPr>
    </w:p>
    <w:p>
      <w:pPr>
        <w:jc w:val="both"/>
        <w:ind w:left="568" w:right="20" w:hanging="232"/>
        <w:spacing w:after="0" w:line="263" w:lineRule="auto"/>
        <w:tabs>
          <w:tab w:leader="none" w:pos="643" w:val="left"/>
        </w:tabs>
        <w:numPr>
          <w:ilvl w:val="1"/>
          <w:numId w:val="18"/>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of 1933 shall be deemed to be part of this registration statement as of the time it was declared effective.</w:t>
      </w:r>
    </w:p>
    <w:p>
      <w:pPr>
        <w:spacing w:after="0" w:line="178" w:lineRule="exact"/>
        <w:rPr>
          <w:rFonts w:ascii="Arial" w:cs="Arial" w:eastAsia="Arial" w:hAnsi="Arial"/>
          <w:sz w:val="15"/>
          <w:szCs w:val="15"/>
          <w:color w:val="auto"/>
        </w:rPr>
      </w:pPr>
    </w:p>
    <w:p>
      <w:pPr>
        <w:jc w:val="both"/>
        <w:ind w:left="568" w:hanging="225"/>
        <w:spacing w:after="0" w:line="263" w:lineRule="auto"/>
        <w:tabs>
          <w:tab w:leader="none" w:pos="636" w:val="left"/>
        </w:tabs>
        <w:numPr>
          <w:ilvl w:val="1"/>
          <w:numId w:val="18"/>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17" w:lineRule="exact"/>
        <w:rPr>
          <w:sz w:val="20"/>
          <w:szCs w:val="20"/>
          <w:color w:val="auto"/>
        </w:rPr>
      </w:pPr>
    </w:p>
    <w:p>
      <w:pPr>
        <w:jc w:val="center"/>
        <w:ind w:right="432"/>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32385</wp:posOffset>
            </wp:positionV>
            <wp:extent cx="715454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828"/>
          </w:cols>
          <w:pgMar w:left="752" w:top="332" w:right="31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Silver Spring, State of Maryland, on August 5, 2020.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URBAN ONE, INC</w:t>
      </w:r>
      <w:r>
        <w:rPr>
          <w:rFonts w:ascii="Arial" w:cs="Arial" w:eastAsia="Arial" w:hAnsi="Arial"/>
          <w:sz w:val="18"/>
          <w:szCs w:val="18"/>
          <w:color w:val="auto"/>
        </w:rPr>
        <w:t>.</w:t>
      </w:r>
    </w:p>
    <w:p>
      <w:pPr>
        <w:spacing w:after="0" w:line="20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D. Thompson</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Peter D. Thompson Executive Vice President and</w:t>
      </w:r>
    </w:p>
    <w:p>
      <w:pPr>
        <w:ind w:left="2500"/>
        <w:spacing w:after="0"/>
        <w:rPr>
          <w:sz w:val="20"/>
          <w:szCs w:val="20"/>
          <w:color w:val="auto"/>
        </w:rPr>
      </w:pPr>
      <w:r>
        <w:rPr>
          <w:rFonts w:ascii="Arial" w:cs="Arial" w:eastAsia="Arial" w:hAnsi="Arial"/>
          <w:sz w:val="18"/>
          <w:szCs w:val="18"/>
          <w:b w:val="1"/>
          <w:bCs w:val="1"/>
          <w:color w:val="auto"/>
        </w:rPr>
        <w:t>Chief Financial Officer</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KNOW ALL PERSONS BY THESE PRESENTS, </w:t>
      </w:r>
      <w:r>
        <w:rPr>
          <w:rFonts w:ascii="Arial" w:cs="Arial" w:eastAsia="Arial" w:hAnsi="Arial"/>
          <w:sz w:val="17"/>
          <w:szCs w:val="17"/>
          <w:color w:val="auto"/>
        </w:rPr>
        <w:t>that each person whose signature appears below hereby constitutes and appoints Alfred C. Liggins</w:t>
      </w:r>
      <w:r>
        <w:rPr>
          <w:rFonts w:ascii="Arial" w:cs="Arial" w:eastAsia="Arial" w:hAnsi="Arial"/>
          <w:sz w:val="17"/>
          <w:szCs w:val="17"/>
          <w:b w:val="1"/>
          <w:bCs w:val="1"/>
          <w:color w:val="auto"/>
        </w:rPr>
        <w:t xml:space="preserve"> </w:t>
      </w:r>
      <w:r>
        <w:rPr>
          <w:rFonts w:ascii="Arial" w:cs="Arial" w:eastAsia="Arial" w:hAnsi="Arial"/>
          <w:sz w:val="17"/>
          <w:szCs w:val="17"/>
          <w:color w:val="auto"/>
        </w:rPr>
        <w:t>and Peter D. Thompson, and each of them, his true and lawful attorneys-in-fact and agents, each acting alone, with the powers of substitution and revocation, for him and in his name, place and stead, in any and all capacities, to sign this Registration Statement on Form S-3, and any and all amendments (including post-effective amendments) thereto and any additional registration statements filed pursuant to Rule 462, and to file the same, with all exhibits thereto and other documents in connection therewith, with the Securities and Exchange Commission, granting unto such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that all such attorneys-in-fact and agents or any of them, or their substitute or substitutes, may lawfully do or cause to be done by virtue hereof.</w:t>
      </w:r>
    </w:p>
    <w:p>
      <w:pPr>
        <w:spacing w:after="0" w:line="167" w:lineRule="exact"/>
        <w:rPr>
          <w:sz w:val="20"/>
          <w:szCs w:val="20"/>
          <w:color w:val="auto"/>
        </w:rPr>
      </w:pPr>
    </w:p>
    <w:p>
      <w:pPr>
        <w:ind w:right="80" w:firstLine="48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Pr>
          <w:p>
            <w:pPr>
              <w:jc w:val="center"/>
              <w:ind w:right="365"/>
              <w:spacing w:after="0"/>
              <w:rPr>
                <w:sz w:val="20"/>
                <w:szCs w:val="20"/>
                <w:color w:val="auto"/>
              </w:rPr>
            </w:pPr>
            <w:r>
              <w:rPr>
                <w:rFonts w:ascii="Arial" w:cs="Arial" w:eastAsia="Arial" w:hAnsi="Arial"/>
                <w:sz w:val="15"/>
                <w:szCs w:val="15"/>
                <w:b w:val="1"/>
                <w:bCs w:val="1"/>
                <w:color w:val="auto"/>
                <w:w w:val="89"/>
              </w:rPr>
              <w:t>Signature</w:t>
            </w:r>
          </w:p>
        </w:tc>
        <w:tc>
          <w:tcPr>
            <w:tcW w:w="6640" w:type="dxa"/>
            <w:vAlign w:val="bottom"/>
          </w:tcPr>
          <w:p>
            <w:pPr>
              <w:ind w:left="2360"/>
              <w:spacing w:after="0"/>
              <w:rPr>
                <w:sz w:val="20"/>
                <w:szCs w:val="20"/>
                <w:color w:val="auto"/>
              </w:rPr>
            </w:pPr>
            <w:r>
              <w:rPr>
                <w:rFonts w:ascii="Arial" w:cs="Arial" w:eastAsia="Arial" w:hAnsi="Arial"/>
                <w:sz w:val="15"/>
                <w:szCs w:val="15"/>
                <w:b w:val="1"/>
                <w:bCs w:val="1"/>
                <w:color w:val="auto"/>
              </w:rPr>
              <w:t>Title</w:t>
            </w:r>
          </w:p>
        </w:tc>
        <w:tc>
          <w:tcPr>
            <w:tcW w:w="1600" w:type="dxa"/>
            <w:vAlign w:val="bottom"/>
          </w:tcPr>
          <w:p>
            <w:pPr>
              <w:ind w:left="1080"/>
              <w:spacing w:after="0"/>
              <w:rPr>
                <w:sz w:val="20"/>
                <w:szCs w:val="20"/>
                <w:color w:val="auto"/>
              </w:rPr>
            </w:pPr>
            <w:r>
              <w:rPr>
                <w:rFonts w:ascii="Arial" w:cs="Arial" w:eastAsia="Arial" w:hAnsi="Arial"/>
                <w:sz w:val="15"/>
                <w:szCs w:val="15"/>
                <w:b w:val="1"/>
                <w:bCs w:val="1"/>
                <w:color w:val="auto"/>
              </w:rPr>
              <w:t>Date</w:t>
            </w:r>
          </w:p>
        </w:tc>
      </w:tr>
      <w:tr>
        <w:trPr>
          <w:trHeight w:val="365"/>
        </w:trPr>
        <w:tc>
          <w:tcPr>
            <w:tcW w:w="2780" w:type="dxa"/>
            <w:vAlign w:val="bottom"/>
            <w:tcBorders>
              <w:bottom w:val="single" w:sz="8" w:color="auto"/>
            </w:tcBorders>
          </w:tcPr>
          <w:p>
            <w:pPr>
              <w:jc w:val="center"/>
              <w:ind w:left="5"/>
              <w:spacing w:after="0"/>
              <w:rPr>
                <w:sz w:val="20"/>
                <w:szCs w:val="20"/>
                <w:color w:val="auto"/>
              </w:rPr>
            </w:pPr>
            <w:r>
              <w:rPr>
                <w:rFonts w:ascii="Arial" w:cs="Arial" w:eastAsia="Arial" w:hAnsi="Arial"/>
                <w:sz w:val="15"/>
                <w:szCs w:val="15"/>
                <w:color w:val="auto"/>
                <w:w w:val="99"/>
              </w:rPr>
              <w:t>/S/ ALFRED C. LIGGINS, III</w:t>
            </w:r>
          </w:p>
        </w:tc>
        <w:tc>
          <w:tcPr>
            <w:tcW w:w="6640" w:type="dxa"/>
            <w:vAlign w:val="bottom"/>
          </w:tcPr>
          <w:p>
            <w:pPr>
              <w:ind w:left="40"/>
              <w:spacing w:after="0"/>
              <w:rPr>
                <w:sz w:val="20"/>
                <w:szCs w:val="20"/>
                <w:color w:val="auto"/>
              </w:rPr>
            </w:pPr>
            <w:r>
              <w:rPr>
                <w:rFonts w:ascii="Arial" w:cs="Arial" w:eastAsia="Arial" w:hAnsi="Arial"/>
                <w:sz w:val="15"/>
                <w:szCs w:val="15"/>
                <w:color w:val="auto"/>
              </w:rPr>
              <w:t>Chairman, Chief Executive Officer, President and Director (Principal Executive Officer)</w:t>
            </w:r>
          </w:p>
        </w:tc>
        <w:tc>
          <w:tcPr>
            <w:tcW w:w="1600" w:type="dxa"/>
            <w:vAlign w:val="bottom"/>
          </w:tcPr>
          <w:p>
            <w:pPr>
              <w:ind w:left="680"/>
              <w:spacing w:after="0"/>
              <w:rPr>
                <w:sz w:val="20"/>
                <w:szCs w:val="20"/>
                <w:color w:val="auto"/>
              </w:rPr>
            </w:pPr>
            <w:r>
              <w:rPr>
                <w:rFonts w:ascii="Arial" w:cs="Arial" w:eastAsia="Arial" w:hAnsi="Arial"/>
                <w:sz w:val="15"/>
                <w:szCs w:val="15"/>
                <w:color w:val="auto"/>
                <w:w w:val="89"/>
              </w:rPr>
              <w:t>August 5, 2020</w:t>
            </w:r>
          </w:p>
        </w:tc>
      </w:tr>
      <w:tr>
        <w:trPr>
          <w:trHeight w:val="194"/>
        </w:trPr>
        <w:tc>
          <w:tcPr>
            <w:tcW w:w="2780" w:type="dxa"/>
            <w:vAlign w:val="bottom"/>
          </w:tcPr>
          <w:p>
            <w:pPr>
              <w:jc w:val="center"/>
              <w:ind w:right="385"/>
              <w:spacing w:after="0"/>
              <w:rPr>
                <w:sz w:val="20"/>
                <w:szCs w:val="20"/>
                <w:color w:val="auto"/>
              </w:rPr>
            </w:pPr>
            <w:r>
              <w:rPr>
                <w:rFonts w:ascii="Arial" w:cs="Arial" w:eastAsia="Arial" w:hAnsi="Arial"/>
                <w:sz w:val="15"/>
                <w:szCs w:val="15"/>
                <w:b w:val="1"/>
                <w:bCs w:val="1"/>
                <w:color w:val="auto"/>
                <w:w w:val="96"/>
              </w:rPr>
              <w:t>Alfred C. Liggins, III</w:t>
            </w:r>
          </w:p>
        </w:tc>
        <w:tc>
          <w:tcPr>
            <w:tcW w:w="66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51"/>
        </w:trPr>
        <w:tc>
          <w:tcPr>
            <w:tcW w:w="2780" w:type="dxa"/>
            <w:vAlign w:val="bottom"/>
            <w:tcBorders>
              <w:bottom w:val="single" w:sz="8" w:color="auto"/>
            </w:tcBorders>
          </w:tcPr>
          <w:p>
            <w:pPr>
              <w:jc w:val="center"/>
              <w:ind w:right="285"/>
              <w:spacing w:after="0"/>
              <w:rPr>
                <w:sz w:val="20"/>
                <w:szCs w:val="20"/>
                <w:color w:val="auto"/>
              </w:rPr>
            </w:pPr>
            <w:r>
              <w:rPr>
                <w:rFonts w:ascii="Arial" w:cs="Arial" w:eastAsia="Arial" w:hAnsi="Arial"/>
                <w:sz w:val="15"/>
                <w:szCs w:val="15"/>
                <w:color w:val="auto"/>
                <w:w w:val="95"/>
              </w:rPr>
              <w:t>/S/ PETER D. THOMPSON</w:t>
            </w:r>
          </w:p>
        </w:tc>
        <w:tc>
          <w:tcPr>
            <w:tcW w:w="6640" w:type="dxa"/>
            <w:vAlign w:val="bottom"/>
          </w:tcPr>
          <w:p>
            <w:pPr>
              <w:ind w:left="40"/>
              <w:spacing w:after="0"/>
              <w:rPr>
                <w:sz w:val="20"/>
                <w:szCs w:val="20"/>
                <w:color w:val="auto"/>
              </w:rPr>
            </w:pPr>
            <w:r>
              <w:rPr>
                <w:rFonts w:ascii="Arial" w:cs="Arial" w:eastAsia="Arial" w:hAnsi="Arial"/>
                <w:sz w:val="15"/>
                <w:szCs w:val="15"/>
                <w:color w:val="auto"/>
              </w:rPr>
              <w:t>Executive Vice President and Chief Financial Officer (Principal Financial and Accounting Officer)</w:t>
            </w:r>
          </w:p>
        </w:tc>
        <w:tc>
          <w:tcPr>
            <w:tcW w:w="1600" w:type="dxa"/>
            <w:vAlign w:val="bottom"/>
          </w:tcPr>
          <w:p>
            <w:pPr>
              <w:ind w:left="640"/>
              <w:spacing w:after="0"/>
              <w:rPr>
                <w:sz w:val="20"/>
                <w:szCs w:val="20"/>
                <w:color w:val="auto"/>
              </w:rPr>
            </w:pPr>
            <w:r>
              <w:rPr>
                <w:rFonts w:ascii="Arial" w:cs="Arial" w:eastAsia="Arial" w:hAnsi="Arial"/>
                <w:sz w:val="15"/>
                <w:szCs w:val="15"/>
                <w:color w:val="auto"/>
                <w:w w:val="93"/>
              </w:rPr>
              <w:t>August 5, 2020</w:t>
            </w:r>
          </w:p>
        </w:tc>
      </w:tr>
      <w:tr>
        <w:trPr>
          <w:trHeight w:val="194"/>
        </w:trPr>
        <w:tc>
          <w:tcPr>
            <w:tcW w:w="2780" w:type="dxa"/>
            <w:vAlign w:val="bottom"/>
          </w:tcPr>
          <w:p>
            <w:pPr>
              <w:jc w:val="center"/>
              <w:ind w:right="365"/>
              <w:spacing w:after="0"/>
              <w:rPr>
                <w:sz w:val="20"/>
                <w:szCs w:val="20"/>
                <w:color w:val="auto"/>
              </w:rPr>
            </w:pPr>
            <w:r>
              <w:rPr>
                <w:rFonts w:ascii="Arial" w:cs="Arial" w:eastAsia="Arial" w:hAnsi="Arial"/>
                <w:sz w:val="15"/>
                <w:szCs w:val="15"/>
                <w:b w:val="1"/>
                <w:bCs w:val="1"/>
                <w:color w:val="auto"/>
                <w:w w:val="91"/>
              </w:rPr>
              <w:t>Peter D. Thompson</w:t>
            </w:r>
          </w:p>
        </w:tc>
        <w:tc>
          <w:tcPr>
            <w:tcW w:w="66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51"/>
        </w:trPr>
        <w:tc>
          <w:tcPr>
            <w:tcW w:w="2780" w:type="dxa"/>
            <w:vAlign w:val="bottom"/>
            <w:tcBorders>
              <w:bottom w:val="single" w:sz="8" w:color="auto"/>
            </w:tcBorders>
          </w:tcPr>
          <w:p>
            <w:pPr>
              <w:jc w:val="center"/>
              <w:ind w:right="245"/>
              <w:spacing w:after="0"/>
              <w:rPr>
                <w:sz w:val="20"/>
                <w:szCs w:val="20"/>
                <w:color w:val="auto"/>
              </w:rPr>
            </w:pPr>
            <w:r>
              <w:rPr>
                <w:rFonts w:ascii="Arial" w:cs="Arial" w:eastAsia="Arial" w:hAnsi="Arial"/>
                <w:sz w:val="15"/>
                <w:szCs w:val="15"/>
                <w:color w:val="auto"/>
                <w:w w:val="96"/>
              </w:rPr>
              <w:t>/S/ CATHERINE H. HUGHES</w:t>
            </w:r>
          </w:p>
        </w:tc>
        <w:tc>
          <w:tcPr>
            <w:tcW w:w="6640" w:type="dxa"/>
            <w:vAlign w:val="bottom"/>
          </w:tcPr>
          <w:p>
            <w:pPr>
              <w:ind w:left="40"/>
              <w:spacing w:after="0"/>
              <w:rPr>
                <w:sz w:val="20"/>
                <w:szCs w:val="20"/>
                <w:color w:val="auto"/>
              </w:rPr>
            </w:pPr>
            <w:r>
              <w:rPr>
                <w:rFonts w:ascii="Arial" w:cs="Arial" w:eastAsia="Arial" w:hAnsi="Arial"/>
                <w:sz w:val="15"/>
                <w:szCs w:val="15"/>
                <w:color w:val="auto"/>
              </w:rPr>
              <w:t>Chairperson, Founder and Director</w:t>
            </w:r>
          </w:p>
        </w:tc>
        <w:tc>
          <w:tcPr>
            <w:tcW w:w="1600" w:type="dxa"/>
            <w:vAlign w:val="bottom"/>
          </w:tcPr>
          <w:p>
            <w:pPr>
              <w:ind w:left="640"/>
              <w:spacing w:after="0"/>
              <w:rPr>
                <w:sz w:val="20"/>
                <w:szCs w:val="20"/>
                <w:color w:val="auto"/>
              </w:rPr>
            </w:pPr>
            <w:r>
              <w:rPr>
                <w:rFonts w:ascii="Arial" w:cs="Arial" w:eastAsia="Arial" w:hAnsi="Arial"/>
                <w:sz w:val="15"/>
                <w:szCs w:val="15"/>
                <w:color w:val="auto"/>
                <w:w w:val="93"/>
              </w:rPr>
              <w:t>August 5, 2020</w:t>
            </w:r>
          </w:p>
        </w:tc>
      </w:tr>
      <w:tr>
        <w:trPr>
          <w:trHeight w:val="194"/>
        </w:trPr>
        <w:tc>
          <w:tcPr>
            <w:tcW w:w="2780" w:type="dxa"/>
            <w:vAlign w:val="bottom"/>
          </w:tcPr>
          <w:p>
            <w:pPr>
              <w:jc w:val="center"/>
              <w:ind w:right="385"/>
              <w:spacing w:after="0"/>
              <w:rPr>
                <w:sz w:val="20"/>
                <w:szCs w:val="20"/>
                <w:color w:val="auto"/>
              </w:rPr>
            </w:pPr>
            <w:r>
              <w:rPr>
                <w:rFonts w:ascii="Arial" w:cs="Arial" w:eastAsia="Arial" w:hAnsi="Arial"/>
                <w:sz w:val="15"/>
                <w:szCs w:val="15"/>
                <w:b w:val="1"/>
                <w:bCs w:val="1"/>
                <w:color w:val="auto"/>
                <w:w w:val="92"/>
              </w:rPr>
              <w:t>Catherine H. Hughes</w:t>
            </w:r>
          </w:p>
        </w:tc>
        <w:tc>
          <w:tcPr>
            <w:tcW w:w="66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51"/>
        </w:trPr>
        <w:tc>
          <w:tcPr>
            <w:tcW w:w="278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auto"/>
                <w:w w:val="97"/>
              </w:rPr>
              <w:t>/S/ D. GEOFFREY ARMSTRONG</w:t>
            </w:r>
          </w:p>
        </w:tc>
        <w:tc>
          <w:tcPr>
            <w:tcW w:w="6640" w:type="dxa"/>
            <w:vAlign w:val="bottom"/>
          </w:tcPr>
          <w:p>
            <w:pPr>
              <w:ind w:left="40"/>
              <w:spacing w:after="0"/>
              <w:rPr>
                <w:sz w:val="20"/>
                <w:szCs w:val="20"/>
                <w:color w:val="auto"/>
              </w:rPr>
            </w:pPr>
            <w:r>
              <w:rPr>
                <w:rFonts w:ascii="Arial" w:cs="Arial" w:eastAsia="Arial" w:hAnsi="Arial"/>
                <w:sz w:val="15"/>
                <w:szCs w:val="15"/>
                <w:color w:val="auto"/>
              </w:rPr>
              <w:t>Director</w:t>
            </w:r>
          </w:p>
        </w:tc>
        <w:tc>
          <w:tcPr>
            <w:tcW w:w="1600" w:type="dxa"/>
            <w:vAlign w:val="bottom"/>
          </w:tcPr>
          <w:p>
            <w:pPr>
              <w:ind w:left="640"/>
              <w:spacing w:after="0"/>
              <w:rPr>
                <w:sz w:val="20"/>
                <w:szCs w:val="20"/>
                <w:color w:val="auto"/>
              </w:rPr>
            </w:pPr>
            <w:r>
              <w:rPr>
                <w:rFonts w:ascii="Arial" w:cs="Arial" w:eastAsia="Arial" w:hAnsi="Arial"/>
                <w:sz w:val="15"/>
                <w:szCs w:val="15"/>
                <w:color w:val="auto"/>
                <w:w w:val="93"/>
              </w:rPr>
              <w:t>August 5, 2020</w:t>
            </w:r>
          </w:p>
        </w:tc>
      </w:tr>
      <w:tr>
        <w:trPr>
          <w:trHeight w:val="194"/>
        </w:trPr>
        <w:tc>
          <w:tcPr>
            <w:tcW w:w="2780" w:type="dxa"/>
            <w:vAlign w:val="bottom"/>
          </w:tcPr>
          <w:p>
            <w:pPr>
              <w:jc w:val="center"/>
              <w:ind w:right="365"/>
              <w:spacing w:after="0"/>
              <w:rPr>
                <w:sz w:val="20"/>
                <w:szCs w:val="20"/>
                <w:color w:val="auto"/>
              </w:rPr>
            </w:pPr>
            <w:r>
              <w:rPr>
                <w:rFonts w:ascii="Arial" w:cs="Arial" w:eastAsia="Arial" w:hAnsi="Arial"/>
                <w:sz w:val="15"/>
                <w:szCs w:val="15"/>
                <w:b w:val="1"/>
                <w:bCs w:val="1"/>
                <w:color w:val="auto"/>
                <w:w w:val="92"/>
              </w:rPr>
              <w:t>D. Geoffrey Armstrong</w:t>
            </w:r>
          </w:p>
        </w:tc>
        <w:tc>
          <w:tcPr>
            <w:tcW w:w="66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5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TERRY L. JONES</w:t>
            </w:r>
          </w:p>
        </w:tc>
        <w:tc>
          <w:tcPr>
            <w:tcW w:w="6640" w:type="dxa"/>
            <w:vAlign w:val="bottom"/>
          </w:tcPr>
          <w:p>
            <w:pPr>
              <w:ind w:left="40"/>
              <w:spacing w:after="0"/>
              <w:rPr>
                <w:sz w:val="20"/>
                <w:szCs w:val="20"/>
                <w:color w:val="auto"/>
              </w:rPr>
            </w:pPr>
            <w:r>
              <w:rPr>
                <w:rFonts w:ascii="Arial" w:cs="Arial" w:eastAsia="Arial" w:hAnsi="Arial"/>
                <w:sz w:val="15"/>
                <w:szCs w:val="15"/>
                <w:color w:val="auto"/>
              </w:rPr>
              <w:t>Director</w:t>
            </w:r>
          </w:p>
        </w:tc>
        <w:tc>
          <w:tcPr>
            <w:tcW w:w="1600" w:type="dxa"/>
            <w:vAlign w:val="bottom"/>
          </w:tcPr>
          <w:p>
            <w:pPr>
              <w:ind w:left="640"/>
              <w:spacing w:after="0"/>
              <w:rPr>
                <w:sz w:val="20"/>
                <w:szCs w:val="20"/>
                <w:color w:val="auto"/>
              </w:rPr>
            </w:pPr>
            <w:r>
              <w:rPr>
                <w:rFonts w:ascii="Arial" w:cs="Arial" w:eastAsia="Arial" w:hAnsi="Arial"/>
                <w:sz w:val="15"/>
                <w:szCs w:val="15"/>
                <w:color w:val="auto"/>
                <w:w w:val="93"/>
              </w:rPr>
              <w:t>August 5. 2020</w:t>
            </w:r>
          </w:p>
        </w:tc>
      </w:tr>
      <w:tr>
        <w:trPr>
          <w:trHeight w:val="194"/>
        </w:trPr>
        <w:tc>
          <w:tcPr>
            <w:tcW w:w="2780" w:type="dxa"/>
            <w:vAlign w:val="bottom"/>
          </w:tcPr>
          <w:p>
            <w:pPr>
              <w:jc w:val="center"/>
              <w:ind w:right="365"/>
              <w:spacing w:after="0"/>
              <w:rPr>
                <w:sz w:val="20"/>
                <w:szCs w:val="20"/>
                <w:color w:val="auto"/>
              </w:rPr>
            </w:pPr>
            <w:r>
              <w:rPr>
                <w:rFonts w:ascii="Arial" w:cs="Arial" w:eastAsia="Arial" w:hAnsi="Arial"/>
                <w:sz w:val="15"/>
                <w:szCs w:val="15"/>
                <w:b w:val="1"/>
                <w:bCs w:val="1"/>
                <w:color w:val="auto"/>
                <w:w w:val="91"/>
              </w:rPr>
              <w:t>Terry L. Jones</w:t>
            </w:r>
          </w:p>
        </w:tc>
        <w:tc>
          <w:tcPr>
            <w:tcW w:w="66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51"/>
        </w:trPr>
        <w:tc>
          <w:tcPr>
            <w:tcW w:w="2780" w:type="dxa"/>
            <w:vAlign w:val="bottom"/>
            <w:tcBorders>
              <w:bottom w:val="single" w:sz="8" w:color="auto"/>
            </w:tcBorders>
          </w:tcPr>
          <w:p>
            <w:pPr>
              <w:jc w:val="center"/>
              <w:ind w:right="245"/>
              <w:spacing w:after="0"/>
              <w:rPr>
                <w:sz w:val="20"/>
                <w:szCs w:val="20"/>
                <w:color w:val="auto"/>
              </w:rPr>
            </w:pPr>
            <w:r>
              <w:rPr>
                <w:rFonts w:ascii="Arial" w:cs="Arial" w:eastAsia="Arial" w:hAnsi="Arial"/>
                <w:sz w:val="15"/>
                <w:szCs w:val="15"/>
                <w:color w:val="auto"/>
              </w:rPr>
              <w:t>/S/ BRIAN W. MCNEILL</w:t>
            </w:r>
          </w:p>
        </w:tc>
        <w:tc>
          <w:tcPr>
            <w:tcW w:w="6640" w:type="dxa"/>
            <w:vAlign w:val="bottom"/>
          </w:tcPr>
          <w:p>
            <w:pPr>
              <w:ind w:left="40"/>
              <w:spacing w:after="0"/>
              <w:rPr>
                <w:sz w:val="20"/>
                <w:szCs w:val="20"/>
                <w:color w:val="auto"/>
              </w:rPr>
            </w:pPr>
            <w:r>
              <w:rPr>
                <w:rFonts w:ascii="Arial" w:cs="Arial" w:eastAsia="Arial" w:hAnsi="Arial"/>
                <w:sz w:val="15"/>
                <w:szCs w:val="15"/>
                <w:color w:val="auto"/>
              </w:rPr>
              <w:t>Director</w:t>
            </w:r>
          </w:p>
        </w:tc>
        <w:tc>
          <w:tcPr>
            <w:tcW w:w="1600" w:type="dxa"/>
            <w:vAlign w:val="bottom"/>
          </w:tcPr>
          <w:p>
            <w:pPr>
              <w:ind w:left="640"/>
              <w:spacing w:after="0"/>
              <w:rPr>
                <w:sz w:val="20"/>
                <w:szCs w:val="20"/>
                <w:color w:val="auto"/>
              </w:rPr>
            </w:pPr>
            <w:r>
              <w:rPr>
                <w:rFonts w:ascii="Arial" w:cs="Arial" w:eastAsia="Arial" w:hAnsi="Arial"/>
                <w:sz w:val="15"/>
                <w:szCs w:val="15"/>
                <w:color w:val="auto"/>
                <w:w w:val="93"/>
              </w:rPr>
              <w:t>August 5, 2020</w:t>
            </w:r>
          </w:p>
        </w:tc>
      </w:tr>
      <w:tr>
        <w:trPr>
          <w:trHeight w:val="194"/>
        </w:trPr>
        <w:tc>
          <w:tcPr>
            <w:tcW w:w="2780" w:type="dxa"/>
            <w:vAlign w:val="bottom"/>
          </w:tcPr>
          <w:p>
            <w:pPr>
              <w:jc w:val="center"/>
              <w:spacing w:after="0"/>
              <w:rPr>
                <w:sz w:val="20"/>
                <w:szCs w:val="20"/>
                <w:color w:val="auto"/>
              </w:rPr>
            </w:pPr>
            <w:r>
              <w:rPr>
                <w:rFonts w:ascii="Arial" w:cs="Arial" w:eastAsia="Arial" w:hAnsi="Arial"/>
                <w:sz w:val="15"/>
                <w:szCs w:val="15"/>
                <w:b w:val="1"/>
                <w:bCs w:val="1"/>
                <w:color w:val="auto"/>
                <w:w w:val="95"/>
              </w:rPr>
              <w:t>Brian W. McNeill</w:t>
            </w:r>
          </w:p>
        </w:tc>
        <w:tc>
          <w:tcPr>
            <w:tcW w:w="664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160"/>
          </w:cols>
          <w:pgMar w:left="320" w:top="72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0"/>
          <w:szCs w:val="10"/>
          <w:b w:val="1"/>
          <w:bCs w:val="1"/>
          <w:color w:val="auto"/>
        </w:rPr>
        <w:t>20</w:t>
      </w:r>
    </w:p>
    <w:p>
      <w:pPr>
        <w:sectPr>
          <w:pgSz w:w="11900" w:h="16838" w:orient="portrait"/>
          <w:cols w:equalWidth="0" w:num="1">
            <w:col w:w="11160"/>
          </w:cols>
          <w:pgMar w:left="320" w:top="727" w:right="419" w:bottom="1440" w:gutter="0" w:footer="0" w:header="0"/>
          <w:type w:val="continuous"/>
        </w:sectPr>
      </w:pPr>
    </w:p>
    <w:bookmarkStart w:id="27" w:name="page28"/>
    <w:bookmarkEnd w:id="27"/>
    <w:p>
      <w:pPr>
        <w:ind w:left="8300"/>
        <w:spacing w:after="0"/>
        <w:rPr>
          <w:sz w:val="20"/>
          <w:szCs w:val="20"/>
          <w:color w:val="auto"/>
        </w:rPr>
      </w:pPr>
      <w:r>
        <w:rPr>
          <w:rFonts w:ascii="Arial" w:cs="Arial" w:eastAsia="Arial" w:hAnsi="Arial"/>
          <w:sz w:val="16"/>
          <w:szCs w:val="16"/>
          <w:b w:val="1"/>
          <w:bCs w:val="1"/>
          <w:color w:val="auto"/>
        </w:rPr>
        <w:t>Exhibit 4.1 - 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156210</wp:posOffset>
            </wp:positionV>
            <wp:extent cx="7176135" cy="5906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5906135"/>
                    </a:xfrm>
                    <a:prstGeom prst="rect">
                      <a:avLst/>
                    </a:prstGeom>
                    <a:noFill/>
                  </pic:spPr>
                </pic:pic>
              </a:graphicData>
            </a:graphic>
          </wp:anchor>
        </w:drawing>
      </w:r>
    </w:p>
    <w:p>
      <w:pPr>
        <w:sectPr>
          <w:pgSz w:w="11900" w:h="16838" w:orient="portrait"/>
          <w:cols w:equalWidth="0" w:num="1">
            <w:col w:w="10140"/>
          </w:cols>
          <w:pgMar w:left="1440" w:top="320" w:right="319" w:bottom="1440" w:gutter="0" w:footer="0" w:header="0"/>
        </w:sectPr>
      </w:pPr>
    </w:p>
    <w:bookmarkStart w:id="28" w:name="page29"/>
    <w:bookmarkEnd w:id="28"/>
    <w:p>
      <w:pPr>
        <w:ind w:left="8300"/>
        <w:spacing w:after="0"/>
        <w:rPr>
          <w:sz w:val="20"/>
          <w:szCs w:val="20"/>
          <w:color w:val="auto"/>
        </w:rPr>
      </w:pPr>
      <w:r>
        <w:rPr>
          <w:rFonts w:ascii="Arial" w:cs="Arial" w:eastAsia="Arial" w:hAnsi="Arial"/>
          <w:sz w:val="16"/>
          <w:szCs w:val="16"/>
          <w:b w:val="1"/>
          <w:bCs w:val="1"/>
          <w:color w:val="auto"/>
        </w:rPr>
        <w:t>Exhibit 4.1 - 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156210</wp:posOffset>
            </wp:positionV>
            <wp:extent cx="5382260" cy="6960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82260" cy="6960870"/>
                    </a:xfrm>
                    <a:prstGeom prst="rect">
                      <a:avLst/>
                    </a:prstGeom>
                    <a:noFill/>
                  </pic:spPr>
                </pic:pic>
              </a:graphicData>
            </a:graphic>
          </wp:anchor>
        </w:drawing>
      </w:r>
    </w:p>
    <w:p>
      <w:pPr>
        <w:sectPr>
          <w:pgSz w:w="11900" w:h="16838" w:orient="portrait"/>
          <w:cols w:equalWidth="0" w:num="1">
            <w:col w:w="10140"/>
          </w:cols>
          <w:pgMar w:left="1440" w:top="320" w:right="319" w:bottom="1440" w:gutter="0" w:footer="0" w:header="0"/>
        </w:sectPr>
      </w:pPr>
    </w:p>
    <w:bookmarkStart w:id="29" w:name="page30"/>
    <w:bookmarkEnd w:id="29"/>
    <w:p>
      <w:pPr>
        <w:ind w:left="1042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1334770" cy="215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4770" cy="2152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500380</wp:posOffset>
            </wp:positionV>
            <wp:extent cx="1320165" cy="538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165"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Urban 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1010 Wayne Avenue, 14th Floor</w:t>
      </w:r>
    </w:p>
    <w:p>
      <w:pPr>
        <w:spacing w:after="0"/>
        <w:rPr>
          <w:sz w:val="20"/>
          <w:szCs w:val="20"/>
          <w:color w:val="auto"/>
        </w:rPr>
      </w:pPr>
      <w:r>
        <w:rPr>
          <w:rFonts w:ascii="Arial" w:cs="Arial" w:eastAsia="Arial" w:hAnsi="Arial"/>
          <w:sz w:val="18"/>
          <w:szCs w:val="18"/>
          <w:color w:val="auto"/>
        </w:rPr>
        <w:t>Silver Spring, MD 20910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 for Urban One, Inc</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have acted as counsel to Urban One, Inc., a Delaware corporation (the "Company"), and are rendering this opinion in connection with the filing on the date hereof of a Registration Statement on Form S-3 (the "Registration Statement") by the Company with the Securities and Exchange Commission (the "Commission") under the Securities Act of 1933, as amended (the "Securities Act"), relating to up to $50,000,000 of Class A Common Stock, par value $0.001 per share (the "Common Stock") of the Company as offered by the Company ( the “Offered Common Stock”). The shares of Common Stock may be issued and sold by the Company from time to time as set forth in the Registration Statement, any amendment thereto, the prospectus contained therein, and any supplements thereto filed pursuant to Rule 415 of the rules and regulations promulgated under the Securities Act.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examined originals or copies, certified or otherwise identified to our satisfaction, of (i) the Registration Statement and all exhibits thereto, (ii) the Amended and Restated Certificate of Incorporation of the Company, and (iii) the Amended and Restated By-laws of the Company. We have also examined such corporate records and other agreements, documents and instruments, and such certificates or comparable documents of public officials and officers and representatives of the Company, and have made such inquiries of such officers and representatives and have considered such matters of law as we have deemed appropriate as the basis for the opinions hereinafter set forth.</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delivering this opinion, we have assumed the genuineness of all signatures, the legal capacity of natural persons, the authenticity of all documents submitted to us as originals, the conformity to originals of all documents submitted to us as certified, photostatic or conformed copies, the authenticity of originals of all such latter documents, and the accuracy and completeness of all records, information and statements submitted to us by officers and representatives of the Company. In making our examination of documents executed by parties other than the Company, we have assumed that such parties had the power, corporate or other, to enter into and perform all obligations thereunder and have also assumed the due authorization of all requisite action, corporate or other, and execution and delivery by such parties of such documents.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purposes of this opinion letter, we have further assumed that, at the time of the issuance, sale and delivery of any shares of Common Stock under the Registration Statement: (a) the authorization thereof by the Company will not have been modified or rescinded; (b) the Amended and Restated Certificate of Incorporation of the Company, as currently in effect, will not have been modified or amended and will be in full force and effect; and (c) sufficient shares will be available for issuance under the Amended and Restated Certificate of Incorporation.</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Based upon the assumptions set forth above, we are of the opinion that, with respect to any offering of Offered Common Stock by the Company pursuant to the Registration Statement, when (a) the Registration Statement has become effective under the Securities Act, (b) the board of directors or any duly designated committee thereof has adopted resolutions approving the issuance and sale of the Offered Common Stock at a specified price or pursuant to a specified pricing mechanism, (c) if the Offered Common Stock is to be sold in a firm commitment underwritten offering, an underwriting agreement with respect to the Offered Common Stock has been duly authorized, executed and delivered by the Company and the other parties thereto, (d) certificates representing the shares of Offered Common Stock have been duly executed by appropriate officers of the Company or appropriate book entries have been made in the stock records of the Company, and (e) the shares of Offered Common Stock have been duly and properly sold, paid for and delivered as contemplated in the Registration Statement, any prospectus supplement and prospectus relating thereto, then such Offered Common Stock will be validly issued, fully paid and nonassessable.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 express no opinion as to the law of any jurisdiction other than the federal securities laws of the United States and the laws of the State of Delaware.</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hereby consent to the use of this opinion as an exhibit to the Registration Statement and to the use of our name under the heading "Legal Matters" in the prospectus included therein.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Ballard Spahr LLP</w:t>
      </w:r>
    </w:p>
    <w:p>
      <w:pPr>
        <w:sectPr>
          <w:pgSz w:w="11900" w:h="16838" w:orient="portrait"/>
          <w:cols w:equalWidth="0" w:num="1">
            <w:col w:w="11260"/>
          </w:cols>
          <w:pgMar w:left="320" w:top="320"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Exbibit 23.1</w:t>
      </w:r>
    </w:p>
    <w:p>
      <w:pPr>
        <w:spacing w:after="0" w:line="200" w:lineRule="exact"/>
        <w:rPr>
          <w:sz w:val="20"/>
          <w:szCs w:val="20"/>
          <w:color w:val="auto"/>
        </w:rPr>
      </w:pP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Urban One,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Silver Spring, Maryland</w:t>
      </w:r>
    </w:p>
    <w:p>
      <w:pPr>
        <w:spacing w:after="0" w:line="387"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 dated April 29, 2020, relating to the consolidated financial statements and schedules of Urban One, Inc. appearing in the Company's Annual Report on Form 10-K for the year ended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sectPr>
      <w:pgSz w:w="11900" w:h="16838" w:orient="portrait"/>
      <w:cols w:equalWidth="0" w:num="1">
        <w:col w:w="11060"/>
      </w:cols>
      <w:pgMar w:left="520" w:top="3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4E6AFB66"/>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5">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16">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lvl w:ilvl="3">
      <w:lvlJc w:val="left"/>
      <w:lvlText w:val="(%4)"/>
      <w:numFmt w:val="lowerRoman"/>
      <w:start w:val="4"/>
    </w:lvl>
  </w:abstractNum>
  <w:abstractNum w:abstractNumId="17">
    <w:nsid w:val="431BD7B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2020-08-06T14:47:55Z</dcterms:created>
  <dcterms:modified xsi:type="dcterms:W3CDTF">2020-08-06T14:47:55Z</dcterms:modified>
</cp:coreProperties>
</file>