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0"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72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24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Current Report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Pursuant To Section 13 or 15(d)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Of the Securities Exchange Act of 1934</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Date of Report (Date of earliest event reported): August 04, 2026</w:t>
      </w:r>
    </w:p>
    <w:p>
      <w:pPr>
        <w:pStyle w:val="TextBody"/>
        <w:bidi w:val="0"/>
        <w:spacing w:before="200" w:after="120"/>
        <w:jc w:val="center"/>
        <w:rPr/>
      </w:pPr>
      <w:r>
        <w:rPr/>
        <w:drawing>
          <wp:inline distT="0" distB="0" distL="0" distR="0">
            <wp:extent cx="1866900"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66900" cy="5429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URBAN ONE,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5610" w:type="dxa"/>
        <w:jc w:val="left"/>
        <w:tblInd w:w="0" w:type="dxa"/>
        <w:tblLayout w:type="fixed"/>
        <w:tblCellMar>
          <w:top w:w="28" w:type="dxa"/>
          <w:left w:w="28" w:type="dxa"/>
          <w:bottom w:w="28" w:type="dxa"/>
          <w:right w:w="28" w:type="dxa"/>
        </w:tblCellMar>
      </w:tblPr>
      <w:tblGrid>
        <w:gridCol w:w="808"/>
        <w:gridCol w:w="711"/>
        <w:gridCol w:w="716"/>
        <w:gridCol w:w="603"/>
        <w:gridCol w:w="603"/>
        <w:gridCol w:w="609"/>
        <w:gridCol w:w="455"/>
        <w:gridCol w:w="455"/>
        <w:gridCol w:w="650"/>
      </w:tblGrid>
      <w:tr>
        <w:trPr/>
        <w:tc>
          <w:tcPr>
            <w:tcW w:w="808"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0-25969</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52-1166660</w:t>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(State or Other Jurisdiction</w:t>
              <w:br/>
              <w:t>of Incorporation)</w:t>
            </w:r>
          </w:p>
        </w:tc>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(Commission File No.)</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(IRS Employer</w:t>
              <w:br/>
              <w:t>Identification No.)</w:t>
            </w:r>
          </w:p>
        </w:tc>
      </w:tr>
    </w:tbl>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1010 Wayne Avenue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14th Floor</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Silver Spring, Maryland 20910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(301) 429-3200</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(Address, Including Zip Code, and Telephone Number, Including Area Code, of Registrant’s Principal Executive Offices)</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(Former name or former address, if changed since last report)</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lineRule="auto" w:line="288" w:before="14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302" w:type="dxa"/>
        <w:jc w:val="left"/>
        <w:tblInd w:w="0" w:type="dxa"/>
        <w:tblLayout w:type="fixed"/>
        <w:tblCellMar>
          <w:top w:w="28" w:type="dxa"/>
          <w:left w:w="28" w:type="dxa"/>
          <w:bottom w:w="28" w:type="dxa"/>
          <w:right w:w="28" w:type="dxa"/>
        </w:tblCellMar>
      </w:tblPr>
      <w:tblGrid>
        <w:gridCol w:w="1116"/>
        <w:gridCol w:w="981"/>
        <w:gridCol w:w="993"/>
        <w:gridCol w:w="109"/>
        <w:gridCol w:w="109"/>
        <w:gridCol w:w="109"/>
        <w:gridCol w:w="454"/>
        <w:gridCol w:w="454"/>
        <w:gridCol w:w="456"/>
        <w:gridCol w:w="109"/>
        <w:gridCol w:w="109"/>
        <w:gridCol w:w="109"/>
        <w:gridCol w:w="934"/>
        <w:gridCol w:w="934"/>
        <w:gridCol w:w="1326"/>
      </w:tblGrid>
      <w:tr>
        <w:trPr/>
        <w:tc>
          <w:tcPr>
            <w:tcW w:w="1116"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Name of Exchange on which Registered</w:t>
            </w:r>
          </w:p>
        </w:tc>
      </w:tr>
      <w:tr>
        <w:trPr/>
        <w:tc>
          <w:tcPr>
            <w:tcW w:w="309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Stock Market</w:t>
            </w:r>
          </w:p>
        </w:tc>
      </w:tr>
      <w:tr>
        <w:trPr/>
        <w:tc>
          <w:tcPr>
            <w:tcW w:w="30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Class D 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UONEK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Stock Market</w:t>
            </w:r>
          </w:p>
        </w:tc>
      </w:tr>
    </w:tbl>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under the Securities Exchange Act of 1934 (§240.12b-2 of this chapter).</w:t>
      </w:r>
    </w:p>
    <w:p>
      <w:pPr>
        <w:pStyle w:val="TextBody"/>
        <w:bidi w:val="0"/>
        <w:spacing w:lineRule="auto" w:line="288" w:before="0" w:after="0"/>
        <w:jc w:val="both"/>
        <w:rPr/>
      </w:pPr>
      <w:r>
        <w:rPr>
          <w:rFonts w:ascii="Times New Roman;serif" w:hAnsi="Times New Roman;serif"/>
          <w:b w:val="false"/>
          <w:color w:val="000000"/>
          <w:sz w:val="18"/>
        </w:rPr>
        <w:t xml:space="preserve">Emerging growth company </w:t>
      </w:r>
      <w:r>
        <w:rPr>
          <w:rFonts w:ascii="Wingdings;sans-serif" w:hAnsi="Wingdings;sans-serif"/>
          <w:b w:val="false"/>
          <w:color w:val="000000"/>
          <w:sz w:val="18"/>
        </w:rPr>
        <w:t>o</w:t>
      </w:r>
    </w:p>
    <w:p>
      <w:pPr>
        <w:pStyle w:val="TextBody"/>
        <w:bidi w:val="0"/>
        <w:spacing w:lineRule="auto" w:line="288" w:before="240" w:after="283"/>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0"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4, 2026, Urban One, Inc. (the “Company”) issued a press release setting forth the results for the three months ended June 30, 2026. A copy of the press release is attached as Exhibit 99.1.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its earnings call and/or in its press release, the Company updated its forward guidance for the year ending December 31, 2026 noting it now anticipates Adjusted EBITDA in the mid-fifty-million dollar range versus its prior view of $60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ind w:left="0" w:right="0" w:hanging="230"/>
        <w:jc w:val="left"/>
        <w:rPr/>
      </w:pPr>
      <w:r>
        <w:rPr>
          <w:rFonts w:ascii="Times New Roman;serif" w:hAnsi="Times New Roman;serif"/>
          <w:b/>
          <w:color w:val="000000"/>
          <w:sz w:val="20"/>
        </w:rPr>
        <w:t>(c)</w:t>
      </w:r>
      <w:r>
        <w:rPr>
          <w:color w:val="000000"/>
        </w:rPr>
        <w:t> </w:t>
      </w:r>
      <w:r>
        <w:rPr>
          <w:rFonts w:ascii="Times New Roman;serif" w:hAnsi="Times New Roman;serif"/>
          <w:b/>
          <w:color w:val="000000"/>
          <w:sz w:val="20"/>
        </w:rPr>
        <w:t>Exhibits</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649"/>
        <w:gridCol w:w="2649"/>
        <w:gridCol w:w="3769"/>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3769"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both"/>
              <w:rPr/>
            </w:pPr>
            <w:hyperlink w:anchor="uone-20260804xexx991.htm">
              <w:r>
                <w:rPr>
                  <w:rStyle w:val="InternetLink"/>
                  <w:rFonts w:ascii="Times New Roman;serif" w:hAnsi="Times New Roman;serif"/>
                  <w:b w:val="false"/>
                  <w:color w:val="000080"/>
                  <w:sz w:val="20"/>
                  <w:u w:val="single"/>
                </w:rPr>
                <w:t xml:space="preserve">Press release dated </w:t>
              </w:r>
            </w:hyperlink>
            <w:hyperlink w:anchor="uone-20260804xexx991.htm">
              <w:r>
                <w:rPr>
                  <w:rStyle w:val="InternetLink"/>
                  <w:rFonts w:ascii="Times New Roman;serif" w:hAnsi="Times New Roman;serif"/>
                  <w:b w:val="false"/>
                  <w:color w:val="000080"/>
                  <w:sz w:val="20"/>
                  <w:u w:val="single"/>
                </w:rPr>
                <w:t>August 4</w:t>
              </w:r>
            </w:hyperlink>
            <w:hyperlink w:anchor="uone-20260804xexx991.htm">
              <w:r>
                <w:rPr>
                  <w:rStyle w:val="InternetLink"/>
                  <w:rFonts w:ascii="Times New Roman;serif" w:hAnsi="Times New Roman;serif"/>
                  <w:b w:val="false"/>
                  <w:color w:val="000080"/>
                  <w:sz w:val="20"/>
                  <w:u w:val="single"/>
                </w:rPr>
                <w:t xml:space="preserve">, 2026: Urban One Reports </w:t>
              </w:r>
            </w:hyperlink>
            <w:hyperlink w:anchor="uone-20260804xexx991.htm">
              <w:r>
                <w:rPr>
                  <w:rStyle w:val="InternetLink"/>
                  <w:rFonts w:ascii="Times New Roman;serif" w:hAnsi="Times New Roman;serif"/>
                  <w:b w:val="false"/>
                  <w:color w:val="000080"/>
                  <w:sz w:val="20"/>
                  <w:u w:val="single"/>
                </w:rPr>
                <w:t>Second</w:t>
              </w:r>
            </w:hyperlink>
            <w:hyperlink w:anchor="uone-20260804xexx991.htm">
              <w:r>
                <w:rPr>
                  <w:rStyle w:val="InternetLink"/>
                  <w:rFonts w:ascii="Times New Roman;serif" w:hAnsi="Times New Roman;serif"/>
                  <w:b w:val="false"/>
                  <w:color w:val="000080"/>
                  <w:sz w:val="20"/>
                  <w:u w:val="single"/>
                </w:rPr>
                <w:t xml:space="preserve"> Quarter 2026 Results</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Forward Looking Statements</w:t>
      </w:r>
    </w:p>
    <w:p>
      <w:pPr>
        <w:pStyle w:val="TextBody"/>
        <w:bidi w:val="0"/>
        <w:spacing w:before="200" w:after="283"/>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cautions you certain of the statements in this Form 8-K or in this press release may represent "forward-looking statements" as defined in Section 27A of the United States Securities Act of 1933, as amended, and Section 21E of the United States Securities Exchange Act of 1934, as amended. These statements are based on assumptions believed by the Company to be reasonable and speak only as of the date on which such statements are made. Without limiting the generality of the foregoing, words such as "expect," "believe," "anticipate," "intend," "plan," "project," "will" or "estimate," or the negative or other variations thereof or comparable terminology are intended to identify forward-looking statements. Except as required by law, the Company undertakes no obligation to update such statements to reflect events or circumstances arising after such date and cautions investors not to place undue reliance on any such forward-looking statements. Forward-looking statements involve risks and uncertainties that could cause actual results to differ materially from those described in the statements based on factors, including but not limited to the following: economic, public health, and/or political conditions that impact consumer confidence and spending; the cost and availability of capital or credit facility borrowings; the ability to obtain equity financing; general market conditions; the adequacy of cash flows or available debt resources to fund operations; and other risk factors described from time to time in the Company's Forms 10-K, Forms 10-Q, and Form 8-K reports (including all amendments to those reports).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105" w:type="dxa"/>
        <w:jc w:val="left"/>
        <w:tblInd w:w="0" w:type="dxa"/>
        <w:tblLayout w:type="fixed"/>
        <w:tblCellMar>
          <w:top w:w="28" w:type="dxa"/>
          <w:left w:w="28" w:type="dxa"/>
          <w:bottom w:w="28" w:type="dxa"/>
          <w:right w:w="28" w:type="dxa"/>
        </w:tblCellMar>
      </w:tblPr>
      <w:tblGrid>
        <w:gridCol w:w="493"/>
        <w:gridCol w:w="435"/>
        <w:gridCol w:w="437"/>
        <w:gridCol w:w="1387"/>
        <w:gridCol w:w="1387"/>
        <w:gridCol w:w="1966"/>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URBAN ONE, INC.</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Peter D. Thompson</w:t>
            </w:r>
          </w:p>
        </w:tc>
      </w:tr>
      <w:tr>
        <w:trPr/>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474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Peter D. Thompson</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76" w:before="200" w:after="283"/>
        <w:jc w:val="left"/>
        <w:rPr>
          <w:rFonts w:ascii="Times New Roman;serif" w:hAnsi="Times New Roman;serif"/>
          <w:b/>
          <w:color w:val="FFFFFF"/>
          <w:sz w:val="50"/>
          <w:shd w:fill="000000" w:val="clear"/>
        </w:rPr>
      </w:pPr>
      <w:r>
        <w:rPr>
          <w:rFonts w:ascii="Times New Roman;serif" w:hAnsi="Times New Roman;serif"/>
          <w:b/>
          <w:color w:val="FFFFFF"/>
          <w:sz w:val="50"/>
          <w:shd w:fill="000000" w:val="clear"/>
        </w:rPr>
        <w:t>NEWS RELEASE</w:t>
      </w:r>
    </w:p>
    <w:tbl>
      <w:tblPr>
        <w:tblW w:w="7783" w:type="dxa"/>
        <w:jc w:val="left"/>
        <w:tblInd w:w="0" w:type="dxa"/>
        <w:tblLayout w:type="fixed"/>
        <w:tblCellMar>
          <w:top w:w="28" w:type="dxa"/>
          <w:left w:w="28" w:type="dxa"/>
          <w:bottom w:w="28" w:type="dxa"/>
          <w:right w:w="28" w:type="dxa"/>
        </w:tblCellMar>
      </w:tblPr>
      <w:tblGrid>
        <w:gridCol w:w="1228"/>
        <w:gridCol w:w="1076"/>
        <w:gridCol w:w="1085"/>
        <w:gridCol w:w="1285"/>
        <w:gridCol w:w="1285"/>
        <w:gridCol w:w="1824"/>
      </w:tblGrid>
      <w:tr>
        <w:trPr/>
        <w:tc>
          <w:tcPr>
            <w:tcW w:w="1228"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August 4, 2026</w:t>
            </w:r>
          </w:p>
        </w:tc>
        <w:tc>
          <w:tcPr>
            <w:tcW w:w="43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Contact: Peter D. Thompson, EVP and CFO</w:t>
            </w:r>
          </w:p>
        </w:tc>
      </w:tr>
      <w:tr>
        <w:trPr/>
        <w:tc>
          <w:tcPr>
            <w:tcW w:w="33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FOR IMMEDIATE RELEASE</w:t>
            </w:r>
          </w:p>
        </w:tc>
        <w:tc>
          <w:tcPr>
            <w:tcW w:w="43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(301) 429-4638</w:t>
            </w:r>
          </w:p>
        </w:tc>
      </w:tr>
      <w:tr>
        <w:trPr/>
        <w:tc>
          <w:tcPr>
            <w:tcW w:w="33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Silver Spring, MD</w:t>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center"/>
        <w:rPr>
          <w:rFonts w:ascii="Times New Roman;serif" w:hAnsi="Times New Roman;serif"/>
          <w:b/>
          <w:color w:val="000000"/>
          <w:sz w:val="34"/>
        </w:rPr>
      </w:pPr>
      <w:r>
        <w:rPr>
          <w:rFonts w:ascii="Times New Roman;serif" w:hAnsi="Times New Roman;serif"/>
          <w:b/>
          <w:color w:val="000000"/>
          <w:sz w:val="34"/>
        </w:rPr>
        <w:t>URBAN ONE, INC. REPORTS SECOND QUARTER 2026 RESULTS</w:t>
      </w:r>
    </w:p>
    <w:p>
      <w:pPr>
        <w:pStyle w:val="TextBody"/>
        <w:bidi w:val="0"/>
        <w:spacing w:lineRule="auto" w:line="288" w:before="240" w:after="283"/>
        <w:jc w:val="both"/>
        <w:rPr/>
      </w:pPr>
      <w:r>
        <w:rPr>
          <w:rFonts w:ascii="Times New Roman;serif" w:hAnsi="Times New Roman;serif"/>
          <w:b/>
          <w:color w:val="000000"/>
          <w:sz w:val="20"/>
          <w:u w:val="single"/>
        </w:rPr>
        <w:t>Silver Spring, MD</w:t>
      </w:r>
      <w:r>
        <w:rPr>
          <w:rFonts w:ascii="Times New Roman;serif" w:hAnsi="Times New Roman;serif"/>
          <w:b/>
          <w:color w:val="000000"/>
          <w:sz w:val="20"/>
        </w:rPr>
        <w:t>: -</w:t>
      </w:r>
      <w:r>
        <w:rPr>
          <w:color w:val="000000"/>
        </w:rPr>
        <w:t xml:space="preserve"> </w:t>
      </w:r>
      <w:r>
        <w:rPr>
          <w:rFonts w:ascii="Times New Roman;serif" w:hAnsi="Times New Roman;serif"/>
          <w:b w:val="false"/>
          <w:color w:val="000000"/>
          <w:sz w:val="20"/>
        </w:rPr>
        <w:t>Urban One, Inc. (NASDAQ: UONEK and UONE, referred to as, “Urban One,” the “Company”, “we”, “our” and/or “us”) today reported its results for the three months ended June 30, 2026. For the three months ended June 30, 2026, net revenue was approximately $85.8 million, a decrease of 6.4% from the same period in 2025. The Company reported operating loss of approximately $11.2 million for the three months ended June 30, 2026, compared to operating loss of approximately $120.7 million for the three months ended June 30, 2025. Broadcast and digital operating income</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was approximately $22.2 million for the three months ended June 30, 2026, a decrease of $3.5 million from the same period in 2025. Net loss was approximately $7.1 million or $(1.58) per share (basic) for the three months ended June 30, 2026, compared to net loss of $77.9 million or $(17.41)</w:t>
      </w: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20"/>
        </w:rPr>
        <w:t>per share (basic) for the same period in 2025. Adjusted EBITDA</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was approximately $11.7 million for the three months ended June 30, 2026, compared to approximately $14.0 million for the same period in 2025.</w:t>
      </w:r>
    </w:p>
    <w:p>
      <w:pPr>
        <w:pStyle w:val="TextBody"/>
        <w:bidi w:val="0"/>
        <w:spacing w:lineRule="auto" w:line="288" w:before="240" w:after="240"/>
        <w:ind w:left="0" w:right="0" w:firstLine="720"/>
        <w:jc w:val="both"/>
        <w:rPr/>
      </w:pPr>
      <w:r>
        <w:rPr>
          <w:rFonts w:ascii="Times New Roman;serif" w:hAnsi="Times New Roman;serif"/>
          <w:b w:val="false"/>
          <w:color w:val="000000"/>
          <w:sz w:val="20"/>
        </w:rPr>
        <w:t>Alfred C. Liggins, III, Urban One’s CEO and President stated, “We saw some sequential improvement in the second quarter compared to the first quarter, with lower rates of revenue decline. Cable Television was down 7.4%, Digital was down 8.4%, Radio was down 3.9%, and Reach Media dropped by 10.6%. In Radio, our Miller Kaplan local Radio revenues were down 10.1% year-over-year vs. the market down 7.8%; and national was down 1.5% vs. the market down 4.6%. Including local digital, second quarter Radio revenue was down 4.9%. We did approximately $1.4 million in gross political advertising in the second quarter. Radio third quarter is pacing down 2.8%. We remain in a turnaround situation at Reach Media, where we continue to be impacted by a weak marketplace, key client attrition and sales team re-building. We continue to closely manage cash flows from operations, with concerted efforts to collect receivables and manage discretionary vendor spend. During the three months ended June 30, 2026, the Company repurchased approximately $23.5 million of its 2031 Second Lien Notes at a weighted average price of approximately 42.0% of par. Year-to-date, that is a total reduction in long-term debt of $60.2 million for an annual interest savings of $4.6 million and an increase in short-term debt of $10.0 million. During the quarter we completed the disposition of WLNK and WMXG in Charlotte. Our revised Adjusted EBITDA</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guide for 2026 is now in the mid-fifty-million dollar range, given the realities of the current marketplace."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02260"/>
                <wp:effectExtent l="0" t="0" r="0" b="0"/>
                <wp:wrapNone/>
                <wp:docPr id="5" name="Frame4"/>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jc w:val="center"/>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PAGE 2 -- URBAN ONE, INC. REPORTS SECOND QUARTER 2026 RESULTS</w:t>
      </w:r>
    </w:p>
    <w:tbl>
      <w:tblPr>
        <w:tblW w:w="10205" w:type="dxa"/>
        <w:jc w:val="left"/>
        <w:tblInd w:w="0" w:type="dxa"/>
        <w:tblLayout w:type="fixed"/>
        <w:tblCellMar>
          <w:top w:w="28" w:type="dxa"/>
          <w:left w:w="28" w:type="dxa"/>
          <w:bottom w:w="28" w:type="dxa"/>
          <w:right w:w="28" w:type="dxa"/>
        </w:tblCellMar>
      </w:tblPr>
      <w:tblGrid>
        <w:gridCol w:w="1701"/>
        <w:gridCol w:w="1344"/>
        <w:gridCol w:w="1346"/>
        <w:gridCol w:w="353"/>
        <w:gridCol w:w="341"/>
        <w:gridCol w:w="341"/>
        <w:gridCol w:w="171"/>
        <w:gridCol w:w="171"/>
        <w:gridCol w:w="171"/>
        <w:gridCol w:w="350"/>
        <w:gridCol w:w="383"/>
        <w:gridCol w:w="383"/>
        <w:gridCol w:w="109"/>
        <w:gridCol w:w="109"/>
        <w:gridCol w:w="109"/>
        <w:gridCol w:w="345"/>
        <w:gridCol w:w="393"/>
        <w:gridCol w:w="394"/>
        <w:gridCol w:w="168"/>
        <w:gridCol w:w="168"/>
        <w:gridCol w:w="168"/>
        <w:gridCol w:w="345"/>
        <w:gridCol w:w="345"/>
        <w:gridCol w:w="497"/>
      </w:tblGrid>
      <w:tr>
        <w:trPr/>
        <w:tc>
          <w:tcPr>
            <w:tcW w:w="1701"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4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w:t>
            </w:r>
          </w:p>
        </w:tc>
      </w:tr>
      <w:tr>
        <w:trPr/>
        <w:tc>
          <w:tcPr>
            <w:tcW w:w="4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(Unaudited)</w:t>
            </w:r>
          </w:p>
        </w:tc>
      </w:tr>
      <w:tr>
        <w:trPr/>
        <w:tc>
          <w:tcPr>
            <w:tcW w:w="43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OPERATIONS</w:t>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(In thousands,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(In thousands, except share data)</w:t>
            </w:r>
          </w:p>
        </w:tc>
      </w:tr>
      <w:tr>
        <w:trPr/>
        <w:tc>
          <w:tcPr>
            <w:tcW w:w="4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3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85,757</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91,631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163,408</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183,866</w:t>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and technical, excluding stock-based compensation</w:t>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29,774</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59,779</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59,245</w:t>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excluding stock-based compensation</w:t>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45,201</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88,684</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99,598</w:t>
            </w:r>
          </w:p>
        </w:tc>
      </w:tr>
      <w:tr>
        <w:trPr/>
        <w:tc>
          <w:tcPr>
            <w:tcW w:w="4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1,680</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1,881</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w:t>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6,184</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12,361</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5,838</w:t>
            </w:r>
          </w:p>
        </w:tc>
      </w:tr>
      <w:tr>
        <w:trPr/>
        <w:tc>
          <w:tcPr>
            <w:tcW w:w="4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 intangible assets and long-lived assets</w:t>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14,157</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14,157</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136,521</w:t>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operating expenses </w:t>
            </w:r>
          </w:p>
        </w:tc>
        <w:tc>
          <w:tcPr>
            <w:tcW w:w="103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96,996</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212,315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176,862</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302,452</w:t>
            </w:r>
          </w:p>
        </w:tc>
      </w:tr>
      <w:tr>
        <w:trPr/>
        <w:tc>
          <w:tcPr>
            <w:tcW w:w="4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(11,239)</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(120,684)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(13,454)</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(118,586)</w:t>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INVESTMENT INCOME</w:t>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1,582</w:t>
            </w:r>
          </w:p>
        </w:tc>
      </w:tr>
      <w:tr>
        <w:trPr/>
        <w:tc>
          <w:tcPr>
            <w:tcW w:w="4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(2,070)</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(6,477)</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(20,628)</w:t>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BUSINESS</w:t>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4,671</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4,671</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RETIREMENT OF DEBT</w:t>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2,080</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41,884</w:t>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r>
      <w:tr>
        <w:trPr/>
        <w:tc>
          <w:tcPr>
            <w:tcW w:w="4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benefit from income taxes</w:t>
            </w:r>
          </w:p>
        </w:tc>
        <w:tc>
          <w:tcPr>
            <w:tcW w:w="10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(8,681)</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(99,351)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(13,223)</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(95,432)</w:t>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1,703</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3,144</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5,724</w:t>
            </w:r>
          </w:p>
        </w:tc>
      </w:tr>
      <w:tr>
        <w:trPr/>
        <w:tc>
          <w:tcPr>
            <w:tcW w:w="4391"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r>
      <w:tr>
        <w:trPr/>
        <w:tc>
          <w:tcPr>
            <w:tcW w:w="4391"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r>
      <w:tr>
        <w:trPr/>
        <w:tc>
          <w:tcPr>
            <w:tcW w:w="4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(6,978)</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(10,079)</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(89,708)</w:t>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INTERESTS</w:t>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r>
      <w:tr>
        <w:trPr/>
        <w:tc>
          <w:tcPr>
            <w:tcW w:w="4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3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(7,073)</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(10,152)</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(89,644)</w:t>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Weighted-average shares outstanding - basic</w:t>
            </w:r>
            <w:r>
              <w:rPr>
                <w:rFonts w:ascii="Times New Roman;serif" w:hAnsi="Times New Roman;serif"/>
                <w:b w:val="false"/>
                <w:color w:val="000000"/>
                <w:sz w:val="13"/>
              </w:rPr>
              <w:t>(3, a)</w:t>
            </w:r>
          </w:p>
        </w:tc>
        <w:tc>
          <w:tcPr>
            <w:tcW w:w="10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4,470,542</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4,473,831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4,460,275</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4,476,828</w:t>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Weighted-average shares outstanding - diluted</w:t>
            </w:r>
            <w:r>
              <w:rPr>
                <w:rFonts w:ascii="Times New Roman;serif" w:hAnsi="Times New Roman;serif"/>
                <w:b w:val="false"/>
                <w:color w:val="000000"/>
                <w:sz w:val="13"/>
              </w:rPr>
              <w:t>(4, a)</w:t>
            </w:r>
          </w:p>
        </w:tc>
        <w:tc>
          <w:tcPr>
            <w:tcW w:w="1035"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4,470,542</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4,473,831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4,460,275</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4,476,828</w:t>
            </w:r>
          </w:p>
        </w:tc>
      </w:tr>
    </w:tbl>
    <w:p>
      <w:pPr>
        <w:pStyle w:val="TextBody"/>
        <w:bidi w:val="0"/>
        <w:spacing w:lineRule="auto" w:line="288" w:before="120" w:after="120"/>
        <w:jc w:val="both"/>
        <w:rPr>
          <w:rFonts w:ascii="Times New Roman;serif" w:hAnsi="Times New Roman;serif"/>
          <w:b w:val="false"/>
          <w:color w:val="000000"/>
          <w:sz w:val="13"/>
        </w:rPr>
      </w:pPr>
      <w:r>
        <w:rPr>
          <w:rFonts w:ascii="Times New Roman;serif" w:hAnsi="Times New Roman;serif"/>
          <w:b w:val="false"/>
          <w:color w:val="000000"/>
          <w:sz w:val="13"/>
        </w:rPr>
        <w:t>(a) Weighted-average shares outstanding used in the computation of basic and diluted net loss to common stockholders per share have been retroactively adjusted to reflect the 1-for-10 Reverse Stock Split that occurred on January 22,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02260"/>
                <wp:effectExtent l="0" t="0" r="0" b="0"/>
                <wp:wrapNone/>
                <wp:docPr id="6" name="Frame5"/>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jc w:val="center"/>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PAGE 3 -- URBAN ONE, INC. REPORTS SECOND QUARTER 2026 RESULTS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Detailed segment data for the three and six months ended June 30, 2026 and 2025 is presented in the following tables:</w:t>
      </w:r>
    </w:p>
    <w:tbl>
      <w:tblPr>
        <w:tblW w:w="10205" w:type="dxa"/>
        <w:jc w:val="left"/>
        <w:tblInd w:w="0" w:type="dxa"/>
        <w:tblLayout w:type="fixed"/>
        <w:tblCellMar>
          <w:top w:w="28" w:type="dxa"/>
          <w:left w:w="28" w:type="dxa"/>
          <w:bottom w:w="28" w:type="dxa"/>
          <w:right w:w="28" w:type="dxa"/>
        </w:tblCellMar>
      </w:tblPr>
      <w:tblGrid>
        <w:gridCol w:w="854"/>
        <w:gridCol w:w="516"/>
        <w:gridCol w:w="482"/>
        <w:gridCol w:w="213"/>
        <w:gridCol w:w="727"/>
        <w:gridCol w:w="111"/>
        <w:gridCol w:w="109"/>
        <w:gridCol w:w="109"/>
        <w:gridCol w:w="109"/>
        <w:gridCol w:w="279"/>
        <w:gridCol w:w="816"/>
        <w:gridCol w:w="145"/>
        <w:gridCol w:w="109"/>
        <w:gridCol w:w="109"/>
        <w:gridCol w:w="109"/>
        <w:gridCol w:w="213"/>
        <w:gridCol w:w="662"/>
        <w:gridCol w:w="110"/>
        <w:gridCol w:w="109"/>
        <w:gridCol w:w="109"/>
        <w:gridCol w:w="109"/>
        <w:gridCol w:w="211"/>
        <w:gridCol w:w="442"/>
        <w:gridCol w:w="129"/>
        <w:gridCol w:w="109"/>
        <w:gridCol w:w="109"/>
        <w:gridCol w:w="109"/>
        <w:gridCol w:w="229"/>
        <w:gridCol w:w="784"/>
        <w:gridCol w:w="118"/>
        <w:gridCol w:w="109"/>
        <w:gridCol w:w="109"/>
        <w:gridCol w:w="109"/>
        <w:gridCol w:w="311"/>
        <w:gridCol w:w="983"/>
        <w:gridCol w:w="235"/>
      </w:tblGrid>
      <w:tr>
        <w:trPr/>
        <w:tc>
          <w:tcPr>
            <w:tcW w:w="85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 2026</w:t>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3" w:type="dxa"/>
            <w:gridSpan w:val="3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(In thousands, unaudited)</w:t>
            </w:r>
          </w:p>
        </w:tc>
      </w:tr>
      <w:tr>
        <w:trPr/>
        <w:tc>
          <w:tcPr>
            <w:tcW w:w="1852"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Radio Broadcasting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Reach Media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Digital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Cable Television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Corporate/ Eliminations/ Other</w:t>
            </w:r>
          </w:p>
        </w:tc>
      </w:tr>
      <w:tr>
        <w:trPr/>
        <w:tc>
          <w:tcPr>
            <w:tcW w:w="1852"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1852"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(791)</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Less/(add):</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and technical</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8,009</w:t>
            </w:r>
          </w:p>
        </w:tc>
      </w:tr>
      <w:tr>
        <w:trPr/>
        <w:tc>
          <w:tcPr>
            <w:tcW w:w="1852"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Severance-related costs</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costs</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(2)</w:t>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11,723 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6,288 </w:t>
            </w:r>
          </w:p>
        </w:tc>
        <w:tc>
          <w:tcPr>
            <w:tcW w:w="1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(1,027)</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14,205 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(7,651)</w:t>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87"/>
        <w:gridCol w:w="501"/>
        <w:gridCol w:w="475"/>
        <w:gridCol w:w="213"/>
        <w:gridCol w:w="727"/>
        <w:gridCol w:w="111"/>
        <w:gridCol w:w="109"/>
        <w:gridCol w:w="109"/>
        <w:gridCol w:w="109"/>
        <w:gridCol w:w="250"/>
        <w:gridCol w:w="854"/>
        <w:gridCol w:w="129"/>
        <w:gridCol w:w="109"/>
        <w:gridCol w:w="109"/>
        <w:gridCol w:w="109"/>
        <w:gridCol w:w="219"/>
        <w:gridCol w:w="642"/>
        <w:gridCol w:w="113"/>
        <w:gridCol w:w="109"/>
        <w:gridCol w:w="109"/>
        <w:gridCol w:w="109"/>
        <w:gridCol w:w="211"/>
        <w:gridCol w:w="721"/>
        <w:gridCol w:w="109"/>
        <w:gridCol w:w="109"/>
        <w:gridCol w:w="109"/>
        <w:gridCol w:w="109"/>
        <w:gridCol w:w="228"/>
        <w:gridCol w:w="781"/>
        <w:gridCol w:w="118"/>
        <w:gridCol w:w="109"/>
        <w:gridCol w:w="109"/>
        <w:gridCol w:w="109"/>
        <w:gridCol w:w="366"/>
        <w:gridCol w:w="838"/>
        <w:gridCol w:w="277"/>
      </w:tblGrid>
      <w:tr>
        <w:trPr/>
        <w:tc>
          <w:tcPr>
            <w:tcW w:w="687"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 2025</w:t>
            </w:r>
          </w:p>
        </w:tc>
      </w:tr>
      <w:tr>
        <w:trPr/>
        <w:tc>
          <w:tcPr>
            <w:tcW w:w="1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2" w:type="dxa"/>
            <w:gridSpan w:val="3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(In thousands, unaudited)</w:t>
            </w:r>
          </w:p>
        </w:tc>
      </w:tr>
      <w:tr>
        <w:trPr/>
        <w:tc>
          <w:tcPr>
            <w:tcW w:w="1663"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r>
      <w:tr>
        <w:trPr/>
        <w:tc>
          <w:tcPr>
            <w:tcW w:w="1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Radio Broadcasting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Reach Media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Digital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Cable Television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Corporate/ Eliminations/ Other</w:t>
            </w:r>
          </w:p>
        </w:tc>
      </w:tr>
      <w:tr>
        <w:trPr/>
        <w:tc>
          <w:tcPr>
            <w:tcW w:w="1663"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r>
      <w:tr>
        <w:trPr/>
        <w:tc>
          <w:tcPr>
            <w:tcW w:w="1663"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r>
      <w:tr>
        <w:trPr/>
        <w:tc>
          <w:tcPr>
            <w:tcW w:w="16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91,631 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36,693 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5,315 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40,070 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Less/(add):</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and technical</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28,647 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9,993 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12,372 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w:t>
            </w:r>
          </w:p>
        </w:tc>
      </w:tr>
      <w:tr>
        <w:trPr/>
        <w:tc>
          <w:tcPr>
            <w:tcW w:w="16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9,703</w:t>
            </w:r>
          </w:p>
        </w:tc>
      </w:tr>
      <w:tr>
        <w:trPr/>
        <w:tc>
          <w:tcPr>
            <w:tcW w:w="1663"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r>
      <w:tr>
        <w:trPr/>
        <w:tc>
          <w:tcPr>
            <w:tcW w:w="16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3"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r>
      <w:tr>
        <w:trPr/>
        <w:tc>
          <w:tcPr>
            <w:tcW w:w="16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costs</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w:t>
            </w:r>
          </w:p>
        </w:tc>
      </w:tr>
      <w:tr>
        <w:trPr/>
        <w:tc>
          <w:tcPr>
            <w:tcW w:w="16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(2)</w:t>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(9,237)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02260"/>
                <wp:effectExtent l="0" t="0" r="0" b="0"/>
                <wp:wrapNone/>
                <wp:docPr id="7" name="Frame6"/>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jc w:val="center"/>
                        <w:rPr/>
                      </w:pPr>
                      <w:r>
                        <w:rPr/>
                      </w:r>
                    </w:p>
                  </w:txbxContent>
                </v:textbox>
                <w10:wrap type="none"/>
              </v:rect>
            </w:pict>
          </mc:Fallback>
        </mc:AlternateContent>
      </w:r>
    </w:p>
    <w:p>
      <w:pPr>
        <w:pStyle w:val="TextBody"/>
        <w:bidi w:val="0"/>
        <w:spacing w:lineRule="auto" w:line="288" w:before="200" w:after="283"/>
        <w:jc w:val="both"/>
        <w:rPr>
          <w:rFonts w:ascii="Times New Roman;serif" w:hAnsi="Times New Roman;serif"/>
          <w:b/>
          <w:color w:val="000000"/>
          <w:sz w:val="24"/>
        </w:rPr>
      </w:pPr>
      <w:r>
        <w:rPr>
          <w:rFonts w:ascii="Times New Roman;serif" w:hAnsi="Times New Roman;serif"/>
          <w:b/>
          <w:color w:val="000000"/>
          <w:sz w:val="24"/>
        </w:rPr>
        <w:t>PAGE 4 -- URBAN ONE, INC. REPORTS SECOND QUARTER 2026 RESULTS</w:t>
      </w:r>
    </w:p>
    <w:tbl>
      <w:tblPr>
        <w:tblW w:w="10205" w:type="dxa"/>
        <w:jc w:val="left"/>
        <w:tblInd w:w="0" w:type="dxa"/>
        <w:tblLayout w:type="fixed"/>
        <w:tblCellMar>
          <w:top w:w="28" w:type="dxa"/>
          <w:left w:w="28" w:type="dxa"/>
          <w:bottom w:w="28" w:type="dxa"/>
          <w:right w:w="28" w:type="dxa"/>
        </w:tblCellMar>
      </w:tblPr>
      <w:tblGrid>
        <w:gridCol w:w="854"/>
        <w:gridCol w:w="484"/>
        <w:gridCol w:w="446"/>
        <w:gridCol w:w="213"/>
        <w:gridCol w:w="727"/>
        <w:gridCol w:w="111"/>
        <w:gridCol w:w="109"/>
        <w:gridCol w:w="109"/>
        <w:gridCol w:w="109"/>
        <w:gridCol w:w="270"/>
        <w:gridCol w:w="789"/>
        <w:gridCol w:w="140"/>
        <w:gridCol w:w="109"/>
        <w:gridCol w:w="109"/>
        <w:gridCol w:w="109"/>
        <w:gridCol w:w="213"/>
        <w:gridCol w:w="655"/>
        <w:gridCol w:w="110"/>
        <w:gridCol w:w="109"/>
        <w:gridCol w:w="109"/>
        <w:gridCol w:w="109"/>
        <w:gridCol w:w="211"/>
        <w:gridCol w:w="647"/>
        <w:gridCol w:w="109"/>
        <w:gridCol w:w="109"/>
        <w:gridCol w:w="109"/>
        <w:gridCol w:w="109"/>
        <w:gridCol w:w="225"/>
        <w:gridCol w:w="769"/>
        <w:gridCol w:w="116"/>
        <w:gridCol w:w="109"/>
        <w:gridCol w:w="109"/>
        <w:gridCol w:w="109"/>
        <w:gridCol w:w="275"/>
        <w:gridCol w:w="998"/>
        <w:gridCol w:w="208"/>
      </w:tblGrid>
      <w:tr>
        <w:trPr/>
        <w:tc>
          <w:tcPr>
            <w:tcW w:w="85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 2026</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1" w:type="dxa"/>
            <w:gridSpan w:val="3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unaudited)</w:t>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Radio Broadcasting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Reach Media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Digital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Cable Television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Corporate/ Eliminations/ Other</w:t>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163,408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(1,356)</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Less/(add):</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and technical</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22,516 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25,150 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22,159 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3,546 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10,486 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13,317 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(710)</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13,365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1,409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1,001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7,538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16,573</w:t>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Severance-related costs</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costs</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978</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(2)</w:t>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16,379 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8,107 </w:t>
            </w:r>
          </w:p>
        </w:tc>
        <w:tc>
          <w:tcPr>
            <w:tcW w:w="1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(1,555)</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27,149 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(15,868)</w:t>
            </w:r>
          </w:p>
        </w:tc>
        <w:tc>
          <w:tcPr>
            <w:tcW w:w="2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54"/>
        <w:gridCol w:w="493"/>
        <w:gridCol w:w="455"/>
        <w:gridCol w:w="213"/>
        <w:gridCol w:w="727"/>
        <w:gridCol w:w="111"/>
        <w:gridCol w:w="109"/>
        <w:gridCol w:w="109"/>
        <w:gridCol w:w="109"/>
        <w:gridCol w:w="272"/>
        <w:gridCol w:w="796"/>
        <w:gridCol w:w="142"/>
        <w:gridCol w:w="109"/>
        <w:gridCol w:w="109"/>
        <w:gridCol w:w="109"/>
        <w:gridCol w:w="213"/>
        <w:gridCol w:w="657"/>
        <w:gridCol w:w="110"/>
        <w:gridCol w:w="109"/>
        <w:gridCol w:w="109"/>
        <w:gridCol w:w="109"/>
        <w:gridCol w:w="211"/>
        <w:gridCol w:w="524"/>
        <w:gridCol w:w="152"/>
        <w:gridCol w:w="109"/>
        <w:gridCol w:w="109"/>
        <w:gridCol w:w="109"/>
        <w:gridCol w:w="228"/>
        <w:gridCol w:w="783"/>
        <w:gridCol w:w="118"/>
        <w:gridCol w:w="109"/>
        <w:gridCol w:w="109"/>
        <w:gridCol w:w="109"/>
        <w:gridCol w:w="281"/>
        <w:gridCol w:w="1019"/>
        <w:gridCol w:w="211"/>
      </w:tblGrid>
      <w:tr>
        <w:trPr/>
        <w:tc>
          <w:tcPr>
            <w:tcW w:w="854"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 2025</w:t>
            </w:r>
          </w:p>
        </w:tc>
      </w:tr>
      <w:tr>
        <w:trPr/>
        <w:tc>
          <w:tcPr>
            <w:tcW w:w="1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3" w:type="dxa"/>
            <w:gridSpan w:val="3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unaudited)</w:t>
            </w:r>
          </w:p>
        </w:tc>
      </w:tr>
      <w:tr>
        <w:trPr/>
        <w:tc>
          <w:tcPr>
            <w:tcW w:w="1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Radio Broadcasting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Reach Media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Digital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Cable Television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Corporate/ Eliminations/ Other</w:t>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183,866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(1,334)</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Less/(add):</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and technical</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(1,013)</w:t>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18,877</w:t>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back/(deduct):</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Severance-related costs</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costs</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1,523</w:t>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(2)</w:t>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26,817 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9,786 </w:t>
            </w:r>
          </w:p>
        </w:tc>
        <w:tc>
          <w:tcPr>
            <w:tcW w:w="1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(2,202)</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36,648 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(17,327)</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02260"/>
                <wp:effectExtent l="0" t="0" r="0" b="0"/>
                <wp:wrapNone/>
                <wp:docPr id="8" name="Frame7"/>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PAGE 5 -- URBAN ONE, INC. REPORTS SECOND QUARTER 2026 RESULTS</w:t>
      </w:r>
    </w:p>
    <w:tbl>
      <w:tblPr>
        <w:tblW w:w="10205" w:type="dxa"/>
        <w:jc w:val="left"/>
        <w:tblInd w:w="0" w:type="dxa"/>
        <w:tblLayout w:type="fixed"/>
        <w:tblCellMar>
          <w:top w:w="28" w:type="dxa"/>
          <w:left w:w="28" w:type="dxa"/>
          <w:bottom w:w="28" w:type="dxa"/>
          <w:right w:w="28" w:type="dxa"/>
        </w:tblCellMar>
      </w:tblPr>
      <w:tblGrid>
        <w:gridCol w:w="1960"/>
        <w:gridCol w:w="1355"/>
        <w:gridCol w:w="1360"/>
        <w:gridCol w:w="224"/>
        <w:gridCol w:w="705"/>
        <w:gridCol w:w="115"/>
        <w:gridCol w:w="115"/>
        <w:gridCol w:w="115"/>
        <w:gridCol w:w="115"/>
        <w:gridCol w:w="224"/>
        <w:gridCol w:w="817"/>
        <w:gridCol w:w="115"/>
        <w:gridCol w:w="109"/>
        <w:gridCol w:w="109"/>
        <w:gridCol w:w="109"/>
        <w:gridCol w:w="219"/>
        <w:gridCol w:w="798"/>
        <w:gridCol w:w="113"/>
        <w:gridCol w:w="113"/>
        <w:gridCol w:w="113"/>
        <w:gridCol w:w="113"/>
        <w:gridCol w:w="219"/>
        <w:gridCol w:w="798"/>
        <w:gridCol w:w="172"/>
      </w:tblGrid>
      <w:tr>
        <w:trPr/>
        <w:tc>
          <w:tcPr>
            <w:tcW w:w="19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w:t>
            </w:r>
          </w:p>
        </w:tc>
      </w:tr>
      <w:tr>
        <w:trPr/>
        <w:tc>
          <w:tcPr>
            <w:tcW w:w="4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(Unaudited)</w:t>
            </w:r>
          </w:p>
        </w:tc>
      </w:tr>
      <w:tr>
        <w:trPr/>
        <w:tc>
          <w:tcPr>
            <w:tcW w:w="46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 SHARE DATA - basic and diluted:</w:t>
            </w:r>
          </w:p>
        </w:tc>
        <w:tc>
          <w:tcPr>
            <w:tcW w:w="25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(In thousands, except per share data)</w:t>
            </w:r>
          </w:p>
        </w:tc>
      </w:tr>
      <w:tr>
        <w:trPr/>
        <w:tc>
          <w:tcPr>
            <w:tcW w:w="46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Net loss attributable to common stockholders (basic)</w:t>
            </w:r>
            <w:r>
              <w:rPr>
                <w:rFonts w:ascii="Times New Roman;serif" w:hAnsi="Times New Roman;serif"/>
                <w:b w:val="false"/>
                <w:color w:val="000000"/>
                <w:sz w:val="13"/>
              </w:rPr>
              <w:t>(a)</w:t>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Net loss attributable to common stockholders (diluted)</w:t>
            </w:r>
            <w:r>
              <w:rPr>
                <w:rFonts w:ascii="Times New Roman;serif" w:hAnsi="Times New Roman;serif"/>
                <w:b w:val="false"/>
                <w:color w:val="000000"/>
                <w:sz w:val="13"/>
              </w:rPr>
              <w:t>(a)</w:t>
            </w:r>
          </w:p>
        </w:tc>
        <w:tc>
          <w:tcPr>
            <w:tcW w:w="22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1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(17.41)</w:t>
            </w:r>
          </w:p>
        </w:tc>
        <w:tc>
          <w:tcPr>
            <w:tcW w:w="11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1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(20.02)</w:t>
            </w:r>
          </w:p>
        </w:tc>
        <w:tc>
          <w:tcPr>
            <w:tcW w:w="17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Broadcast and digital operating income</w:t>
            </w:r>
            <w:r>
              <w:rPr>
                <w:rFonts w:ascii="Times New Roman;serif" w:hAnsi="Times New Roman;serif"/>
                <w:b/>
                <w:color w:val="000000"/>
                <w:sz w:val="13"/>
              </w:rPr>
              <w:t>(1)</w:t>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22,152</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25,664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37,016</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48,680</w:t>
            </w:r>
          </w:p>
        </w:tc>
      </w:tr>
      <w:tr>
        <w:trPr/>
        <w:tc>
          <w:tcPr>
            <w:tcW w:w="46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Broadcast and digital operating income</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reconciliation:</w:t>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(7,073)</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(10,152)</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(89,644)</w:t>
            </w:r>
          </w:p>
        </w:tc>
      </w:tr>
      <w:tr>
        <w:trPr/>
        <w:tc>
          <w:tcPr>
            <w:tcW w:w="4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back/(deduct) certain non-broadcast and digital operating income items included in net loss:</w:t>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investment income</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2,070</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6,477</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20,628</w:t>
            </w:r>
          </w:p>
        </w:tc>
      </w:tr>
      <w:tr>
        <w:trPr/>
        <w:tc>
          <w:tcPr>
            <w:tcW w:w="4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1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(1,703)</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(3,144)</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(5,724)</w:t>
            </w:r>
          </w:p>
        </w:tc>
      </w:tr>
      <w:tr>
        <w:trPr/>
        <w:tc>
          <w:tcPr>
            <w:tcW w:w="46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Corporate selling, general and administrative expenses</w:t>
            </w:r>
            <w:r>
              <w:rPr>
                <w:rFonts w:ascii="Times New Roman;serif" w:hAnsi="Times New Roman;serif"/>
                <w:b w:val="false"/>
                <w:color w:val="000000"/>
                <w:sz w:val="13"/>
              </w:rPr>
              <w:t>(b)</w:t>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11,370</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22,071</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23,657</w:t>
            </w:r>
          </w:p>
        </w:tc>
      </w:tr>
      <w:tr>
        <w:trPr/>
        <w:tc>
          <w:tcPr>
            <w:tcW w:w="4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1,680</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1,881</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w:t>
            </w:r>
          </w:p>
        </w:tc>
      </w:tr>
      <w:tr>
        <w:trPr/>
        <w:tc>
          <w:tcPr>
            <w:tcW w:w="4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business</w:t>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(4,671)</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retirement of debt</w:t>
            </w:r>
          </w:p>
        </w:tc>
        <w:tc>
          <w:tcPr>
            <w:tcW w:w="1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(30,297)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(41,884)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4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6,184</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12,361</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5,838</w:t>
            </w:r>
          </w:p>
        </w:tc>
      </w:tr>
      <w:tr>
        <w:trPr/>
        <w:tc>
          <w:tcPr>
            <w:tcW w:w="4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interests</w:t>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r>
      <w:tr>
        <w:trPr/>
        <w:tc>
          <w:tcPr>
            <w:tcW w:w="4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 intangible assets and long-lived assets</w:t>
            </w:r>
          </w:p>
        </w:tc>
        <w:tc>
          <w:tcPr>
            <w:tcW w:w="1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14,157</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14,157</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136,521</w:t>
            </w:r>
          </w:p>
        </w:tc>
      </w:tr>
      <w:tr>
        <w:trPr/>
        <w:tc>
          <w:tcPr>
            <w:tcW w:w="46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Broadcast and digital operating income</w:t>
            </w:r>
            <w:r>
              <w:rPr>
                <w:rFonts w:ascii="Times New Roman;serif" w:hAnsi="Times New Roman;serif"/>
                <w:b/>
                <w:color w:val="000000"/>
                <w:sz w:val="13"/>
              </w:rPr>
              <w:t>(1)</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22,152</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25,664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37,016</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48,680</w:t>
            </w:r>
          </w:p>
        </w:tc>
      </w:tr>
      <w:tr>
        <w:trPr/>
        <w:tc>
          <w:tcPr>
            <w:tcW w:w="4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Adjusted EBITDA</w:t>
            </w:r>
            <w:r>
              <w:rPr>
                <w:rFonts w:ascii="Times New Roman;serif" w:hAnsi="Times New Roman;serif"/>
                <w:b/>
                <w:color w:val="000000"/>
                <w:sz w:val="13"/>
              </w:rPr>
              <w:t>(2)</w:t>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11,723</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13,960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16,379</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26,817</w:t>
            </w:r>
          </w:p>
        </w:tc>
      </w:tr>
      <w:tr>
        <w:trPr/>
        <w:tc>
          <w:tcPr>
            <w:tcW w:w="46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reconciliation:</w:t>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(77,902)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(10,152)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(89,644)</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investment income</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2,070</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6,477</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20,628</w:t>
            </w:r>
          </w:p>
        </w:tc>
      </w:tr>
      <w:tr>
        <w:trPr/>
        <w:tc>
          <w:tcPr>
            <w:tcW w:w="4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1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(1,703)</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(3,144)</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(5,724)</w:t>
            </w:r>
          </w:p>
        </w:tc>
      </w:tr>
      <w:tr>
        <w:trPr/>
        <w:tc>
          <w:tcPr>
            <w:tcW w:w="4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6,184</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12,361</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5,838</w:t>
            </w:r>
          </w:p>
        </w:tc>
      </w:tr>
      <w:tr>
        <w:trPr/>
        <w:tc>
          <w:tcPr>
            <w:tcW w:w="46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EBITDA</w:t>
            </w:r>
            <w:r>
              <w:rPr>
                <w:rFonts w:ascii="Times New Roman;serif" w:hAnsi="Times New Roman;serif"/>
                <w:b w:val="false"/>
                <w:color w:val="000000"/>
                <w:sz w:val="13"/>
              </w:rPr>
              <w:t>(2)</w:t>
            </w:r>
          </w:p>
        </w:tc>
        <w:tc>
          <w:tcPr>
            <w:tcW w:w="104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(86,673)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5,534</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(70,484)</w:t>
            </w:r>
          </w:p>
        </w:tc>
      </w:tr>
      <w:tr>
        <w:trPr/>
        <w:tc>
          <w:tcPr>
            <w:tcW w:w="4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1,680</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business</w:t>
            </w:r>
          </w:p>
        </w:tc>
        <w:tc>
          <w:tcPr>
            <w:tcW w:w="1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(4,671)</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(4,671)</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retirement of debt</w:t>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(2,080)</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(41,884)</w:t>
            </w:r>
          </w:p>
        </w:tc>
      </w:tr>
      <w:tr>
        <w:trPr/>
        <w:tc>
          <w:tcPr>
            <w:tcW w:w="4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r>
      <w:tr>
        <w:trPr/>
        <w:tc>
          <w:tcPr>
            <w:tcW w:w="4675"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4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interests</w:t>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r>
      <w:tr>
        <w:trPr/>
        <w:tc>
          <w:tcPr>
            <w:tcW w:w="46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Corporate costs</w:t>
            </w:r>
            <w:r>
              <w:rPr>
                <w:rFonts w:ascii="Times New Roman;serif" w:hAnsi="Times New Roman;serif"/>
                <w:b w:val="false"/>
                <w:color w:val="000000"/>
                <w:sz w:val="13"/>
              </w:rPr>
              <w:t>(c)</w:t>
            </w:r>
          </w:p>
        </w:tc>
        <w:tc>
          <w:tcPr>
            <w:tcW w:w="1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856</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1,215</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1,109</w:t>
            </w:r>
          </w:p>
        </w:tc>
      </w:tr>
      <w:tr>
        <w:trPr/>
        <w:tc>
          <w:tcPr>
            <w:tcW w:w="4675"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4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Severance-related costs</w:t>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r>
      <w:tr>
        <w:trPr/>
        <w:tc>
          <w:tcPr>
            <w:tcW w:w="4675"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4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 intangible assets and long-lived assets</w:t>
            </w:r>
          </w:p>
        </w:tc>
        <w:tc>
          <w:tcPr>
            <w:tcW w:w="1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14,157</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14,157</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136,521</w:t>
            </w:r>
          </w:p>
        </w:tc>
      </w:tr>
      <w:tr>
        <w:trPr/>
        <w:tc>
          <w:tcPr>
            <w:tcW w:w="4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ceased non-core businesses initiatives</w:t>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w:t>
            </w:r>
          </w:p>
        </w:tc>
      </w:tr>
      <w:tr>
        <w:trPr/>
        <w:tc>
          <w:tcPr>
            <w:tcW w:w="46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Adjusted EBITDA</w:t>
            </w:r>
            <w:r>
              <w:rPr>
                <w:rFonts w:ascii="Times New Roman;serif" w:hAnsi="Times New Roman;serif"/>
                <w:b/>
                <w:color w:val="000000"/>
                <w:sz w:val="13"/>
              </w:rPr>
              <w:t>(2)</w:t>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11,723</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13,960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16,379</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26,817</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02260"/>
                <wp:effectExtent l="0" t="0" r="0" b="0"/>
                <wp:wrapNone/>
                <wp:docPr id="9" name="Frame8"/>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13"/>
        </w:rPr>
      </w:pPr>
      <w:r>
        <w:rPr>
          <w:rFonts w:ascii="Times New Roman;serif" w:hAnsi="Times New Roman;serif"/>
          <w:b w:val="false"/>
          <w:color w:val="000000"/>
          <w:sz w:val="13"/>
        </w:rPr>
        <w:t>(a) Weighted-average shares outstanding used in the computation of basic and diluted net loss to common stockholders per share have been retroactively adjusted to reflect the 1-for-10 Reverse Stock Split that occurred on January 22, 2026.</w:t>
      </w:r>
    </w:p>
    <w:p>
      <w:pPr>
        <w:pStyle w:val="TextBody"/>
        <w:bidi w:val="0"/>
        <w:spacing w:lineRule="auto" w:line="288" w:before="0" w:after="0"/>
        <w:jc w:val="both"/>
        <w:rPr>
          <w:rFonts w:ascii="Times New Roman;serif" w:hAnsi="Times New Roman;serif"/>
          <w:b w:val="false"/>
          <w:color w:val="000000"/>
          <w:sz w:val="13"/>
        </w:rPr>
      </w:pPr>
      <w:r>
        <w:rPr>
          <w:rFonts w:ascii="Times New Roman;serif" w:hAnsi="Times New Roman;serif"/>
          <w:b w:val="false"/>
          <w:color w:val="000000"/>
          <w:sz w:val="13"/>
        </w:rPr>
        <w:t>(b) Corporate selling, general and administrative expenses consist of expenses associated with our corporate headquarters and facilities, including personnel as well as other corporate overhead functions.</w:t>
      </w:r>
    </w:p>
    <w:p>
      <w:pPr>
        <w:pStyle w:val="TextBody"/>
        <w:bidi w:val="0"/>
        <w:spacing w:lineRule="auto" w:line="288" w:before="0" w:after="0"/>
        <w:jc w:val="both"/>
        <w:rPr>
          <w:rFonts w:ascii="Times New Roman;serif" w:hAnsi="Times New Roman;serif"/>
          <w:b w:val="false"/>
          <w:color w:val="000000"/>
          <w:sz w:val="13"/>
        </w:rPr>
      </w:pPr>
      <w:r>
        <w:rPr>
          <w:rFonts w:ascii="Times New Roman;serif" w:hAnsi="Times New Roman;serif"/>
          <w:b w:val="false"/>
          <w:color w:val="000000"/>
          <w:sz w:val="13"/>
        </w:rPr>
        <w:t>(c) Corporate costs primarily include professional fees related to the material weakness remediation efforts as well as legal costs related to acquisition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4"/>
        </w:rPr>
      </w:pPr>
      <w:r>
        <w:rPr>
          <w:rFonts w:ascii="Times New Roman;serif" w:hAnsi="Times New Roman;serif"/>
          <w:b/>
          <w:color w:val="000000"/>
          <w:sz w:val="24"/>
        </w:rPr>
        <w:t>PAGE 6 -- URBAN ONE, INC. REPORTS SECOND QUARTER 2026 RESULTS</w:t>
      </w:r>
    </w:p>
    <w:tbl>
      <w:tblPr>
        <w:tblW w:w="8680" w:type="dxa"/>
        <w:jc w:val="left"/>
        <w:tblInd w:w="0" w:type="dxa"/>
        <w:tblLayout w:type="fixed"/>
        <w:tblCellMar>
          <w:top w:w="28" w:type="dxa"/>
          <w:left w:w="28" w:type="dxa"/>
          <w:bottom w:w="28" w:type="dxa"/>
          <w:right w:w="28" w:type="dxa"/>
        </w:tblCellMar>
      </w:tblPr>
      <w:tblGrid>
        <w:gridCol w:w="1754"/>
        <w:gridCol w:w="1544"/>
        <w:gridCol w:w="1547"/>
        <w:gridCol w:w="313"/>
        <w:gridCol w:w="1070"/>
        <w:gridCol w:w="161"/>
        <w:gridCol w:w="109"/>
        <w:gridCol w:w="109"/>
        <w:gridCol w:w="109"/>
        <w:gridCol w:w="381"/>
        <w:gridCol w:w="1305"/>
        <w:gridCol w:w="278"/>
      </w:tblGrid>
      <w:tr>
        <w:trPr/>
        <w:tc>
          <w:tcPr>
            <w:tcW w:w="1754"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(In thousands)</w:t>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SELECTED CONSOLIDATED BALANCE SHEET DATA:</w:t>
            </w:r>
          </w:p>
        </w:tc>
        <w:tc>
          <w:tcPr>
            <w:tcW w:w="383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w:t>
            </w:r>
          </w:p>
        </w:tc>
        <w:tc>
          <w:tcPr>
            <w:tcW w:w="3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16,202 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26,358 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Intangible assets, net</w:t>
            </w:r>
            <w:r>
              <w:rPr>
                <w:rFonts w:ascii="Times New Roman;serif" w:hAnsi="Times New Roman;serif"/>
                <w:b w:val="false"/>
                <w:color w:val="000000"/>
                <w:sz w:val="13"/>
              </w:rPr>
              <w:t>(a)</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257,116 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279,653 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551,512 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592,994 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 net</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399,298 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429,742 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 under the asset-backed facility</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532,284 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565,760 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16,313 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24,603 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Redeemable non-controlling interests</w:t>
            </w:r>
            <w:r>
              <w:rPr>
                <w:rFonts w:ascii="Times New Roman;serif" w:hAnsi="Times New Roman;serif"/>
                <w:b w:val="false"/>
                <w:color w:val="000000"/>
                <w:sz w:val="13"/>
              </w:rPr>
              <w:t>(b)</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2,631 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Non-controlling interests</w:t>
            </w:r>
            <w:r>
              <w:rPr>
                <w:rFonts w:ascii="Times New Roman;serif" w:hAnsi="Times New Roman;serif"/>
                <w:b w:val="false"/>
                <w:color w:val="000000"/>
                <w:sz w:val="13"/>
              </w:rPr>
              <w:t>(c)</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3"/>
        </w:rPr>
      </w:pPr>
      <w:r>
        <w:rPr>
          <w:rFonts w:ascii="Times New Roman;serif" w:hAnsi="Times New Roman;serif"/>
          <w:b w:val="false"/>
          <w:color w:val="000000"/>
          <w:sz w:val="13"/>
        </w:rPr>
        <w:t>(a) Intangible assets, net include Goodwill, net, Radio Broadcasting Licenses, net, Other Intangible Assets, net, and Current Portion of Launch Assets, net.</w:t>
      </w:r>
    </w:p>
    <w:p>
      <w:pPr>
        <w:pStyle w:val="TextBody"/>
        <w:bidi w:val="0"/>
        <w:spacing w:lineRule="auto" w:line="288" w:before="0" w:after="0"/>
        <w:jc w:val="both"/>
        <w:rPr>
          <w:rFonts w:ascii="Times New Roman;serif" w:hAnsi="Times New Roman;serif"/>
          <w:b w:val="false"/>
          <w:color w:val="000000"/>
          <w:sz w:val="13"/>
        </w:rPr>
      </w:pPr>
      <w:r>
        <w:rPr>
          <w:rFonts w:ascii="Times New Roman;serif" w:hAnsi="Times New Roman;serif"/>
          <w:b w:val="false"/>
          <w:color w:val="000000"/>
          <w:sz w:val="13"/>
        </w:rPr>
        <w:t>(b) On February 25, 2026, Reach Media closed on the Put Interest increasing the Company’s interest in Reach Media to 100.0%. Reach Media paid the last of the non-controlling interest shareholders approximately $1.3 million for the 5.4% interest.</w:t>
      </w:r>
    </w:p>
    <w:p>
      <w:pPr>
        <w:pStyle w:val="TextBody"/>
        <w:bidi w:val="0"/>
        <w:spacing w:lineRule="auto" w:line="288" w:before="0" w:after="0"/>
        <w:jc w:val="both"/>
        <w:rPr>
          <w:rFonts w:ascii="Times New Roman;serif" w:hAnsi="Times New Roman;serif"/>
          <w:b w:val="false"/>
          <w:color w:val="000000"/>
          <w:sz w:val="13"/>
        </w:rPr>
      </w:pPr>
      <w:r>
        <w:rPr>
          <w:rFonts w:ascii="Times New Roman;serif" w:hAnsi="Times New Roman;serif"/>
          <w:b w:val="false"/>
          <w:color w:val="000000"/>
          <w:sz w:val="13"/>
        </w:rPr>
        <w:t xml:space="preserve">(c) Non-controlling interests represent the legal ownership of a radio station operated under a Local Programming and Marketing Agreement and Option Agreement under the variable interest entity guidance effective April 1, 2026. </w:t>
      </w:r>
    </w:p>
    <w:tbl>
      <w:tblPr>
        <w:tblW w:w="8367" w:type="dxa"/>
        <w:jc w:val="left"/>
        <w:tblInd w:w="0" w:type="dxa"/>
        <w:tblLayout w:type="fixed"/>
        <w:tblCellMar>
          <w:top w:w="28" w:type="dxa"/>
          <w:left w:w="28" w:type="dxa"/>
          <w:bottom w:w="28" w:type="dxa"/>
          <w:right w:w="28" w:type="dxa"/>
        </w:tblCellMar>
      </w:tblPr>
      <w:tblGrid>
        <w:gridCol w:w="1640"/>
        <w:gridCol w:w="1441"/>
        <w:gridCol w:w="1449"/>
        <w:gridCol w:w="284"/>
        <w:gridCol w:w="1114"/>
        <w:gridCol w:w="147"/>
        <w:gridCol w:w="109"/>
        <w:gridCol w:w="109"/>
        <w:gridCol w:w="109"/>
        <w:gridCol w:w="348"/>
        <w:gridCol w:w="1363"/>
        <w:gridCol w:w="254"/>
      </w:tblGrid>
      <w:tr>
        <w:trPr/>
        <w:tc>
          <w:tcPr>
            <w:tcW w:w="1640"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(In thousands)</w:t>
            </w:r>
          </w:p>
        </w:tc>
      </w:tr>
      <w:tr>
        <w:trPr/>
        <w:tc>
          <w:tcPr>
            <w:tcW w:w="45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SELECTED LEVERAGE DATA:</w:t>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10.500% First Lien Senior Secured Notes due 2030</w:t>
            </w:r>
            <w:r>
              <w:rPr>
                <w:rFonts w:ascii="Times New Roman;serif" w:hAnsi="Times New Roman;serif"/>
                <w:b w:val="false"/>
                <w:color w:val="000000"/>
                <w:sz w:val="13"/>
              </w:rPr>
              <w:t>(a, c)</w:t>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60,600 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7.625% Second Lien Secured Notes due 2031</w:t>
            </w:r>
            <w:r>
              <w:rPr>
                <w:rFonts w:ascii="Times New Roman;serif" w:hAnsi="Times New Roman;serif"/>
                <w:b w:val="false"/>
                <w:color w:val="000000"/>
                <w:sz w:val="13"/>
              </w:rPr>
              <w:t>(a, c)</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235,113 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291,020 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7.375% senior secured notes due February 2028</w:t>
            </w:r>
            <w:r>
              <w:rPr>
                <w:rFonts w:ascii="Times New Roman;serif" w:hAnsi="Times New Roman;serif"/>
                <w:b w:val="false"/>
                <w:color w:val="000000"/>
                <w:sz w:val="13"/>
              </w:rPr>
              <w:t>(b)</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7,516 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11,816 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principal outstanding on long-term debt</w:t>
            </w:r>
          </w:p>
        </w:tc>
        <w:tc>
          <w:tcPr>
            <w:tcW w:w="13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303,229 </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363,436 </w:t>
            </w:r>
          </w:p>
        </w:tc>
        <w:tc>
          <w:tcPr>
            <w:tcW w:w="2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(2,479)</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(2,868)</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Add: Premium</w:t>
            </w:r>
            <w:r>
              <w:rPr>
                <w:rFonts w:ascii="Times New Roman;serif" w:hAnsi="Times New Roman;serif"/>
                <w:b w:val="false"/>
                <w:color w:val="000000"/>
                <w:sz w:val="13"/>
              </w:rPr>
              <w:t>(c)</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98,548 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69,174 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399,298 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429,742 </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 under the asset-backed facility</w:t>
            </w:r>
          </w:p>
        </w:tc>
        <w:tc>
          <w:tcPr>
            <w:tcW w:w="28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4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2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both"/>
        <w:rPr>
          <w:rFonts w:ascii="Times New Roman;serif" w:hAnsi="Times New Roman;serif"/>
          <w:b w:val="false"/>
          <w:color w:val="000000"/>
          <w:sz w:val="13"/>
        </w:rPr>
      </w:pPr>
      <w:r>
        <w:rPr>
          <w:rFonts w:ascii="Times New Roman;serif" w:hAnsi="Times New Roman;serif"/>
          <w:b w:val="false"/>
          <w:color w:val="000000"/>
          <w:sz w:val="13"/>
        </w:rPr>
        <w:t>(a) The 2030 First Lien Notes and 2031 Second Lien Notes pay interest semiannually on April 1 and October 1 of each year in arrears.</w:t>
      </w:r>
    </w:p>
    <w:p>
      <w:pPr>
        <w:pStyle w:val="TextBody"/>
        <w:bidi w:val="0"/>
        <w:spacing w:lineRule="auto" w:line="288" w:before="40" w:after="283"/>
        <w:jc w:val="both"/>
        <w:rPr>
          <w:rFonts w:ascii="Times New Roman;serif" w:hAnsi="Times New Roman;serif"/>
          <w:b w:val="false"/>
          <w:color w:val="000000"/>
          <w:sz w:val="13"/>
        </w:rPr>
      </w:pPr>
      <w:r>
        <w:rPr>
          <w:rFonts w:ascii="Times New Roman;serif" w:hAnsi="Times New Roman;serif"/>
          <w:b w:val="false"/>
          <w:color w:val="000000"/>
          <w:sz w:val="13"/>
        </w:rPr>
        <w:t>(b) Subsequent to the effectiveness of the supplemental indenture on December 18, 2025, these notes are no longer secured. While these notes are styled as senior secured notes they are no longer secured by collateral. The 2028 Notes pay interest semiannually on February 1 and August 1 of each year in arrears.</w:t>
      </w:r>
    </w:p>
    <w:p>
      <w:pPr>
        <w:pStyle w:val="TextBody"/>
        <w:bidi w:val="0"/>
        <w:spacing w:lineRule="auto" w:line="288" w:before="40" w:after="283"/>
        <w:jc w:val="both"/>
        <w:rPr/>
      </w:pPr>
      <w:r>
        <w:rPr>
          <w:rFonts w:ascii="Times New Roman;serif" w:hAnsi="Times New Roman;serif"/>
          <w:b w:val="false"/>
          <w:color w:val="000000"/>
          <w:sz w:val="13"/>
        </w:rPr>
        <w:t xml:space="preserve">(c) The 2030 First Lien Notes and 2031 Second Lien Notes are accounted for under Accounting Standards Codification No. 470-60, </w:t>
      </w:r>
      <w:r>
        <w:rPr>
          <w:rFonts w:ascii="Times New Roman;serif" w:hAnsi="Times New Roman;serif"/>
          <w:b w:val="false"/>
          <w:i/>
          <w:color w:val="000000"/>
          <w:sz w:val="13"/>
        </w:rPr>
        <w:t>Troubled Debt Restructurings by Debtors</w:t>
      </w:r>
      <w:r>
        <w:rPr>
          <w:rFonts w:ascii="Times New Roman;serif" w:hAnsi="Times New Roman;serif"/>
          <w:b w:val="false"/>
          <w:color w:val="000000"/>
          <w:sz w:val="13"/>
        </w:rPr>
        <w:t>.</w:t>
      </w:r>
    </w:p>
    <w:p>
      <w:pPr>
        <w:pStyle w:val="TextBody"/>
        <w:bidi w:val="0"/>
        <w:spacing w:lineRule="auto" w:line="288" w:before="240" w:after="240"/>
        <w:ind w:left="0" w:right="0" w:firstLine="720"/>
        <w:jc w:val="both"/>
        <w:rPr/>
      </w:pPr>
      <w:r>
        <w:rPr>
          <w:rFonts w:ascii="Times New Roman;serif" w:hAnsi="Times New Roman;serif"/>
          <w:b w:val="false"/>
          <w:color w:val="000000"/>
          <w:sz w:val="20"/>
        </w:rPr>
        <w:t xml:space="preserve">During the three months ended June 30, 2026, the Company repurchased approximately $23.5 million of its 2031 Second Lien Notes at a weighted average price of approximately 42.0% of par. As the 2031 Second Lien Notes are accounted under Accounting Standards Codification No. 470-60, </w:t>
      </w:r>
      <w:r>
        <w:rPr>
          <w:rFonts w:ascii="Times New Roman;serif" w:hAnsi="Times New Roman;serif"/>
          <w:b w:val="false"/>
          <w:i/>
          <w:color w:val="000000"/>
          <w:sz w:val="20"/>
        </w:rPr>
        <w:t>Troubled Debt Restructurings by Debtors</w:t>
      </w:r>
      <w:r>
        <w:rPr>
          <w:rFonts w:ascii="Times New Roman;serif" w:hAnsi="Times New Roman;serif"/>
          <w:b w:val="false"/>
          <w:color w:val="000000"/>
          <w:sz w:val="20"/>
        </w:rPr>
        <w:t xml:space="preserve">, no gain was recorded. Instead, the Company recorded an additional premium of $13.6 million, which is included in long-term debt, net on the Company's consolidated balance sheets. </w:t>
      </w:r>
    </w:p>
    <w:p>
      <w:pPr>
        <w:pStyle w:val="TextBody"/>
        <w:bidi w:val="0"/>
        <w:spacing w:before="24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02260"/>
                <wp:effectExtent l="0" t="0" r="0" b="0"/>
                <wp:wrapNone/>
                <wp:docPr id="10" name="Frame9"/>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jc w:val="center"/>
                        <w:rPr/>
                      </w:pPr>
                      <w:r>
                        <w:rPr/>
                      </w:r>
                    </w:p>
                  </w:txbxContent>
                </v:textbox>
                <w10:wrap type="none"/>
              </v:rect>
            </w:pict>
          </mc:Fallback>
        </mc:AlternateConten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made two additional draws of $5.0 million each for a total of $10.0 million in the second quarter of 2026, payable at an interest rate of approximately 6.75% and 6.01%. After giving effect to the outstanding $20.0 million drawdown and adjustments to account for the Borrowing Base, the Company's borrowing capacity was approximately $26.1 million as of June 30, 2026.</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further made an additional draw of $7.0 million in the third quarter of 2026, payable at an interest rate of approximately 6.12%. The Company repaid the May 2026 draw of $5.0 million on August 2, 2026. After giving effect to the additional draw of $7.0 million, the $5.0 million repayment, and adjustments to account for the Borrowing Base, the Company's borrowing capacity was approximately $24.1 million. </w:t>
      </w: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PAGE 7 -- URBAN ONE, INC. REPORTS SECOND QUARTER 2026 RESULTS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Dispositions and Acquisitions</w:t>
      </w:r>
    </w:p>
    <w:p>
      <w:pPr>
        <w:pStyle w:val="TextBody"/>
        <w:bidi w:val="0"/>
        <w:spacing w:lineRule="auto" w:line="300" w:before="240" w:after="240"/>
        <w:ind w:left="0" w:right="0" w:firstLine="630"/>
        <w:jc w:val="both"/>
        <w:rPr/>
      </w:pPr>
      <w:r>
        <w:rPr>
          <w:rFonts w:ascii="Times New Roman;serif" w:hAnsi="Times New Roman;serif"/>
          <w:b w:val="false"/>
          <w:color w:val="000000"/>
          <w:sz w:val="20"/>
        </w:rPr>
        <w:t>In March 2026, the Company entered into agreements to sell its WMXG and WLNK-FM radio broadcasting licenses in Charlotte, North Carolina along with the associated station assets from the Radio Broadcasting segment to unrelated third parties for approximately $0.7 million and $4.2 million, respectively. FCC approval was obtained on May 13, 2026 for the WMXG station and on May 12, 2026 for the WLNK-FM station. The Company completed both sales on June 1, 2026 and recognized a gain of $4.7 million, which is included in</w:t>
      </w:r>
      <w:r>
        <w:rPr>
          <w:color w:val="000000"/>
        </w:rPr>
        <w:t xml:space="preserve"> </w:t>
      </w:r>
      <w:r>
        <w:rPr>
          <w:rFonts w:ascii="Times New Roman;serif" w:hAnsi="Times New Roman;serif"/>
          <w:b w:val="false"/>
          <w:color w:val="000000"/>
          <w:sz w:val="20"/>
        </w:rPr>
        <w:t>Gain On Sale Of Business in the unaudited consolidated statement of operations for the three and six months ended June 30, 2026.</w:t>
      </w:r>
    </w:p>
    <w:p>
      <w:pPr>
        <w:pStyle w:val="TextBody"/>
        <w:bidi w:val="0"/>
        <w:spacing w:lineRule="auto" w:line="288" w:before="0" w:after="24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On April 28, 2026, the Company entered into an agreement to acquire Service Broadcasting Group, LLC, including radio stations KKDA and KRNB in Dallas, Texas for $22.0 million. At the same time, the Company also entered into an agreement to sell radio station KZMJ from the Radio Broadcasting segment to Fuzion Dallas, LLC for $6.0 million.</w:t>
      </w:r>
    </w:p>
    <w:p>
      <w:pPr>
        <w:pStyle w:val="TextBody"/>
        <w:bidi w:val="0"/>
        <w:spacing w:lineRule="auto" w:line="288" w:before="240" w:after="24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FCC approval was obtained on June 23, 2026 and the Company completed the sale of KZMJ on July 6, 2026. The Company recognized a gain of $3.2 million on the KZMJ disposition in the third quarter of 2026. FCC approval was obtained on June 26, 2026 for the Service Broadcasting Group, LLC acquisition and the acquisition was completed on July 17, 2026.</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press release includes forward-looking statements within the meaning of Section 27A of the Securities Act of 1933 and Section 21E of the Securities Exchange Act of 1934. Forward-looking statements represent management's current expectations and are based upon information available to Urban One at the time of this release. These forward-looking statements involve known and unknown risks, uncertainties, and other factors, some of which are beyond Urban One's control, which may cause the actual results to differ materially from any future results, performance or achievements expressed or implied by such forward-looking statements. Important factors that could cause actual results to differ materially are described in Urban One’s reports on Forms 10-K, 10-Q, 8-K and other filings with the Securities and Exchange Commission (the “SEC”). Urban One does not undertake any duty to update any forward-looking statements.</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02260"/>
                <wp:effectExtent l="0" t="0" r="0" b="0"/>
                <wp:wrapNone/>
                <wp:docPr id="11" name="Frame10"/>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jc w:val="center"/>
                        <w:rPr/>
                      </w:pPr>
                      <w:r>
                        <w:rPr/>
                      </w:r>
                    </w:p>
                  </w:txbxContent>
                </v:textbox>
                <w10:wrap type="none"/>
              </v:rect>
            </w:pict>
          </mc:Fallback>
        </mc:AlternateContent>
      </w:r>
    </w:p>
    <w:p>
      <w:pPr>
        <w:pStyle w:val="TextBody"/>
        <w:bidi w:val="0"/>
        <w:spacing w:before="24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PAGE 8 -- URBAN ONE, INC. REPORTS SECOND QUARTER 2026 RESULTS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we recognized approximately $85.8 million in net revenue compared to approximately $91.6 million during the three months ended June 30, 2025. These amounts are net of agency commissions. We recognized approximately $35.3 million of revenue from our Radio Broadcasting segment during the three months ended June 30, 2026, compared to approximately $36.7 million for the three months ended June 30, 2025, a decrease of approximately $1.4 million. This decrease was primarily driven by weaker overall market demand from the national and local advertisers. We recognized approximately $4.8 million of revenue from our Reach Media segment during the three months ended June 30, 2026, compared to approximately $5.3 million for the three months ended June 30, 2025, a decrease of approximately $0.5 million. This decrease was primarily driven by a decrease in syndicated revenue. We recognized approximately $9.4 million of revenue from our Digital segment during the three months ended June 30, 2026, compared to approximately $10.3 million during the three months ended June 30, 2025, a decrease of approximately $0.9 million. The decrease was primarily driven by the decrease in direct revenue streams, reflecting reduced advertising spend from diversity, equity and inclusion-focused campaigns. We recognized approximately $37.1 million of revenue from our Cable Television segment during the three months ended June 30, 2026, compared to approximately $40.1 million during the three months ended June 30, 2025, a decrease of approximately $3.0 million. The decrease was primarily driven by the churn of subscribers and lower advertising sales.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charts indicate the sources of our net revenues for the three and six months ended June 30, 2026:</w:t>
      </w:r>
    </w:p>
    <w:tbl>
      <w:tblPr>
        <w:tblW w:w="7539" w:type="dxa"/>
        <w:jc w:val="left"/>
        <w:tblInd w:w="0" w:type="dxa"/>
        <w:tblLayout w:type="fixed"/>
        <w:tblCellMar>
          <w:top w:w="28" w:type="dxa"/>
          <w:left w:w="28" w:type="dxa"/>
          <w:bottom w:w="28" w:type="dxa"/>
          <w:right w:w="28" w:type="dxa"/>
        </w:tblCellMar>
      </w:tblPr>
      <w:tblGrid>
        <w:gridCol w:w="922"/>
        <w:gridCol w:w="813"/>
        <w:gridCol w:w="814"/>
        <w:gridCol w:w="211"/>
        <w:gridCol w:w="721"/>
        <w:gridCol w:w="109"/>
        <w:gridCol w:w="109"/>
        <w:gridCol w:w="109"/>
        <w:gridCol w:w="109"/>
        <w:gridCol w:w="211"/>
        <w:gridCol w:w="721"/>
        <w:gridCol w:w="109"/>
        <w:gridCol w:w="109"/>
        <w:gridCol w:w="109"/>
        <w:gridCol w:w="109"/>
        <w:gridCol w:w="211"/>
        <w:gridCol w:w="691"/>
        <w:gridCol w:w="109"/>
        <w:gridCol w:w="109"/>
        <w:gridCol w:w="109"/>
        <w:gridCol w:w="109"/>
        <w:gridCol w:w="268"/>
        <w:gridCol w:w="268"/>
        <w:gridCol w:w="380"/>
      </w:tblGrid>
      <w:tr>
        <w:trPr/>
        <w:tc>
          <w:tcPr>
            <w:tcW w:w="92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243" w:type="dxa"/>
            <w:gridSpan w:val="6"/>
            <w:tcBorders/>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Radio advertising</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Political advertising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Digital advertising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Cable Television advertising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Cable Television affiliate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Event revenues &amp;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91,631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r>
    </w:tbl>
    <w:p>
      <w:pPr>
        <w:pStyle w:val="TextBody"/>
        <w:bidi w:val="0"/>
        <w:spacing w:lineRule="auto" w:line="288" w:before="200" w:after="240"/>
        <w:jc w:val="both"/>
        <w:rPr>
          <w:rFonts w:ascii="Times New Roman;serif" w:hAnsi="Times New Roman;serif"/>
          <w:b w:val="false"/>
          <w:color w:val="000000"/>
          <w:sz w:val="16"/>
        </w:rPr>
      </w:pPr>
      <w:r>
        <w:rPr>
          <w:rFonts w:ascii="Times New Roman;serif" w:hAnsi="Times New Roman;serif"/>
          <w:b w:val="false"/>
          <w:color w:val="000000"/>
          <w:sz w:val="16"/>
        </w:rPr>
        <w:t>*NM - 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345" w:type="dxa"/>
        <w:jc w:val="left"/>
        <w:tblInd w:w="0" w:type="dxa"/>
        <w:tblLayout w:type="fixed"/>
        <w:tblCellMar>
          <w:top w:w="28" w:type="dxa"/>
          <w:left w:w="28" w:type="dxa"/>
          <w:bottom w:w="28" w:type="dxa"/>
          <w:right w:w="28" w:type="dxa"/>
        </w:tblCellMar>
      </w:tblPr>
      <w:tblGrid>
        <w:gridCol w:w="922"/>
        <w:gridCol w:w="813"/>
        <w:gridCol w:w="814"/>
        <w:gridCol w:w="376"/>
        <w:gridCol w:w="390"/>
        <w:gridCol w:w="391"/>
        <w:gridCol w:w="194"/>
        <w:gridCol w:w="194"/>
        <w:gridCol w:w="194"/>
        <w:gridCol w:w="376"/>
        <w:gridCol w:w="390"/>
        <w:gridCol w:w="391"/>
        <w:gridCol w:w="109"/>
        <w:gridCol w:w="109"/>
        <w:gridCol w:w="109"/>
        <w:gridCol w:w="211"/>
        <w:gridCol w:w="796"/>
        <w:gridCol w:w="109"/>
        <w:gridCol w:w="109"/>
        <w:gridCol w:w="109"/>
        <w:gridCol w:w="109"/>
        <w:gridCol w:w="293"/>
        <w:gridCol w:w="293"/>
        <w:gridCol w:w="544"/>
      </w:tblGrid>
      <w:tr>
        <w:trPr/>
        <w:tc>
          <w:tcPr>
            <w:tcW w:w="92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457" w:type="dxa"/>
            <w:gridSpan w:val="6"/>
            <w:tcBorders/>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Radio advertising</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66,856</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74,844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Political advertising</w:t>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2,143</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Digital advertising</w:t>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16,170</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Cable Television advertising</w:t>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39,868</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Cable Television affiliate fees</w:t>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33,163</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Event revenues &amp; other</w:t>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5,208</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revenue </w:t>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163,408</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183,866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(20,458)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5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40"/>
        <w:jc w:val="both"/>
        <w:rPr>
          <w:rFonts w:ascii="Times New Roman;serif" w:hAnsi="Times New Roman;serif"/>
          <w:b w:val="false"/>
          <w:color w:val="000000"/>
          <w:sz w:val="16"/>
        </w:rPr>
      </w:pPr>
      <w:r>
        <w:rPr>
          <w:rFonts w:ascii="Times New Roman;serif" w:hAnsi="Times New Roman;serif"/>
          <w:b w:val="false"/>
          <w:color w:val="000000"/>
          <w:sz w:val="16"/>
        </w:rPr>
        <w:t>*NM - 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02260"/>
                <wp:effectExtent l="0" t="0" r="0" b="0"/>
                <wp:wrapNone/>
                <wp:docPr id="12" name="Frame11"/>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jc w:val="center"/>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PAGE 9 -- URBAN ONE, INC. REPORTS SECOND QUARTER 2026 RESULTS</w:t>
      </w:r>
    </w:p>
    <w:p>
      <w:pPr>
        <w:pStyle w:val="TextBody"/>
        <w:bidi w:val="0"/>
        <w:spacing w:lineRule="auto" w:line="288" w:before="240" w:after="283"/>
        <w:ind w:left="0" w:right="0" w:firstLine="360"/>
        <w:jc w:val="both"/>
        <w:rPr/>
      </w:pPr>
      <w:r>
        <w:rPr>
          <w:rFonts w:ascii="Times New Roman;serif" w:hAnsi="Times New Roman;serif"/>
          <w:b w:val="false"/>
          <w:color w:val="000000"/>
          <w:sz w:val="20"/>
          <w:shd w:fill="FFFFFF" w:val="clear"/>
        </w:rPr>
        <w:t>Operating expenses, excluding depreciation and amortization, stock-based compensation, and impairment of goodwill, intangible assets and long-lived assets, were</w:t>
      </w:r>
      <w:r>
        <w:rPr>
          <w:color w:val="000000"/>
        </w:rPr>
        <w:t xml:space="preserve"> </w:t>
      </w:r>
      <w:r>
        <w:rPr>
          <w:rFonts w:ascii="Times New Roman;serif" w:hAnsi="Times New Roman;serif"/>
          <w:b w:val="false"/>
          <w:color w:val="000000"/>
          <w:sz w:val="20"/>
        </w:rPr>
        <w:t xml:space="preserve">approximately $75.0 million for the </w:t>
      </w:r>
      <w:r>
        <w:rPr>
          <w:rFonts w:ascii="Times New Roman;serif" w:hAnsi="Times New Roman;serif"/>
          <w:b w:val="false"/>
          <w:color w:val="000000"/>
          <w:sz w:val="20"/>
          <w:shd w:fill="FFFFFF" w:val="clear"/>
        </w:rPr>
        <w:t>three months ended June 30, 2026,</w:t>
      </w:r>
      <w:r>
        <w:rPr>
          <w:color w:val="000000"/>
        </w:rPr>
        <w:t xml:space="preserve"> </w:t>
      </w:r>
      <w:r>
        <w:rPr>
          <w:rFonts w:ascii="Times New Roman;serif" w:hAnsi="Times New Roman;serif"/>
          <w:b w:val="false"/>
          <w:color w:val="000000"/>
          <w:sz w:val="20"/>
        </w:rPr>
        <w:t>compared to approximately $78.1 million for the comparable period in 2025.</w:t>
      </w:r>
      <w:r>
        <w:rPr>
          <w:color w:val="000000"/>
          <w:shd w:fill="FFFFFF" w:val="clear"/>
        </w:rPr>
        <w:t xml:space="preserve"> </w:t>
      </w:r>
      <w:r>
        <w:rPr>
          <w:rFonts w:ascii="Times New Roman;serif" w:hAnsi="Times New Roman;serif"/>
          <w:b w:val="false"/>
          <w:color w:val="000000"/>
          <w:sz w:val="20"/>
          <w:shd w:fill="FFFFFF" w:val="clear"/>
        </w:rPr>
        <w:t>Operating expenses were down by approximately</w:t>
      </w:r>
      <w:r>
        <w:rPr>
          <w:color w:val="000000"/>
        </w:rPr>
        <w:t xml:space="preserve"> </w:t>
      </w:r>
      <w:r>
        <w:rPr>
          <w:rFonts w:ascii="Times New Roman;serif" w:hAnsi="Times New Roman;serif"/>
          <w:b w:val="false"/>
          <w:color w:val="000000"/>
          <w:sz w:val="20"/>
        </w:rPr>
        <w:t>4.1%,</w:t>
      </w:r>
      <w:r>
        <w:rPr>
          <w:color w:val="000000"/>
          <w:shd w:fill="FFFFFF" w:val="clear"/>
        </w:rPr>
        <w:t xml:space="preserve"> </w:t>
      </w:r>
      <w:r>
        <w:rPr>
          <w:rFonts w:ascii="Times New Roman;serif" w:hAnsi="Times New Roman;serif"/>
          <w:b w:val="false"/>
          <w:color w:val="000000"/>
          <w:sz w:val="20"/>
          <w:shd w:fill="FFFFFF" w:val="clear"/>
        </w:rPr>
        <w:t>driven mainly by revenue-related variable expenses such as media monitoring, traffic acquisition costs, bad debt reserve, as well as third-party professional fees.</w:t>
      </w:r>
    </w:p>
    <w:p>
      <w:pPr>
        <w:pStyle w:val="TextBody"/>
        <w:bidi w:val="0"/>
        <w:spacing w:lineRule="auto" w:line="288" w:before="240" w:after="283"/>
        <w:ind w:left="0" w:right="0" w:firstLine="360"/>
        <w:jc w:val="both"/>
        <w:rPr/>
      </w:pPr>
      <w:r>
        <w:rPr>
          <w:rFonts w:ascii="Times New Roman;serif" w:hAnsi="Times New Roman;serif"/>
          <w:b w:val="false"/>
          <w:color w:val="000000"/>
          <w:sz w:val="20"/>
          <w:shd w:fill="FFFFFF" w:val="clear"/>
        </w:rPr>
        <w:t xml:space="preserve">Impairment of goodwill, intangible assets and long-lived assets was approximately </w:t>
      </w:r>
      <w:r>
        <w:rPr>
          <w:rFonts w:ascii="Times New Roman;serif" w:hAnsi="Times New Roman;serif"/>
          <w:b w:val="false"/>
          <w:color w:val="000000"/>
          <w:sz w:val="20"/>
        </w:rPr>
        <w:t xml:space="preserve">$14.2 million </w:t>
      </w:r>
      <w:r>
        <w:rPr>
          <w:rFonts w:ascii="Times New Roman;serif" w:hAnsi="Times New Roman;serif"/>
          <w:b w:val="false"/>
          <w:color w:val="000000"/>
          <w:sz w:val="20"/>
          <w:shd w:fill="FFFFFF" w:val="clear"/>
        </w:rPr>
        <w:t xml:space="preserve">for three months ended June 30, 2026, compared to </w:t>
      </w:r>
      <w:r>
        <w:rPr>
          <w:rFonts w:ascii="Times New Roman;serif" w:hAnsi="Times New Roman;serif"/>
          <w:b w:val="false"/>
          <w:color w:val="000000"/>
          <w:sz w:val="20"/>
        </w:rPr>
        <w:t>$130.1 million</w:t>
      </w:r>
      <w:r>
        <w:rPr>
          <w:color w:val="000000"/>
          <w:shd w:fill="FFFFFF" w:val="clear"/>
        </w:rPr>
        <w:t xml:space="preserve"> </w:t>
      </w:r>
      <w:r>
        <w:rPr>
          <w:rFonts w:ascii="Times New Roman;serif" w:hAnsi="Times New Roman;serif"/>
          <w:b w:val="false"/>
          <w:color w:val="000000"/>
          <w:sz w:val="20"/>
          <w:shd w:fill="FFFFFF" w:val="clear"/>
        </w:rPr>
        <w:t>for the three months ended June 30, 2025</w:t>
      </w:r>
      <w:r>
        <w:rPr>
          <w:rFonts w:ascii="Times New Roman;serif" w:hAnsi="Times New Roman;serif"/>
          <w:b w:val="false"/>
          <w:color w:val="000000"/>
          <w:sz w:val="20"/>
        </w:rPr>
        <w:t xml:space="preserve">. The impairment loss of $14.2 million during the three months ended June 30, 2026 represents approximately $13.9 million goodwill impairment charge related to the Reach Media reporting unit and approximately $0.3 million impairment charge related to the long-lived asset of Reach Media. </w:t>
      </w:r>
    </w:p>
    <w:p>
      <w:pPr>
        <w:pStyle w:val="TextBody"/>
        <w:bidi w:val="0"/>
        <w:spacing w:lineRule="auto" w:line="288" w:before="140" w:after="283"/>
        <w:ind w:left="0" w:right="0" w:firstLine="360"/>
        <w:jc w:val="both"/>
        <w:rPr/>
      </w:pPr>
      <w:r>
        <w:rPr>
          <w:rFonts w:ascii="Times New Roman;serif" w:hAnsi="Times New Roman;serif"/>
          <w:b w:val="false"/>
          <w:color w:val="000000"/>
          <w:sz w:val="20"/>
        </w:rPr>
        <w:t xml:space="preserve">Depreciation and amortization expense was approximately $6.2 million for the </w:t>
      </w:r>
      <w:r>
        <w:rPr>
          <w:rFonts w:ascii="Times New Roman;serif" w:hAnsi="Times New Roman;serif"/>
          <w:b w:val="false"/>
          <w:color w:val="000000"/>
          <w:sz w:val="20"/>
          <w:shd w:fill="FFFFFF" w:val="clear"/>
        </w:rPr>
        <w:t>three months ended June 30, 2026</w:t>
      </w:r>
      <w:r>
        <w:rPr>
          <w:rFonts w:ascii="Times New Roman;serif" w:hAnsi="Times New Roman;serif"/>
          <w:b w:val="false"/>
          <w:color w:val="000000"/>
          <w:sz w:val="20"/>
        </w:rPr>
        <w:t xml:space="preserve">, </w:t>
      </w:r>
      <w:bookmarkStart w:id="1" w:name="i2338a4bea6364d1a9554a7caf8e1b4ac_3159"/>
      <w:bookmarkEnd w:id="1"/>
      <w:r>
        <w:rPr>
          <w:rFonts w:ascii="Times New Roman;serif" w:hAnsi="Times New Roman;serif"/>
          <w:b w:val="false"/>
          <w:color w:val="000000"/>
          <w:sz w:val="20"/>
        </w:rPr>
        <w:t xml:space="preserve">compared to approximately $3.5 million for the </w:t>
      </w:r>
      <w:r>
        <w:rPr>
          <w:rFonts w:ascii="Times New Roman;serif" w:hAnsi="Times New Roman;serif"/>
          <w:b w:val="false"/>
          <w:color w:val="000000"/>
          <w:sz w:val="20"/>
          <w:shd w:fill="FFFFFF" w:val="clear"/>
        </w:rPr>
        <w:t>three months ended June 30, 2025</w:t>
      </w:r>
      <w:r>
        <w:rPr>
          <w:rFonts w:ascii="Times New Roman;serif" w:hAnsi="Times New Roman;serif"/>
          <w:b w:val="false"/>
          <w:color w:val="000000"/>
          <w:sz w:val="20"/>
        </w:rPr>
        <w:t>, an increase of approximately $2.7 million</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This increase is primarily driven by the Radio Broadcasting licenses amortization, which the Company started to amortize effective June 1, 2025. </w:t>
      </w:r>
    </w:p>
    <w:p>
      <w:pPr>
        <w:pStyle w:val="TextBody"/>
        <w:bidi w:val="0"/>
        <w:spacing w:lineRule="auto" w:line="288" w:before="140" w:after="283"/>
        <w:ind w:left="0" w:right="0" w:firstLine="360"/>
        <w:jc w:val="both"/>
        <w:rPr/>
      </w:pPr>
      <w:r>
        <w:rPr>
          <w:rFonts w:ascii="Times New Roman;serif" w:hAnsi="Times New Roman;serif"/>
          <w:b w:val="false"/>
          <w:color w:val="000000"/>
          <w:sz w:val="20"/>
        </w:rPr>
        <w:t>Inte</w:t>
      </w:r>
      <w:r>
        <w:rPr>
          <w:rFonts w:ascii="Times New Roman;serif" w:hAnsi="Times New Roman;serif"/>
          <w:b w:val="false"/>
          <w:color w:val="000000"/>
          <w:sz w:val="20"/>
          <w:shd w:fill="FFFFFF" w:val="clear"/>
        </w:rPr>
        <w:t>rest expense was appr</w:t>
      </w:r>
      <w:r>
        <w:rPr>
          <w:rFonts w:ascii="Times New Roman;serif" w:hAnsi="Times New Roman;serif"/>
          <w:b w:val="false"/>
          <w:color w:val="000000"/>
          <w:sz w:val="20"/>
        </w:rPr>
        <w:t xml:space="preserve">oximately $2.1 million for </w:t>
      </w:r>
      <w:r>
        <w:rPr>
          <w:rFonts w:ascii="Times New Roman;serif" w:hAnsi="Times New Roman;serif"/>
          <w:b w:val="false"/>
          <w:color w:val="000000"/>
          <w:sz w:val="20"/>
          <w:shd w:fill="FFFFFF" w:val="clear"/>
        </w:rPr>
        <w:t xml:space="preserve">the three months ended June 30, 2026, compared to approximately $9.7 million for the three months ended June 30, 2025, a decrease of approximately $7.6 million. </w:t>
      </w:r>
      <w:r>
        <w:rPr>
          <w:rFonts w:ascii="Times New Roman;serif" w:hAnsi="Times New Roman;serif"/>
          <w:b w:val="false"/>
          <w:color w:val="000000"/>
          <w:sz w:val="20"/>
        </w:rPr>
        <w:t xml:space="preserve">This decrease was due to lower overall debt balances outstanding and lower effective interest rates. The Company recognizes interest expense using an effective interest rate of approximately 5.32% on the 2030 First Lien Notes, 0.15% on the 2031 Second Lien Notes, and 7.71% on the 2028 Notes for the three months ended June 30, 2026. The effective interest rates on the 2030 First Lien Notes and 2031 Second Lien Notes differ from the contractual interest payment primarily as a result of the accounting for these debt instruments under Accounting Standards Codification No. 470-60, </w:t>
      </w:r>
      <w:r>
        <w:rPr>
          <w:rFonts w:ascii="Times New Roman;serif" w:hAnsi="Times New Roman;serif"/>
          <w:b w:val="false"/>
          <w:i/>
          <w:color w:val="000000"/>
          <w:sz w:val="20"/>
        </w:rPr>
        <w:t>Troubled Debt Restructurings by Debtors</w:t>
      </w:r>
      <w:r>
        <w:rPr>
          <w:rFonts w:ascii="Times New Roman;serif" w:hAnsi="Times New Roman;serif"/>
          <w:b w:val="false"/>
          <w:color w:val="000000"/>
          <w:sz w:val="20"/>
        </w:rPr>
        <w:t>.</w:t>
      </w:r>
    </w:p>
    <w:p>
      <w:pPr>
        <w:pStyle w:val="TextBody"/>
        <w:bidi w:val="0"/>
        <w:spacing w:lineRule="auto" w:line="288" w:before="1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we recorded a benefit from income taxes of approximately $1.7 million on the pre-tax loss of approximately $8.7 million resulting in an actual effective tax rate of 19.6%. For the three months ended June 30, 2025, we recorded a benefit from income taxes of approximately $21.4 million on pre-tax loss of approximately $99.4 million resulting in an actual effective tax rate of 21.5%, which includes $6.4 million of discrete tax expense related to the change of accounting estimate for radio broadcasting licenses that impacted our valuation allowance. </w:t>
      </w:r>
    </w:p>
    <w:p>
      <w:pPr>
        <w:pStyle w:val="TextBody"/>
        <w:bidi w:val="0"/>
        <w:spacing w:lineRule="auto" w:line="288" w:before="240" w:after="283"/>
        <w:ind w:left="0" w:right="0" w:firstLine="360"/>
        <w:jc w:val="both"/>
        <w:rPr/>
      </w:pPr>
      <w:r>
        <w:rPr>
          <w:rFonts w:ascii="Times New Roman;serif" w:hAnsi="Times New Roman;serif"/>
          <w:b w:val="false"/>
          <w:color w:val="000000"/>
          <w:sz w:val="20"/>
          <w:shd w:fill="FFFFFF" w:val="clear"/>
        </w:rPr>
        <w:t>Other pertinent financial information includes capital expenditures of approxima</w:t>
      </w:r>
      <w:r>
        <w:rPr>
          <w:rFonts w:ascii="Times New Roman;serif" w:hAnsi="Times New Roman;serif"/>
          <w:b w:val="false"/>
          <w:color w:val="000000"/>
          <w:sz w:val="20"/>
        </w:rPr>
        <w:t xml:space="preserve">tely $1.7 million and $1.2 million for the three months ended June 30, 2026 and 2025, respectively. The increase in capital expenditure is driven by the build-out of a studio in the Indianapolis radio market. </w:t>
      </w:r>
    </w:p>
    <w:p>
      <w:pPr>
        <w:pStyle w:val="TextBody"/>
        <w:bidi w:val="0"/>
        <w:spacing w:lineRule="auto" w:line="276" w:before="240" w:after="283"/>
        <w:jc w:val="both"/>
        <w:rPr>
          <w:rFonts w:ascii="Times New Roman;serif" w:hAnsi="Times New Roman;serif"/>
          <w:b/>
          <w:color w:val="000000"/>
          <w:sz w:val="20"/>
        </w:rPr>
      </w:pPr>
      <w:r>
        <w:rPr>
          <w:rFonts w:ascii="Times New Roman;serif" w:hAnsi="Times New Roman;serif"/>
          <w:b/>
          <w:color w:val="000000"/>
          <w:sz w:val="20"/>
        </w:rPr>
        <w:t>Supplemental Financial Information: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comparative purposes, the following more detailed statements of operations for the three and six months ended June 30, 2026 are included.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02260"/>
                <wp:effectExtent l="0" t="0" r="0" b="0"/>
                <wp:wrapNone/>
                <wp:docPr id="13" name="Frame12"/>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jc w:val="center"/>
                        <w:rPr/>
                      </w:pPr>
                      <w:r>
                        <w:rPr/>
                      </w:r>
                    </w:p>
                  </w:txbxContent>
                </v:textbox>
                <w10:wrap type="none"/>
              </v:rect>
            </w:pict>
          </mc:Fallback>
        </mc:AlternateContent>
      </w:r>
    </w:p>
    <w:p>
      <w:pPr>
        <w:pStyle w:val="TextBody"/>
        <w:bidi w:val="0"/>
        <w:spacing w:lineRule="auto" w:line="276" w:before="240" w:after="283"/>
        <w:jc w:val="both"/>
        <w:rPr>
          <w:rFonts w:ascii="Times New Roman;serif" w:hAnsi="Times New Roman;serif"/>
          <w:b/>
          <w:color w:val="000000"/>
          <w:sz w:val="24"/>
        </w:rPr>
      </w:pPr>
      <w:r>
        <w:rPr>
          <w:rFonts w:ascii="Times New Roman;serif" w:hAnsi="Times New Roman;serif"/>
          <w:b/>
          <w:color w:val="000000"/>
          <w:sz w:val="24"/>
        </w:rPr>
        <w:t>PAGE 10 -- URBAN ONE, INC. REPORTS SECOND QUARTER 2026 RESULTS</w:t>
      </w:r>
    </w:p>
    <w:tbl>
      <w:tblPr>
        <w:tblW w:w="10205" w:type="dxa"/>
        <w:jc w:val="left"/>
        <w:tblInd w:w="0" w:type="dxa"/>
        <w:tblLayout w:type="fixed"/>
        <w:tblCellMar>
          <w:top w:w="28" w:type="dxa"/>
          <w:left w:w="28" w:type="dxa"/>
          <w:bottom w:w="28" w:type="dxa"/>
          <w:right w:w="28" w:type="dxa"/>
        </w:tblCellMar>
      </w:tblPr>
      <w:tblGrid>
        <w:gridCol w:w="1318"/>
        <w:gridCol w:w="429"/>
        <w:gridCol w:w="404"/>
        <w:gridCol w:w="516"/>
        <w:gridCol w:w="337"/>
        <w:gridCol w:w="339"/>
        <w:gridCol w:w="109"/>
        <w:gridCol w:w="109"/>
        <w:gridCol w:w="109"/>
        <w:gridCol w:w="524"/>
        <w:gridCol w:w="336"/>
        <w:gridCol w:w="340"/>
        <w:gridCol w:w="109"/>
        <w:gridCol w:w="109"/>
        <w:gridCol w:w="109"/>
        <w:gridCol w:w="361"/>
        <w:gridCol w:w="377"/>
        <w:gridCol w:w="287"/>
        <w:gridCol w:w="109"/>
        <w:gridCol w:w="109"/>
        <w:gridCol w:w="109"/>
        <w:gridCol w:w="295"/>
        <w:gridCol w:w="283"/>
        <w:gridCol w:w="288"/>
        <w:gridCol w:w="109"/>
        <w:gridCol w:w="109"/>
        <w:gridCol w:w="109"/>
        <w:gridCol w:w="406"/>
        <w:gridCol w:w="336"/>
        <w:gridCol w:w="340"/>
        <w:gridCol w:w="109"/>
        <w:gridCol w:w="109"/>
        <w:gridCol w:w="109"/>
        <w:gridCol w:w="211"/>
        <w:gridCol w:w="686"/>
        <w:gridCol w:w="157"/>
      </w:tblGrid>
      <w:tr>
        <w:trPr/>
        <w:tc>
          <w:tcPr>
            <w:tcW w:w="131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4" w:type="dxa"/>
            <w:gridSpan w:val="3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(In thousands, unaudited)</w:t>
            </w:r>
          </w:p>
        </w:tc>
      </w:tr>
      <w:tr>
        <w:trPr/>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Radio</w:t>
            </w:r>
          </w:p>
          <w:p>
            <w:pPr>
              <w:pStyle w:val="TableContents"/>
              <w:bidi w:val="0"/>
              <w:spacing w:lineRule="auto" w:line="288" w:before="40" w:after="283"/>
              <w:jc w:val="center"/>
              <w:rPr>
                <w:rFonts w:ascii="Times New Roman;serif" w:hAnsi="Times New Roman;serif"/>
                <w:b/>
                <w:color w:val="000000"/>
                <w:sz w:val="16"/>
              </w:rPr>
            </w:pPr>
            <w:r>
              <w:rPr>
                <w:rFonts w:ascii="Times New Roman;serif" w:hAnsi="Times New Roman;serif"/>
                <w:b/>
                <w:color w:val="000000"/>
                <w:sz w:val="16"/>
              </w:rPr>
              <w:t>Broadcasting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Reach</w:t>
            </w:r>
          </w:p>
          <w:p>
            <w:pPr>
              <w:pStyle w:val="TableContents"/>
              <w:bidi w:val="0"/>
              <w:spacing w:lineRule="auto" w:line="288" w:before="40" w:after="283"/>
              <w:jc w:val="center"/>
              <w:rPr>
                <w:rFonts w:ascii="Times New Roman;serif" w:hAnsi="Times New Roman;serif"/>
                <w:b/>
                <w:color w:val="000000"/>
                <w:sz w:val="16"/>
              </w:rPr>
            </w:pPr>
            <w:r>
              <w:rPr>
                <w:rFonts w:ascii="Times New Roman;serif" w:hAnsi="Times New Roman;serif"/>
                <w:b/>
                <w:color w:val="000000"/>
                <w:sz w:val="16"/>
              </w:rPr>
              <w:t>Media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Digital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Cable</w:t>
            </w:r>
          </w:p>
          <w:p>
            <w:pPr>
              <w:pStyle w:val="TableContents"/>
              <w:bidi w:val="0"/>
              <w:spacing w:lineRule="auto" w:line="288" w:before="40" w:after="283"/>
              <w:jc w:val="center"/>
              <w:rPr>
                <w:rFonts w:ascii="Times New Roman;serif" w:hAnsi="Times New Roman;serif"/>
                <w:b/>
                <w:color w:val="000000"/>
                <w:sz w:val="16"/>
              </w:rPr>
            </w:pPr>
            <w:r>
              <w:rPr>
                <w:rFonts w:ascii="Times New Roman;serif" w:hAnsi="Times New Roman;serif"/>
                <w:b/>
                <w:color w:val="000000"/>
                <w:sz w:val="16"/>
              </w:rPr>
              <w:t>Television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All Other - </w:t>
            </w:r>
          </w:p>
          <w:p>
            <w:pPr>
              <w:pStyle w:val="TableContents"/>
              <w:bidi w:val="0"/>
              <w:spacing w:lineRule="auto" w:line="288" w:before="40" w:after="283"/>
              <w:jc w:val="center"/>
              <w:rPr>
                <w:rFonts w:ascii="Times New Roman;serif" w:hAnsi="Times New Roman;serif"/>
                <w:b/>
                <w:color w:val="000000"/>
                <w:sz w:val="16"/>
              </w:rPr>
            </w:pPr>
            <w:r>
              <w:rPr>
                <w:rFonts w:ascii="Times New Roman;serif" w:hAnsi="Times New Roman;serif"/>
                <w:b/>
                <w:color w:val="000000"/>
                <w:sz w:val="16"/>
              </w:rPr>
              <w:t>Corporate/</w:t>
            </w:r>
          </w:p>
          <w:p>
            <w:pPr>
              <w:pStyle w:val="TableContents"/>
              <w:bidi w:val="0"/>
              <w:spacing w:lineRule="auto" w:line="288" w:before="40" w:after="283"/>
              <w:jc w:val="center"/>
              <w:rPr>
                <w:rFonts w:ascii="Times New Roman;serif" w:hAnsi="Times New Roman;serif"/>
                <w:b/>
                <w:color w:val="000000"/>
                <w:sz w:val="16"/>
              </w:rPr>
            </w:pPr>
            <w:r>
              <w:rPr>
                <w:rFonts w:ascii="Times New Roman;serif" w:hAnsi="Times New Roman;serif"/>
                <w:b/>
                <w:color w:val="000000"/>
                <w:sz w:val="16"/>
              </w:rPr>
              <w:t>Eliminations</w:t>
            </w:r>
          </w:p>
        </w:tc>
      </w:tr>
      <w:tr>
        <w:trPr/>
        <w:tc>
          <w:tcPr>
            <w:tcW w:w="2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5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(791)</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Programming and technical </w:t>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7,673 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817</w:t>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r>
      <w:tr>
        <w:trPr/>
        <w:tc>
          <w:tcPr>
            <w:tcW w:w="2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 intangible assets and long-lived assets</w:t>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9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8,509</w:t>
            </w:r>
          </w:p>
        </w:tc>
      </w:tr>
      <w:tr>
        <w:trPr/>
        <w:tc>
          <w:tcPr>
            <w:tcW w:w="2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 income</w:t>
            </w:r>
          </w:p>
        </w:tc>
        <w:tc>
          <w:tcPr>
            <w:tcW w:w="119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(9,300)</w:t>
            </w:r>
          </w:p>
        </w:tc>
      </w:tr>
      <w:tr>
        <w:trPr/>
        <w:tc>
          <w:tcPr>
            <w:tcW w:w="215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(2,068)</w:t>
            </w:r>
          </w:p>
        </w:tc>
      </w:tr>
      <w:tr>
        <w:trPr/>
        <w:tc>
          <w:tcPr>
            <w:tcW w:w="2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BUSINESS</w:t>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215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2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before benefit from (provision for) income taxes</w:t>
            </w:r>
          </w:p>
        </w:tc>
        <w:tc>
          <w:tcPr>
            <w:tcW w:w="119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(11,368)</w:t>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(PROVISION FOR) INCOME TAXES</w:t>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(2,790)</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5,376</w:t>
            </w:r>
          </w:p>
        </w:tc>
      </w:tr>
      <w:tr>
        <w:trPr/>
        <w:tc>
          <w:tcPr>
            <w:tcW w:w="2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8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(6,978)</w:t>
            </w:r>
          </w:p>
        </w:tc>
        <w:tc>
          <w:tcPr>
            <w:tcW w:w="3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(5,992)</w:t>
            </w:r>
          </w:p>
        </w:tc>
      </w:tr>
      <w:tr>
        <w:trPr/>
        <w:tc>
          <w:tcPr>
            <w:tcW w:w="215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215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2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COMMON STOCKHOLDERS</w:t>
            </w:r>
          </w:p>
        </w:tc>
        <w:tc>
          <w:tcPr>
            <w:tcW w:w="8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(7,073)</w:t>
            </w:r>
          </w:p>
        </w:tc>
        <w:tc>
          <w:tcPr>
            <w:tcW w:w="3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4,056 </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(14,705)</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9,959 </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(5,992)</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(2)</w:t>
            </w:r>
          </w:p>
        </w:tc>
        <w:tc>
          <w:tcPr>
            <w:tcW w:w="51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(7,651)</w:t>
            </w:r>
          </w:p>
        </w:tc>
        <w:tc>
          <w:tcPr>
            <w:tcW w:w="15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120"/>
        <w:jc w:val="both"/>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02260"/>
                <wp:effectExtent l="0" t="0" r="0" b="0"/>
                <wp:wrapNone/>
                <wp:docPr id="14" name="Frame13"/>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jc w:val="center"/>
                        <w:rPr/>
                      </w:pPr>
                      <w:r>
                        <w:rPr/>
                      </w:r>
                    </w:p>
                  </w:txbxContent>
                </v:textbox>
                <w10:wrap type="none"/>
              </v:rect>
            </w:pict>
          </mc:Fallback>
        </mc:AlternateContent>
      </w:r>
    </w:p>
    <w:p>
      <w:pPr>
        <w:pStyle w:val="TextBody"/>
        <w:bidi w:val="0"/>
        <w:spacing w:lineRule="auto" w:line="276" w:before="0" w:after="0"/>
        <w:jc w:val="both"/>
        <w:rPr>
          <w:rFonts w:ascii="Times New Roman;serif" w:hAnsi="Times New Roman;serif"/>
          <w:b/>
          <w:color w:val="000000"/>
          <w:sz w:val="24"/>
        </w:rPr>
      </w:pPr>
      <w:r>
        <w:rPr>
          <w:rFonts w:ascii="Times New Roman;serif" w:hAnsi="Times New Roman;serif"/>
          <w:b/>
          <w:color w:val="000000"/>
          <w:sz w:val="24"/>
        </w:rPr>
        <w:t>PAGE 11 -- URBAN ONE, INC. REPORTS SECOND QUARTER 2026 RESULTS</w:t>
      </w:r>
    </w:p>
    <w:tbl>
      <w:tblPr>
        <w:tblW w:w="10205" w:type="dxa"/>
        <w:jc w:val="left"/>
        <w:tblInd w:w="0" w:type="dxa"/>
        <w:tblLayout w:type="fixed"/>
        <w:tblCellMar>
          <w:top w:w="28" w:type="dxa"/>
          <w:left w:w="28" w:type="dxa"/>
          <w:bottom w:w="28" w:type="dxa"/>
          <w:right w:w="28" w:type="dxa"/>
        </w:tblCellMar>
      </w:tblPr>
      <w:tblGrid>
        <w:gridCol w:w="1312"/>
        <w:gridCol w:w="419"/>
        <w:gridCol w:w="393"/>
        <w:gridCol w:w="516"/>
        <w:gridCol w:w="337"/>
        <w:gridCol w:w="339"/>
        <w:gridCol w:w="109"/>
        <w:gridCol w:w="109"/>
        <w:gridCol w:w="109"/>
        <w:gridCol w:w="524"/>
        <w:gridCol w:w="336"/>
        <w:gridCol w:w="340"/>
        <w:gridCol w:w="109"/>
        <w:gridCol w:w="109"/>
        <w:gridCol w:w="109"/>
        <w:gridCol w:w="310"/>
        <w:gridCol w:w="345"/>
        <w:gridCol w:w="287"/>
        <w:gridCol w:w="109"/>
        <w:gridCol w:w="109"/>
        <w:gridCol w:w="109"/>
        <w:gridCol w:w="297"/>
        <w:gridCol w:w="335"/>
        <w:gridCol w:w="341"/>
        <w:gridCol w:w="109"/>
        <w:gridCol w:w="109"/>
        <w:gridCol w:w="109"/>
        <w:gridCol w:w="406"/>
        <w:gridCol w:w="336"/>
        <w:gridCol w:w="340"/>
        <w:gridCol w:w="109"/>
        <w:gridCol w:w="109"/>
        <w:gridCol w:w="109"/>
        <w:gridCol w:w="211"/>
        <w:gridCol w:w="686"/>
        <w:gridCol w:w="160"/>
      </w:tblGrid>
      <w:tr>
        <w:trPr/>
        <w:tc>
          <w:tcPr>
            <w:tcW w:w="131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1" w:type="dxa"/>
            <w:gridSpan w:val="3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(In thousands, unaudited)</w:t>
            </w:r>
          </w:p>
        </w:tc>
      </w:tr>
      <w:tr>
        <w:trPr/>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Radio</w:t>
            </w:r>
          </w:p>
          <w:p>
            <w:pPr>
              <w:pStyle w:val="TableContents"/>
              <w:bidi w:val="0"/>
              <w:spacing w:lineRule="auto" w:line="288" w:before="40" w:after="283"/>
              <w:jc w:val="center"/>
              <w:rPr>
                <w:rFonts w:ascii="Times New Roman;serif" w:hAnsi="Times New Roman;serif"/>
                <w:b/>
                <w:color w:val="000000"/>
                <w:sz w:val="16"/>
              </w:rPr>
            </w:pPr>
            <w:r>
              <w:rPr>
                <w:rFonts w:ascii="Times New Roman;serif" w:hAnsi="Times New Roman;serif"/>
                <w:b/>
                <w:color w:val="000000"/>
                <w:sz w:val="16"/>
              </w:rPr>
              <w:t>Broadcasting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Reach</w:t>
            </w:r>
          </w:p>
          <w:p>
            <w:pPr>
              <w:pStyle w:val="TableContents"/>
              <w:bidi w:val="0"/>
              <w:spacing w:lineRule="auto" w:line="288" w:before="40" w:after="283"/>
              <w:jc w:val="center"/>
              <w:rPr>
                <w:rFonts w:ascii="Times New Roman;serif" w:hAnsi="Times New Roman;serif"/>
                <w:b/>
                <w:color w:val="000000"/>
                <w:sz w:val="16"/>
              </w:rPr>
            </w:pPr>
            <w:r>
              <w:rPr>
                <w:rFonts w:ascii="Times New Roman;serif" w:hAnsi="Times New Roman;serif"/>
                <w:b/>
                <w:color w:val="000000"/>
                <w:sz w:val="16"/>
              </w:rPr>
              <w:t>Media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Digital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Cable</w:t>
            </w:r>
          </w:p>
          <w:p>
            <w:pPr>
              <w:pStyle w:val="TableContents"/>
              <w:bidi w:val="0"/>
              <w:spacing w:lineRule="auto" w:line="288" w:before="40" w:after="283"/>
              <w:jc w:val="center"/>
              <w:rPr>
                <w:rFonts w:ascii="Times New Roman;serif" w:hAnsi="Times New Roman;serif"/>
                <w:b/>
                <w:color w:val="000000"/>
                <w:sz w:val="16"/>
              </w:rPr>
            </w:pPr>
            <w:r>
              <w:rPr>
                <w:rFonts w:ascii="Times New Roman;serif" w:hAnsi="Times New Roman;serif"/>
                <w:b/>
                <w:color w:val="000000"/>
                <w:sz w:val="16"/>
              </w:rPr>
              <w:t xml:space="preserve">Television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All Other - </w:t>
            </w:r>
          </w:p>
          <w:p>
            <w:pPr>
              <w:pStyle w:val="TableContents"/>
              <w:bidi w:val="0"/>
              <w:spacing w:lineRule="auto" w:line="288" w:before="40" w:after="283"/>
              <w:jc w:val="center"/>
              <w:rPr>
                <w:rFonts w:ascii="Times New Roman;serif" w:hAnsi="Times New Roman;serif"/>
                <w:b/>
                <w:color w:val="000000"/>
                <w:sz w:val="16"/>
              </w:rPr>
            </w:pPr>
            <w:r>
              <w:rPr>
                <w:rFonts w:ascii="Times New Roman;serif" w:hAnsi="Times New Roman;serif"/>
                <w:b/>
                <w:color w:val="000000"/>
                <w:sz w:val="16"/>
              </w:rPr>
              <w:t>Corporate/</w:t>
            </w:r>
          </w:p>
          <w:p>
            <w:pPr>
              <w:pStyle w:val="TableContents"/>
              <w:bidi w:val="0"/>
              <w:spacing w:lineRule="auto" w:line="288" w:before="40" w:after="283"/>
              <w:jc w:val="center"/>
              <w:rPr>
                <w:rFonts w:ascii="Times New Roman;serif" w:hAnsi="Times New Roman;serif"/>
                <w:b/>
                <w:color w:val="000000"/>
                <w:sz w:val="16"/>
              </w:rPr>
            </w:pPr>
            <w:r>
              <w:rPr>
                <w:rFonts w:ascii="Times New Roman;serif" w:hAnsi="Times New Roman;serif"/>
                <w:b/>
                <w:color w:val="000000"/>
                <w:sz w:val="16"/>
              </w:rPr>
              <w:t>Eliminations</w:t>
            </w:r>
          </w:p>
        </w:tc>
      </w:tr>
      <w:tr>
        <w:trPr/>
        <w:tc>
          <w:tcPr>
            <w:tcW w:w="2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5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91,631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Programming and technical </w:t>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9,168</w:t>
            </w:r>
          </w:p>
        </w:tc>
      </w:tr>
      <w:tr>
        <w:trPr/>
        <w:tc>
          <w:tcPr>
            <w:tcW w:w="2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r>
      <w:tr>
        <w:trPr/>
        <w:tc>
          <w:tcPr>
            <w:tcW w:w="2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r>
      <w:tr>
        <w:trPr/>
        <w:tc>
          <w:tcPr>
            <w:tcW w:w="2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Impairment of goodwill and intangible assets </w:t>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125,187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2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9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212,315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157,353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9,293</w:t>
            </w:r>
          </w:p>
        </w:tc>
      </w:tr>
      <w:tr>
        <w:trPr/>
        <w:tc>
          <w:tcPr>
            <w:tcW w:w="2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 income</w:t>
            </w:r>
          </w:p>
        </w:tc>
        <w:tc>
          <w:tcPr>
            <w:tcW w:w="119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(120,684)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(120,660)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(9,994)</w:t>
            </w:r>
          </w:p>
        </w:tc>
      </w:tr>
      <w:tr>
        <w:trPr/>
        <w:tc>
          <w:tcPr>
            <w:tcW w:w="2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INVESTMENT INCOME</w:t>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w:t>
            </w:r>
          </w:p>
        </w:tc>
      </w:tr>
      <w:tr>
        <w:trPr/>
        <w:tc>
          <w:tcPr>
            <w:tcW w:w="2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(9,557)</w:t>
            </w:r>
          </w:p>
        </w:tc>
      </w:tr>
      <w:tr>
        <w:trPr/>
        <w:tc>
          <w:tcPr>
            <w:tcW w:w="2124"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2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RETIREMENT OF DEBT</w:t>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30,297</w:t>
            </w:r>
          </w:p>
        </w:tc>
      </w:tr>
      <w:tr>
        <w:trPr/>
        <w:tc>
          <w:tcPr>
            <w:tcW w:w="2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2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before benefit from (provision for) income taxes</w:t>
            </w:r>
          </w:p>
        </w:tc>
        <w:tc>
          <w:tcPr>
            <w:tcW w:w="119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(99,351)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(120,554)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(1,852)</w:t>
            </w:r>
          </w:p>
        </w:tc>
        <w:tc>
          <w:tcPr>
            <w:tcW w:w="2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11,378 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(PROVISION FOR) INCOME TAXES</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21,382 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28,579 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1,792 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(3,693)</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2124"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r>
      <w:tr>
        <w:trPr/>
        <w:tc>
          <w:tcPr>
            <w:tcW w:w="2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119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(91,975)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6,069</w:t>
            </w:r>
          </w:p>
        </w:tc>
      </w:tr>
      <w:tr>
        <w:trPr/>
        <w:tc>
          <w:tcPr>
            <w:tcW w:w="2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COMMON STOCKHOLDERS</w:t>
            </w:r>
          </w:p>
        </w:tc>
        <w:tc>
          <w:tcPr>
            <w:tcW w:w="8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(77,902)</w:t>
            </w:r>
          </w:p>
        </w:tc>
        <w:tc>
          <w:tcPr>
            <w:tcW w:w="3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(91,975)</w:t>
            </w:r>
          </w:p>
        </w:tc>
        <w:tc>
          <w:tcPr>
            <w:tcW w:w="3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(1,772)</w:t>
            </w:r>
          </w:p>
        </w:tc>
        <w:tc>
          <w:tcPr>
            <w:tcW w:w="2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(3,711)</w:t>
            </w:r>
          </w:p>
        </w:tc>
        <w:tc>
          <w:tcPr>
            <w:tcW w:w="3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13,487 </w:t>
            </w:r>
          </w:p>
        </w:tc>
        <w:tc>
          <w:tcPr>
            <w:tcW w:w="3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6,069 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4" w:type="dxa"/>
            <w:gridSpan w:val="3"/>
            <w:tcBorders/>
            <w:shd w:fill="CCEEFF" w:val="clear"/>
            <w:tcMar>
              <w:top w:w="0" w:type="dxa"/>
              <w:left w:w="0" w:type="dxa"/>
              <w:bottom w:w="0" w:type="dxa"/>
              <w:right w:w="0" w:type="dxa"/>
            </w:tcMar>
            <w:vAlign w:val="center"/>
          </w:tcPr>
          <w:p>
            <w:pPr>
              <w:pStyle w:val="TableContents"/>
              <w:bidi w:val="0"/>
              <w:spacing w:lineRule="auto" w:line="288" w:before="1" w:after="1"/>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(2)</w:t>
            </w:r>
          </w:p>
        </w:tc>
        <w:tc>
          <w:tcPr>
            <w:tcW w:w="51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(9,237)</w:t>
            </w:r>
          </w:p>
        </w:tc>
        <w:tc>
          <w:tcPr>
            <w:tcW w:w="16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240" w:after="283"/>
        <w:jc w:val="both"/>
        <w:rPr>
          <w:rFonts w:ascii="Times New Roman;serif" w:hAnsi="Times New Roman;serif"/>
          <w:b/>
          <w:color w:val="000000"/>
          <w:sz w:val="24"/>
        </w:rPr>
      </w:pPr>
      <w:r>
        <w:rPr>
          <w:rFonts w:ascii="Times New Roman;serif" w:hAnsi="Times New Roman;serif"/>
          <w:b/>
          <w:color w:val="000000"/>
          <w:sz w:val="24"/>
        </w:rPr>
        <w:t>PAGE 12 -- URBAN ONE, INC. REPORTS FOURTH QUARTER 2025 RESULTS</w:t>
      </w:r>
    </w:p>
    <w:tbl>
      <w:tblPr>
        <w:tblW w:w="10261" w:type="dxa"/>
        <w:jc w:val="left"/>
        <w:tblInd w:w="0" w:type="dxa"/>
        <w:tblLayout w:type="fixed"/>
        <w:tblCellMar>
          <w:top w:w="28" w:type="dxa"/>
          <w:left w:w="28" w:type="dxa"/>
          <w:bottom w:w="28" w:type="dxa"/>
          <w:right w:w="28" w:type="dxa"/>
        </w:tblCellMar>
      </w:tblPr>
      <w:tblGrid>
        <w:gridCol w:w="1272"/>
        <w:gridCol w:w="353"/>
        <w:gridCol w:w="326"/>
        <w:gridCol w:w="516"/>
        <w:gridCol w:w="389"/>
        <w:gridCol w:w="392"/>
        <w:gridCol w:w="109"/>
        <w:gridCol w:w="109"/>
        <w:gridCol w:w="109"/>
        <w:gridCol w:w="524"/>
        <w:gridCol w:w="336"/>
        <w:gridCol w:w="340"/>
        <w:gridCol w:w="109"/>
        <w:gridCol w:w="109"/>
        <w:gridCol w:w="109"/>
        <w:gridCol w:w="360"/>
        <w:gridCol w:w="376"/>
        <w:gridCol w:w="287"/>
        <w:gridCol w:w="109"/>
        <w:gridCol w:w="109"/>
        <w:gridCol w:w="109"/>
        <w:gridCol w:w="295"/>
        <w:gridCol w:w="336"/>
        <w:gridCol w:w="341"/>
        <w:gridCol w:w="109"/>
        <w:gridCol w:w="109"/>
        <w:gridCol w:w="109"/>
        <w:gridCol w:w="406"/>
        <w:gridCol w:w="336"/>
        <w:gridCol w:w="340"/>
        <w:gridCol w:w="109"/>
        <w:gridCol w:w="109"/>
        <w:gridCol w:w="109"/>
        <w:gridCol w:w="211"/>
        <w:gridCol w:w="736"/>
        <w:gridCol w:w="154"/>
      </w:tblGrid>
      <w:tr>
        <w:trPr/>
        <w:tc>
          <w:tcPr>
            <w:tcW w:w="127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3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(In thousands, unaudited)</w:t>
            </w:r>
          </w:p>
        </w:tc>
      </w:tr>
      <w:tr>
        <w:trPr/>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Radio </w:t>
            </w:r>
          </w:p>
          <w:p>
            <w:pPr>
              <w:pStyle w:val="TableContents"/>
              <w:bidi w:val="0"/>
              <w:spacing w:lineRule="auto" w:line="288" w:before="40" w:after="283"/>
              <w:jc w:val="center"/>
              <w:rPr>
                <w:rFonts w:ascii="Times New Roman;serif" w:hAnsi="Times New Roman;serif"/>
                <w:b/>
                <w:color w:val="000000"/>
                <w:sz w:val="16"/>
              </w:rPr>
            </w:pPr>
            <w:r>
              <w:rPr>
                <w:rFonts w:ascii="Times New Roman;serif" w:hAnsi="Times New Roman;serif"/>
                <w:b/>
                <w:color w:val="000000"/>
                <w:sz w:val="16"/>
              </w:rPr>
              <w:t>Broadcasting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Reach</w:t>
            </w:r>
          </w:p>
          <w:p>
            <w:pPr>
              <w:pStyle w:val="TableContents"/>
              <w:bidi w:val="0"/>
              <w:spacing w:lineRule="auto" w:line="288" w:before="40" w:after="283"/>
              <w:jc w:val="center"/>
              <w:rPr>
                <w:rFonts w:ascii="Times New Roman;serif" w:hAnsi="Times New Roman;serif"/>
                <w:b/>
                <w:color w:val="000000"/>
                <w:sz w:val="16"/>
              </w:rPr>
            </w:pPr>
            <w:r>
              <w:rPr>
                <w:rFonts w:ascii="Times New Roman;serif" w:hAnsi="Times New Roman;serif"/>
                <w:b/>
                <w:color w:val="000000"/>
                <w:sz w:val="16"/>
              </w:rPr>
              <w:t>Media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Digital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Cable</w:t>
            </w:r>
          </w:p>
          <w:p>
            <w:pPr>
              <w:pStyle w:val="TableContents"/>
              <w:bidi w:val="0"/>
              <w:spacing w:lineRule="auto" w:line="288" w:before="40" w:after="283"/>
              <w:jc w:val="center"/>
              <w:rPr>
                <w:rFonts w:ascii="Times New Roman;serif" w:hAnsi="Times New Roman;serif"/>
                <w:b/>
                <w:color w:val="000000"/>
                <w:sz w:val="16"/>
              </w:rPr>
            </w:pPr>
            <w:r>
              <w:rPr>
                <w:rFonts w:ascii="Times New Roman;serif" w:hAnsi="Times New Roman;serif"/>
                <w:b/>
                <w:color w:val="000000"/>
                <w:sz w:val="16"/>
              </w:rPr>
              <w:t>Television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All Other - </w:t>
            </w:r>
          </w:p>
          <w:p>
            <w:pPr>
              <w:pStyle w:val="TableContents"/>
              <w:bidi w:val="0"/>
              <w:spacing w:lineRule="auto" w:line="288" w:before="40" w:after="283"/>
              <w:jc w:val="center"/>
              <w:rPr>
                <w:rFonts w:ascii="Times New Roman;serif" w:hAnsi="Times New Roman;serif"/>
                <w:b/>
                <w:color w:val="000000"/>
                <w:sz w:val="16"/>
              </w:rPr>
            </w:pPr>
            <w:r>
              <w:rPr>
                <w:rFonts w:ascii="Times New Roman;serif" w:hAnsi="Times New Roman;serif"/>
                <w:b/>
                <w:color w:val="000000"/>
                <w:sz w:val="16"/>
              </w:rPr>
              <w:t>Corporate/</w:t>
            </w:r>
          </w:p>
          <w:p>
            <w:pPr>
              <w:pStyle w:val="TableContents"/>
              <w:bidi w:val="0"/>
              <w:spacing w:lineRule="auto" w:line="288" w:before="40" w:after="283"/>
              <w:jc w:val="center"/>
              <w:rPr>
                <w:rFonts w:ascii="Times New Roman;serif" w:hAnsi="Times New Roman;serif"/>
                <w:b/>
                <w:color w:val="000000"/>
                <w:sz w:val="16"/>
              </w:rPr>
            </w:pPr>
            <w:r>
              <w:rPr>
                <w:rFonts w:ascii="Times New Roman;serif" w:hAnsi="Times New Roman;serif"/>
                <w:b/>
                <w:color w:val="000000"/>
                <w:sz w:val="16"/>
              </w:rPr>
              <w:t>Eliminations</w:t>
            </w:r>
          </w:p>
        </w:tc>
      </w:tr>
      <w:tr>
        <w:trPr/>
        <w:tc>
          <w:tcPr>
            <w:tcW w:w="1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5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163,408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Programming and technical </w:t>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88,684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15,863</w:t>
            </w:r>
          </w:p>
        </w:tc>
      </w:tr>
      <w:tr>
        <w:trPr/>
        <w:tc>
          <w:tcPr>
            <w:tcW w:w="1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w:t>
            </w:r>
          </w:p>
        </w:tc>
      </w:tr>
      <w:tr>
        <w:trPr/>
        <w:tc>
          <w:tcPr>
            <w:tcW w:w="1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r>
      <w:tr>
        <w:trPr/>
        <w:tc>
          <w:tcPr>
            <w:tcW w:w="1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 intangible assets and long-lived assets</w:t>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29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176,862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16,843</w:t>
            </w:r>
          </w:p>
        </w:tc>
      </w:tr>
      <w:tr>
        <w:trPr/>
        <w:tc>
          <w:tcPr>
            <w:tcW w:w="1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 income</w:t>
            </w:r>
          </w:p>
        </w:tc>
        <w:tc>
          <w:tcPr>
            <w:tcW w:w="9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(13,454)</w:t>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(2,115)</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(15,867)</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(2,294)</w:t>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25,020 </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(18,198)</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INVESTMENT INCOME</w:t>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1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(6,473)</w:t>
            </w:r>
          </w:p>
        </w:tc>
      </w:tr>
      <w:tr>
        <w:trPr/>
        <w:tc>
          <w:tcPr>
            <w:tcW w:w="1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BUSINESS</w:t>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RETIREMENT OF DEBT</w:t>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2,080</w:t>
            </w:r>
          </w:p>
        </w:tc>
      </w:tr>
      <w:tr>
        <w:trPr/>
        <w:tc>
          <w:tcPr>
            <w:tcW w:w="1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1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before benefit from (provision for) income taxes</w:t>
            </w:r>
          </w:p>
        </w:tc>
        <w:tc>
          <w:tcPr>
            <w:tcW w:w="129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(22,573)</w:t>
            </w:r>
          </w:p>
        </w:tc>
      </w:tr>
      <w:tr>
        <w:trPr/>
        <w:tc>
          <w:tcPr>
            <w:tcW w:w="1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(PROVISION FOR) INCOME TAXES</w:t>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8,188</w:t>
            </w:r>
          </w:p>
        </w:tc>
      </w:tr>
      <w:tr>
        <w:trPr/>
        <w:tc>
          <w:tcPr>
            <w:tcW w:w="1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INCOME </w:t>
            </w:r>
          </w:p>
        </w:tc>
        <w:tc>
          <w:tcPr>
            <w:tcW w:w="9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(10,079)</w:t>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1,769 </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(15,210)</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(1,806)</w:t>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19,553 </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(14,385)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951"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INTERESTS</w:t>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COMMON STOCKHOLDERS</w:t>
            </w:r>
          </w:p>
        </w:tc>
        <w:tc>
          <w:tcPr>
            <w:tcW w:w="129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(14,385)</w:t>
            </w:r>
          </w:p>
        </w:tc>
      </w:tr>
      <w:tr>
        <w:trPr/>
        <w:tc>
          <w:tcPr>
            <w:tcW w:w="1951" w:type="dxa"/>
            <w:gridSpan w:val="3"/>
            <w:tcBorders/>
            <w:shd w:fill="FFFFFF" w:val="clear"/>
            <w:tcMar>
              <w:top w:w="0" w:type="dxa"/>
              <w:left w:w="0" w:type="dxa"/>
              <w:bottom w:w="0" w:type="dxa"/>
              <w:right w:w="0" w:type="dxa"/>
            </w:tcMar>
            <w:vAlign w:val="center"/>
          </w:tcPr>
          <w:p>
            <w:pPr>
              <w:pStyle w:val="TableContents"/>
              <w:bidi w:val="0"/>
              <w:spacing w:lineRule="auto" w:line="288" w:before="1" w:after="1"/>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(2)</w:t>
            </w:r>
          </w:p>
        </w:tc>
        <w:tc>
          <w:tcPr>
            <w:tcW w:w="51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(15,868)</w:t>
            </w:r>
          </w:p>
        </w:tc>
        <w:tc>
          <w:tcPr>
            <w:tcW w:w="15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02260"/>
                <wp:effectExtent l="0" t="0" r="0" b="0"/>
                <wp:wrapNone/>
                <wp:docPr id="16" name="Frame15"/>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jc w:val="center"/>
                        <w:rPr/>
                      </w:pPr>
                      <w:r>
                        <w:rPr/>
                      </w:r>
                    </w:p>
                  </w:txbxContent>
                </v:textbox>
                <w10:wrap type="none"/>
              </v:rect>
            </w:pict>
          </mc:Fallback>
        </mc:AlternateContent>
      </w:r>
    </w:p>
    <w:p>
      <w:pPr>
        <w:pStyle w:val="TextBody"/>
        <w:bidi w:val="0"/>
        <w:spacing w:lineRule="auto" w:line="276" w:before="240" w:after="283"/>
        <w:jc w:val="both"/>
        <w:rPr>
          <w:rFonts w:ascii="Times New Roman;serif" w:hAnsi="Times New Roman;serif"/>
          <w:b/>
          <w:color w:val="000000"/>
          <w:sz w:val="24"/>
        </w:rPr>
      </w:pPr>
      <w:r>
        <w:rPr>
          <w:rFonts w:ascii="Times New Roman;serif" w:hAnsi="Times New Roman;serif"/>
          <w:b/>
          <w:color w:val="000000"/>
          <w:sz w:val="24"/>
        </w:rPr>
        <w:t>PAGE 13 -- URBAN ONE, INC. REPORTS FOURTH QUARTER 2025 RESULTS</w:t>
      </w:r>
    </w:p>
    <w:tbl>
      <w:tblPr>
        <w:tblW w:w="10205" w:type="dxa"/>
        <w:jc w:val="left"/>
        <w:tblInd w:w="0" w:type="dxa"/>
        <w:tblLayout w:type="fixed"/>
        <w:tblCellMar>
          <w:top w:w="28" w:type="dxa"/>
          <w:left w:w="28" w:type="dxa"/>
          <w:bottom w:w="28" w:type="dxa"/>
          <w:right w:w="28" w:type="dxa"/>
        </w:tblCellMar>
      </w:tblPr>
      <w:tblGrid>
        <w:gridCol w:w="1276"/>
        <w:gridCol w:w="360"/>
        <w:gridCol w:w="333"/>
        <w:gridCol w:w="516"/>
        <w:gridCol w:w="389"/>
        <w:gridCol w:w="392"/>
        <w:gridCol w:w="109"/>
        <w:gridCol w:w="109"/>
        <w:gridCol w:w="109"/>
        <w:gridCol w:w="524"/>
        <w:gridCol w:w="336"/>
        <w:gridCol w:w="340"/>
        <w:gridCol w:w="109"/>
        <w:gridCol w:w="109"/>
        <w:gridCol w:w="109"/>
        <w:gridCol w:w="273"/>
        <w:gridCol w:w="336"/>
        <w:gridCol w:w="340"/>
        <w:gridCol w:w="109"/>
        <w:gridCol w:w="109"/>
        <w:gridCol w:w="109"/>
        <w:gridCol w:w="295"/>
        <w:gridCol w:w="335"/>
        <w:gridCol w:w="341"/>
        <w:gridCol w:w="109"/>
        <w:gridCol w:w="109"/>
        <w:gridCol w:w="109"/>
        <w:gridCol w:w="406"/>
        <w:gridCol w:w="336"/>
        <w:gridCol w:w="340"/>
        <w:gridCol w:w="109"/>
        <w:gridCol w:w="109"/>
        <w:gridCol w:w="109"/>
        <w:gridCol w:w="211"/>
        <w:gridCol w:w="736"/>
        <w:gridCol w:w="155"/>
      </w:tblGrid>
      <w:tr>
        <w:trPr/>
        <w:tc>
          <w:tcPr>
            <w:tcW w:w="127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1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6" w:type="dxa"/>
            <w:gridSpan w:val="3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(In thousands, unaudited)</w:t>
            </w:r>
          </w:p>
        </w:tc>
      </w:tr>
      <w:tr>
        <w:trPr/>
        <w:tc>
          <w:tcPr>
            <w:tcW w:w="1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Radio </w:t>
            </w:r>
          </w:p>
          <w:p>
            <w:pPr>
              <w:pStyle w:val="TableContents"/>
              <w:bidi w:val="0"/>
              <w:spacing w:lineRule="auto" w:line="288" w:before="40" w:after="283"/>
              <w:jc w:val="center"/>
              <w:rPr>
                <w:rFonts w:ascii="Times New Roman;serif" w:hAnsi="Times New Roman;serif"/>
                <w:b/>
                <w:color w:val="000000"/>
                <w:sz w:val="16"/>
              </w:rPr>
            </w:pPr>
            <w:r>
              <w:rPr>
                <w:rFonts w:ascii="Times New Roman;serif" w:hAnsi="Times New Roman;serif"/>
                <w:b/>
                <w:color w:val="000000"/>
                <w:sz w:val="16"/>
              </w:rPr>
              <w:t>Broadcasting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Reach</w:t>
            </w:r>
          </w:p>
          <w:p>
            <w:pPr>
              <w:pStyle w:val="TableContents"/>
              <w:bidi w:val="0"/>
              <w:spacing w:lineRule="auto" w:line="288" w:before="40" w:after="283"/>
              <w:jc w:val="center"/>
              <w:rPr>
                <w:rFonts w:ascii="Times New Roman;serif" w:hAnsi="Times New Roman;serif"/>
                <w:b/>
                <w:color w:val="000000"/>
                <w:sz w:val="16"/>
              </w:rPr>
            </w:pPr>
            <w:r>
              <w:rPr>
                <w:rFonts w:ascii="Times New Roman;serif" w:hAnsi="Times New Roman;serif"/>
                <w:b/>
                <w:color w:val="000000"/>
                <w:sz w:val="16"/>
              </w:rPr>
              <w:t>Media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Digital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Cable</w:t>
            </w:r>
          </w:p>
          <w:p>
            <w:pPr>
              <w:pStyle w:val="TableContents"/>
              <w:bidi w:val="0"/>
              <w:spacing w:lineRule="auto" w:line="288" w:before="40" w:after="283"/>
              <w:jc w:val="center"/>
              <w:rPr>
                <w:rFonts w:ascii="Times New Roman;serif" w:hAnsi="Times New Roman;serif"/>
                <w:b/>
                <w:color w:val="000000"/>
                <w:sz w:val="16"/>
              </w:rPr>
            </w:pPr>
            <w:r>
              <w:rPr>
                <w:rFonts w:ascii="Times New Roman;serif" w:hAnsi="Times New Roman;serif"/>
                <w:b/>
                <w:color w:val="000000"/>
                <w:sz w:val="16"/>
              </w:rPr>
              <w:t xml:space="preserve">Television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All Other - </w:t>
            </w:r>
          </w:p>
          <w:p>
            <w:pPr>
              <w:pStyle w:val="TableContents"/>
              <w:bidi w:val="0"/>
              <w:spacing w:lineRule="auto" w:line="288" w:before="40" w:after="283"/>
              <w:jc w:val="center"/>
              <w:rPr>
                <w:rFonts w:ascii="Times New Roman;serif" w:hAnsi="Times New Roman;serif"/>
                <w:b/>
                <w:color w:val="000000"/>
                <w:sz w:val="16"/>
              </w:rPr>
            </w:pPr>
            <w:r>
              <w:rPr>
                <w:rFonts w:ascii="Times New Roman;serif" w:hAnsi="Times New Roman;serif"/>
                <w:b/>
                <w:color w:val="000000"/>
                <w:sz w:val="16"/>
              </w:rPr>
              <w:t>Corporate/</w:t>
            </w:r>
          </w:p>
          <w:p>
            <w:pPr>
              <w:pStyle w:val="TableContents"/>
              <w:bidi w:val="0"/>
              <w:spacing w:lineRule="auto" w:line="288" w:before="40" w:after="283"/>
              <w:jc w:val="center"/>
              <w:rPr>
                <w:rFonts w:ascii="Times New Roman;serif" w:hAnsi="Times New Roman;serif"/>
                <w:b/>
                <w:color w:val="000000"/>
                <w:sz w:val="16"/>
              </w:rPr>
            </w:pPr>
            <w:r>
              <w:rPr>
                <w:rFonts w:ascii="Times New Roman;serif" w:hAnsi="Times New Roman;serif"/>
                <w:b/>
                <w:color w:val="000000"/>
                <w:sz w:val="16"/>
              </w:rPr>
              <w:t>Eliminations</w:t>
            </w:r>
          </w:p>
        </w:tc>
      </w:tr>
      <w:tr>
        <w:trPr/>
        <w:tc>
          <w:tcPr>
            <w:tcW w:w="1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5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183,866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(1,334)</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Programming and technical </w:t>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99,598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r>
      <w:tr>
        <w:trPr/>
        <w:tc>
          <w:tcPr>
            <w:tcW w:w="1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w:t>
            </w:r>
          </w:p>
        </w:tc>
      </w:tr>
      <w:tr>
        <w:trPr/>
        <w:tc>
          <w:tcPr>
            <w:tcW w:w="1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 and intangible assets</w:t>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131,630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29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302,452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194,789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18,186</w:t>
            </w:r>
          </w:p>
        </w:tc>
      </w:tr>
      <w:tr>
        <w:trPr/>
        <w:tc>
          <w:tcPr>
            <w:tcW w:w="1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 income</w:t>
            </w:r>
          </w:p>
        </w:tc>
        <w:tc>
          <w:tcPr>
            <w:tcW w:w="129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(118,586)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(125,486)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(19,520)</w:t>
            </w:r>
          </w:p>
        </w:tc>
      </w:tr>
      <w:tr>
        <w:trPr/>
        <w:tc>
          <w:tcPr>
            <w:tcW w:w="1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INVESTMENT INCOME</w:t>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1,582</w:t>
            </w:r>
          </w:p>
        </w:tc>
      </w:tr>
      <w:tr>
        <w:trPr/>
        <w:tc>
          <w:tcPr>
            <w:tcW w:w="1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(20,479)</w:t>
            </w:r>
          </w:p>
        </w:tc>
      </w:tr>
      <w:tr>
        <w:trPr/>
        <w:tc>
          <w:tcPr>
            <w:tcW w:w="1969"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RETIREMENT OF DEBT</w:t>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41,884</w:t>
            </w:r>
          </w:p>
        </w:tc>
      </w:tr>
      <w:tr>
        <w:trPr/>
        <w:tc>
          <w:tcPr>
            <w:tcW w:w="1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r>
      <w:tr>
        <w:trPr/>
        <w:tc>
          <w:tcPr>
            <w:tcW w:w="1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before benefit from (provision for) income taxes</w:t>
            </w:r>
          </w:p>
        </w:tc>
        <w:tc>
          <w:tcPr>
            <w:tcW w:w="129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(95,432)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(125,382)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3,675 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(PROVISION FOR) INCOME TAXES</w:t>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(18,551)</w:t>
            </w:r>
          </w:p>
        </w:tc>
      </w:tr>
      <w:tr>
        <w:trPr/>
        <w:tc>
          <w:tcPr>
            <w:tcW w:w="1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129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(95,713)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(14,876)</w:t>
            </w:r>
          </w:p>
        </w:tc>
      </w:tr>
      <w:tr>
        <w:trPr/>
        <w:tc>
          <w:tcPr>
            <w:tcW w:w="1969"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969"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COMMON STOCKHOLDERS</w:t>
            </w:r>
          </w:p>
        </w:tc>
        <w:tc>
          <w:tcPr>
            <w:tcW w:w="129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(95,713)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(14,876)</w:t>
            </w:r>
          </w:p>
        </w:tc>
      </w:tr>
      <w:tr>
        <w:trPr/>
        <w:tc>
          <w:tcPr>
            <w:tcW w:w="19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(2)</w:t>
            </w:r>
          </w:p>
        </w:tc>
        <w:tc>
          <w:tcPr>
            <w:tcW w:w="51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(17,327)</w:t>
            </w:r>
          </w:p>
        </w:tc>
        <w:tc>
          <w:tcPr>
            <w:tcW w:w="15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PAGE 14 -- URBAN ONE, INC. REPORTS SECOND QUARTER 2026 RESULTS</w:t>
      </w:r>
    </w:p>
    <w:p>
      <w:pPr>
        <w:pStyle w:val="TextBody"/>
        <w:bidi w:val="0"/>
        <w:spacing w:lineRule="auto" w:line="288" w:before="240" w:after="283"/>
        <w:ind w:left="0" w:right="0" w:firstLine="360"/>
        <w:jc w:val="both"/>
        <w:rPr/>
      </w:pPr>
      <w:r>
        <w:rPr>
          <w:rFonts w:ascii="Times New Roman;serif" w:hAnsi="Times New Roman;serif"/>
          <w:b w:val="false"/>
          <w:color w:val="000000"/>
          <w:sz w:val="20"/>
        </w:rPr>
        <w:t xml:space="preserve">Urban One, Inc. will hold a conference call to discuss its results for the second fiscal quarter of 2026. The conference call is scheduled for Tuesday, </w:t>
      </w:r>
      <w:r>
        <w:rPr>
          <w:rFonts w:ascii="Times New Roman;serif" w:hAnsi="Times New Roman;serif"/>
          <w:b w:val="false"/>
          <w:color w:val="000000"/>
          <w:sz w:val="20"/>
          <w:shd w:fill="FFFFFF" w:val="clear"/>
        </w:rPr>
        <w:t>August 4, 2026</w:t>
      </w:r>
      <w:r>
        <w:rPr>
          <w:color w:val="000000"/>
        </w:rPr>
        <w:t xml:space="preserve"> </w:t>
      </w:r>
      <w:r>
        <w:rPr>
          <w:rFonts w:ascii="Times New Roman;serif" w:hAnsi="Times New Roman;serif"/>
          <w:b w:val="false"/>
          <w:color w:val="000000"/>
          <w:sz w:val="20"/>
        </w:rPr>
        <w:t xml:space="preserve">at 10:00 a.m. EDT. To participate on this call, U.S. callers may dial toll-free (+1) 800-715-9871; international callers may dial direct </w:t>
      </w:r>
      <w:r>
        <w:rPr>
          <w:rFonts w:ascii="Times New Roman;serif" w:hAnsi="Times New Roman;serif"/>
          <w:b w:val="false"/>
          <w:color w:val="000000"/>
          <w:sz w:val="20"/>
          <w:shd w:fill="FFFFFF" w:val="clear"/>
        </w:rPr>
        <w:t>(+1) 646-307-1963</w:t>
      </w:r>
      <w:r>
        <w:rPr>
          <w:rFonts w:ascii="Times New Roman;serif" w:hAnsi="Times New Roman;serif"/>
          <w:b w:val="false"/>
          <w:color w:val="000000"/>
          <w:sz w:val="20"/>
        </w:rPr>
        <w:t xml:space="preserve">. The Access Code is 3701023. </w:t>
      </w:r>
    </w:p>
    <w:p>
      <w:pPr>
        <w:pStyle w:val="TextBody"/>
        <w:bidi w:val="0"/>
        <w:spacing w:lineRule="auto" w:line="288" w:before="240" w:after="283"/>
        <w:ind w:left="0" w:right="0" w:firstLine="360"/>
        <w:jc w:val="both"/>
        <w:rPr/>
      </w:pPr>
      <w:r>
        <w:rPr>
          <w:rFonts w:ascii="Times New Roman;serif" w:hAnsi="Times New Roman;serif"/>
          <w:b w:val="false"/>
          <w:color w:val="000000"/>
          <w:sz w:val="20"/>
        </w:rPr>
        <w:t xml:space="preserve">A replay of the conference call will be available from 2:00 p.m. EDT </w:t>
      </w:r>
      <w:r>
        <w:rPr>
          <w:rFonts w:ascii="Times New Roman;serif" w:hAnsi="Times New Roman;serif"/>
          <w:b w:val="false"/>
          <w:color w:val="000000"/>
          <w:sz w:val="20"/>
          <w:shd w:fill="FFFFFF" w:val="clear"/>
        </w:rPr>
        <w:t>August 4, 2026</w:t>
      </w:r>
      <w:r>
        <w:rPr>
          <w:color w:val="000000"/>
        </w:rPr>
        <w:t xml:space="preserve"> </w:t>
      </w:r>
      <w:r>
        <w:rPr>
          <w:rFonts w:ascii="Times New Roman;serif" w:hAnsi="Times New Roman;serif"/>
          <w:b w:val="false"/>
          <w:color w:val="000000"/>
          <w:sz w:val="20"/>
        </w:rPr>
        <w:t>until 11:59 p.m. EDT August 11, 2026. Callers may access the replay by calling (+1) 800-770-2030; international callers may dial direct (+1) 609-800-9909. The replay Access Code is 3701023.</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Access to live audio and a replay of the conference call will also be available on Urban One's corporate website at www.urban1.com. The replay will be made available on the website for seven days after the call.</w:t>
      </w:r>
    </w:p>
    <w:p>
      <w:pPr>
        <w:pStyle w:val="TextBody"/>
        <w:bidi w:val="0"/>
        <w:spacing w:lineRule="auto" w:line="288" w:before="240" w:after="283"/>
        <w:ind w:left="0" w:right="0" w:firstLine="360"/>
        <w:jc w:val="both"/>
        <w:rPr/>
      </w:pPr>
      <w:r>
        <w:rPr>
          <w:rFonts w:ascii="Times New Roman;serif" w:hAnsi="Times New Roman;serif"/>
          <w:b/>
          <w:color w:val="000000"/>
          <w:sz w:val="20"/>
        </w:rPr>
        <w:t>Urban One Inc.</w:t>
      </w:r>
      <w:r>
        <w:rPr>
          <w:color w:val="000000"/>
        </w:rPr>
        <w:t xml:space="preserve"> </w:t>
      </w:r>
      <w:r>
        <w:rPr>
          <w:rFonts w:ascii="Times New Roman;serif" w:hAnsi="Times New Roman;serif"/>
          <w:b w:val="false"/>
          <w:color w:val="000000"/>
          <w:sz w:val="20"/>
        </w:rPr>
        <w:t xml:space="preserve">(urban1.com), together with its subsidiaries, is the largest diversified media company that primarily targets Black Americans and urban consumers in the United States. The Company owns </w:t>
      </w:r>
      <w:r>
        <w:rPr>
          <w:rFonts w:ascii="Times New Roman;serif" w:hAnsi="Times New Roman;serif"/>
          <w:b/>
          <w:color w:val="000000"/>
          <w:sz w:val="20"/>
        </w:rPr>
        <w:t>TV One, LLC</w:t>
      </w:r>
      <w:r>
        <w:rPr>
          <w:color w:val="000000"/>
        </w:rPr>
        <w:t xml:space="preserve"> </w:t>
      </w:r>
      <w:r>
        <w:rPr>
          <w:rFonts w:ascii="Times New Roman;serif" w:hAnsi="Times New Roman;serif"/>
          <w:b w:val="false"/>
          <w:color w:val="000000"/>
          <w:sz w:val="20"/>
        </w:rPr>
        <w:t xml:space="preserve">(tvone.tv), a television network serving more than 30 million households, offering a broad range of original programming, classic series and movies designed to entertain, inform, and inspire a diverse audience of adult Black viewers. As of July 31, 2026, following the Service Broadcasting Group, LLC acquisition, the Company owned and/or operated 76 independently formatted, revenue producing broadcast stations (including 59 FM or AM stations, 15 HD stations, and the 2 low power television stations the Company operates), located in 13 of the most populous African-American markets in the United States. Through </w:t>
      </w:r>
      <w:r>
        <w:rPr>
          <w:rFonts w:ascii="Times New Roman;serif" w:hAnsi="Times New Roman;serif"/>
          <w:b/>
          <w:color w:val="000000"/>
          <w:sz w:val="20"/>
        </w:rPr>
        <w:t>Reach Media, Inc.</w:t>
      </w:r>
      <w:r>
        <w:rPr>
          <w:color w:val="000000"/>
        </w:rPr>
        <w:t xml:space="preserve"> </w:t>
      </w:r>
      <w:r>
        <w:rPr>
          <w:rFonts w:ascii="Times New Roman;serif" w:hAnsi="Times New Roman;serif"/>
          <w:b w:val="false"/>
          <w:color w:val="000000"/>
          <w:sz w:val="20"/>
        </w:rPr>
        <w:t xml:space="preserve">(blackamericaweb.com), the Company also operates syndicated programming including the Rickey Smiley Morning Show, and the DL Hughley Show. In addition to its radio and television broadcast assets, Urban One owns </w:t>
      </w:r>
      <w:r>
        <w:rPr>
          <w:rFonts w:ascii="Times New Roman;serif" w:hAnsi="Times New Roman;serif"/>
          <w:b/>
          <w:color w:val="000000"/>
          <w:sz w:val="20"/>
        </w:rPr>
        <w:t>iOne Digital</w:t>
      </w:r>
      <w:r>
        <w:rPr>
          <w:color w:val="000000"/>
        </w:rPr>
        <w:t xml:space="preserve"> </w:t>
      </w:r>
      <w:r>
        <w:rPr>
          <w:rFonts w:ascii="Times New Roman;serif" w:hAnsi="Times New Roman;serif"/>
          <w:b w:val="false"/>
          <w:color w:val="000000"/>
          <w:sz w:val="20"/>
        </w:rPr>
        <w:t>(ionedigital.com), our wholly owned digital platform serving the African American community through social content, news, information, and entertainment websites, including its Cassius, Bossip, HipHopWired and MadameNoire digital platforms and brands. Through our national multi-media operations, we provide advertisers with a unique and powerful delivery mechanism to the African American and urban audiences.</w:t>
      </w:r>
    </w:p>
    <w:p>
      <w:pPr>
        <w:pStyle w:val="TextBody"/>
        <w:bidi w:val="0"/>
        <w:spacing w:lineRule="auto" w:line="276" w:before="180" w:after="283"/>
        <w:jc w:val="both"/>
        <w:rPr>
          <w:rFonts w:ascii="Times New Roman;serif" w:hAnsi="Times New Roman;serif"/>
          <w:b/>
          <w:color w:val="000000"/>
          <w:sz w:val="16"/>
        </w:rPr>
      </w:pPr>
      <w:r>
        <w:rPr>
          <w:rFonts w:ascii="Times New Roman;serif" w:hAnsi="Times New Roman;serif"/>
          <w:b/>
          <w:color w:val="000000"/>
          <w:sz w:val="16"/>
        </w:rPr>
        <w:t>Notes:</w:t>
      </w:r>
    </w:p>
    <w:p>
      <w:pPr>
        <w:pStyle w:val="TextBody"/>
        <w:bidi w:val="0"/>
        <w:spacing w:lineRule="auto" w:line="288" w:before="120" w:after="283"/>
        <w:ind w:left="0" w:right="0" w:hanging="180"/>
        <w:jc w:val="both"/>
        <w:rPr/>
      </w:pPr>
      <w:r>
        <w:rPr>
          <w:rFonts w:ascii="Times New Roman;serif" w:hAnsi="Times New Roman;serif"/>
          <w:b w:val="false"/>
          <w:color w:val="000000"/>
          <w:sz w:val="10"/>
        </w:rPr>
        <w:t>1</w:t>
      </w:r>
      <w:r>
        <w:rPr>
          <w:color w:val="000000"/>
        </w:rPr>
        <w:t>“</w:t>
      </w:r>
      <w:r>
        <w:rPr>
          <w:rFonts w:ascii="Times New Roman;serif" w:hAnsi="Times New Roman;serif"/>
          <w:b w:val="false"/>
          <w:color w:val="000000"/>
          <w:sz w:val="16"/>
        </w:rPr>
        <w:t>Broadcast and digital operating income”: The radio broadcasting industry commonly refers to “station operating income” which consists of net loss before depreciation and amortization, income taxes, interest expense, interest and investment income, non-controlling interests in income of subsidiaries, other income, net, loss from unconsolidated joint venture, corporate selling, general and administrative expenses, stock-based compensation, impairment of goodwill and intangible assets, and (gain) loss on retirement of debt. However, given the diverse nature of our business, station operating income is not truly reflective of our multi-media operation and, therefore, we use the term “broadcast and digital operating income.” Broadcast and digital operating income is not a measure of financial performance under GAAP. Nevertheless, broadcast and digital operating income is a significant measure used by our management to evaluate the operating performance of our core operating segments. Broadcast and digital operating income provides helpful information about our results of operations, apart from expenses associated with our fixed assets and goodwill and intangible assets, income taxes, investments, impairment charges, debt financings and retirements, corporate overhead and stock-based compensation. Our measure of broadcast and digital operating income is similar to industry use of station operating income; however, it reflects our more diverse business and therefore is not completely analogous to “station operating income” or other similarly titled measures as used by other companies. Broadcast and digital operating income does not represent operating income or loss, or cash flow from operating activities, as those terms are defined under GAAP, and should not be considered as an alternative to those measurements as an indicator of our performance.</w:t>
      </w:r>
    </w:p>
    <w:p>
      <w:pPr>
        <w:pStyle w:val="TextBody"/>
        <w:bidi w:val="0"/>
        <w:spacing w:lineRule="auto" w:line="288" w:before="120" w:after="283"/>
        <w:ind w:left="0" w:right="0" w:hanging="180"/>
        <w:jc w:val="both"/>
        <w:rPr/>
      </w:pPr>
      <w:r>
        <w:rPr>
          <w:rFonts w:ascii="Times New Roman;serif" w:hAnsi="Times New Roman;serif"/>
          <w:b w:val="false"/>
          <w:color w:val="000000"/>
          <w:sz w:val="10"/>
        </w:rPr>
        <w:t>2</w:t>
      </w:r>
      <w:r>
        <w:rPr>
          <w:color w:val="000000"/>
        </w:rPr>
        <w:t>“</w:t>
      </w:r>
      <w:r>
        <w:rPr>
          <w:rFonts w:ascii="Times New Roman;serif" w:hAnsi="Times New Roman;serif"/>
          <w:b w:val="false"/>
          <w:color w:val="000000"/>
          <w:sz w:val="16"/>
        </w:rPr>
        <w:t>Adjusted EBITDA": Adjusted EBITDA consists of net (loss) income plus (1) depreciation and amortization, income taxes, interest expense, net income attributable to non-controlling interests, impairment of goodwill, intangible assets and long lived assets, stock-based compensation, gain on sale of business, (gain) loss on retirement of debt, corporate costs, non-recurring litigation settlement costs, non-recurring debt refinancing costs, severance-related costs, investment income, loss from ceased non-core business initiatives less (2) other income, net and interest and investment income. Net (loss) income before interest income, interest expense, income taxes, depreciation and amortization is commonly referred to in our business as “EBITDA.” Adjusted EBITDA and EBITDA are not measures of financial performance under GAAP. We believe Adjusted EBITDA is often a useful measure of a company’s operating performance and is a significant measure used by our management to evaluate the operating performance of our business. Accordingly, based on the previous description of Adjusted EBITDA, we believe that it provides useful information about the operating performance of our business, apart from the expenses associated with our fixed assets and goodwill and intangible assets, or capital structure. Adjusted EBITDA is frequently used as one of the measures for comparing businesses in the broadcasting industry, although our measure of Adjusted EBITDA may not be comparable to similarly titled measures of other companies, including, but not limited to the fact that our definition includes the results of all four of our operating segments (Radio Broadcasting, Reach Media, Digital, and Cable Television). Business activities unrelated to these four segments are included in an “all other” category which the Company refers to as “All other - corporate/eliminations.” Adjusted EBITDA and EBITDA do not purport to represent operating income or cash flow from operating activities, as those terms are defined under GAAP, and should not be considered as alternatives to those measurements as an indicator of our performance.</w:t>
      </w:r>
    </w:p>
    <w:p>
      <w:pPr>
        <w:pStyle w:val="TextBody"/>
        <w:bidi w:val="0"/>
        <w:spacing w:lineRule="auto" w:line="288" w:before="120" w:after="283"/>
        <w:ind w:left="0" w:right="0" w:hanging="180"/>
        <w:jc w:val="both"/>
        <w:rPr/>
      </w:pPr>
      <w:r>
        <w:rPr>
          <w:rFonts w:ascii="Times New Roman;serif" w:hAnsi="Times New Roman;serif"/>
          <w:b w:val="false"/>
          <w:color w:val="000000"/>
          <w:sz w:val="10"/>
        </w:rPr>
        <w:t>3</w:t>
      </w:r>
      <w:r>
        <w:rPr>
          <w:rFonts w:ascii="Times New Roman;serif" w:hAnsi="Times New Roman;serif"/>
          <w:b w:val="false"/>
          <w:color w:val="000000"/>
          <w:sz w:val="16"/>
        </w:rPr>
        <w:t>For the three months ended June 30, 2026 and 2025, Urban One had 4,470,542 and 4,473,831 shares of common stock outstanding on a weighted average basis (basic), respectively. For the six months ended June 30, 2026 and 2025 Urban One had 4,460,275 and 4,476,828 shares of common stock outstanding on a weighted average basis (basic), respectively.</w:t>
      </w:r>
    </w:p>
    <w:p>
      <w:pPr>
        <w:pStyle w:val="TextBody"/>
        <w:bidi w:val="0"/>
        <w:spacing w:lineRule="auto" w:line="288" w:before="120" w:after="283"/>
        <w:ind w:left="0" w:right="0" w:hanging="180"/>
        <w:jc w:val="both"/>
        <w:rPr/>
      </w:pPr>
      <w:r>
        <w:rPr>
          <w:rFonts w:ascii="Times New Roman;serif" w:hAnsi="Times New Roman;serif"/>
          <w:b w:val="false"/>
          <w:color w:val="000000"/>
          <w:sz w:val="10"/>
        </w:rPr>
        <w:t>4</w:t>
      </w:r>
      <w:r>
        <w:rPr>
          <w:rFonts w:ascii="Times New Roman;serif" w:hAnsi="Times New Roman;serif"/>
          <w:b w:val="false"/>
          <w:color w:val="000000"/>
          <w:sz w:val="16"/>
        </w:rPr>
        <w:t>For the three months ended June 30, 2026 and 2025, Urban One had 4,470,542 and 4,473,831 shares of common stock outstanding on a weighted average basis (fully diluted for outstanding stock awards), respectively. For the six months ended June 30, 2026 and 2025 Urban One had 4,460,275 and 4,476,828 shares of common stock outstanding on a weighted average basis (basic), respectively.</w:t>
      </w:r>
    </w:p>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6060</Words>
  <Characters>34103</Characters>
  <CharactersWithSpaces>38926</CharactersWithSpaces>
  <Paragraphs>1512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