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614680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560705</wp:posOffset>
            </wp:positionV>
            <wp:extent cx="7161530" cy="20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20320"/>
                    </a:xfrm>
                    <a:prstGeom prst="rect">
                      <a:avLst/>
                    </a:prstGeom>
                    <a:noFill/>
                  </pic:spPr>
                </pic:pic>
              </a:graphicData>
            </a:graphic>
          </wp:anchor>
        </w:drawing>
        <w:t>UNITED STATES</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1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1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Current Report</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Pursuant To Section 13 or 15(d)</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of the Securities Exchange Act of 1934</w:t>
      </w:r>
    </w:p>
    <w:p>
      <w:pPr>
        <w:spacing w:after="0" w:line="1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Date of Report (Date of earliest event reported): February 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2927350</wp:posOffset>
            </wp:positionH>
            <wp:positionV relativeFrom="paragraph">
              <wp:posOffset>101600</wp:posOffset>
            </wp:positionV>
            <wp:extent cx="1320800" cy="384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0800" cy="3841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URBAN ONE,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ectPr>
          <w:pgSz w:w="11900" w:h="16838" w:orient="portrait"/>
          <w:cols w:equalWidth="0" w:num="1">
            <w:col w:w="11280"/>
          </w:cols>
          <w:pgMar w:left="300" w:top="1094" w:right="319" w:bottom="1440" w:gutter="0" w:footer="0" w:header="0"/>
        </w:sectPr>
      </w:pPr>
    </w:p>
    <w:p>
      <w:pPr>
        <w:spacing w:after="0" w:line="184"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jc w:val="center"/>
        <w:ind w:right="2520"/>
        <w:spacing w:after="0"/>
        <w:rPr>
          <w:sz w:val="20"/>
          <w:szCs w:val="20"/>
          <w:color w:val="auto"/>
        </w:rPr>
      </w:pPr>
      <w:r>
        <w:rPr>
          <w:rFonts w:ascii="Times New Roman" w:cs="Times New Roman" w:eastAsia="Times New Roman" w:hAnsi="Times New Roman"/>
          <w:sz w:val="12"/>
          <w:szCs w:val="12"/>
          <w:b w:val="1"/>
          <w:bCs w:val="1"/>
          <w:color w:val="auto"/>
        </w:rPr>
        <w:t>0-25969</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52-1166660</w:t>
      </w:r>
    </w:p>
    <w:p>
      <w:pPr>
        <w:spacing w:after="0" w:line="53" w:lineRule="exact"/>
        <w:rPr>
          <w:sz w:val="24"/>
          <w:szCs w:val="24"/>
          <w:color w:val="auto"/>
        </w:rPr>
      </w:pPr>
    </w:p>
    <w:p>
      <w:pPr>
        <w:sectPr>
          <w:pgSz w:w="11900" w:h="16838" w:orient="portrait"/>
          <w:cols w:equalWidth="0" w:num="3">
            <w:col w:w="4720" w:space="720"/>
            <w:col w:w="2940" w:space="720"/>
            <w:col w:w="2180"/>
          </w:cols>
          <w:pgMar w:left="300" w:top="1094" w:right="319" w:bottom="1440" w:gutter="0" w:footer="0" w:header="0"/>
          <w:type w:val="continuous"/>
        </w:sectPr>
      </w:pPr>
    </w:p>
    <w:p>
      <w:pPr>
        <w:jc w:val="center"/>
        <w:ind w:right="540"/>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p>
      <w:pPr>
        <w:spacing w:after="0" w:line="27"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920"/>
        <w:spacing w:after="0"/>
        <w:rPr>
          <w:sz w:val="20"/>
          <w:szCs w:val="20"/>
          <w:color w:val="auto"/>
        </w:rPr>
      </w:pPr>
      <w:r>
        <w:rPr>
          <w:rFonts w:ascii="Times New Roman" w:cs="Times New Roman" w:eastAsia="Times New Roman" w:hAnsi="Times New Roman"/>
          <w:sz w:val="12"/>
          <w:szCs w:val="12"/>
          <w:b w:val="1"/>
          <w:bCs w:val="1"/>
          <w:color w:val="auto"/>
        </w:rPr>
        <w:t>(Commission File No.)</w:t>
      </w:r>
    </w:p>
    <w:p>
      <w:pPr>
        <w:spacing w:after="0" w:line="20" w:lineRule="exact"/>
        <w:rPr>
          <w:sz w:val="24"/>
          <w:szCs w:val="24"/>
          <w:color w:val="auto"/>
        </w:rPr>
      </w:pPr>
      <w:r>
        <w:rPr>
          <w:sz w:val="24"/>
          <w:szCs w:val="24"/>
          <w:color w:val="auto"/>
        </w:rPr>
        <w:br w:type="column"/>
      </w:r>
    </w:p>
    <w:p>
      <w:pPr>
        <w:jc w:val="center"/>
        <w:ind w:right="138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5"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20" w:space="720"/>
            <w:col w:w="3140" w:space="720"/>
            <w:col w:w="2380"/>
          </w:cols>
          <w:pgMar w:left="300" w:top="1094" w:right="319" w:bottom="1440" w:gutter="0" w:footer="0" w:header="0"/>
          <w:type w:val="continuous"/>
        </w:sectPr>
      </w:pPr>
    </w:p>
    <w:p>
      <w:pPr>
        <w:spacing w:after="0" w:line="27"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3"/>
          <w:szCs w:val="13"/>
          <w:b w:val="1"/>
          <w:bCs w:val="1"/>
          <w:color w:val="auto"/>
        </w:rPr>
        <w:t>1010 Wayne Avenue</w:t>
      </w:r>
    </w:p>
    <w:p>
      <w:pPr>
        <w:spacing w:after="0" w:line="15" w:lineRule="exact"/>
        <w:rPr>
          <w:sz w:val="24"/>
          <w:szCs w:val="24"/>
          <w:color w:val="auto"/>
        </w:rPr>
      </w:pPr>
    </w:p>
    <w:p>
      <w:pPr>
        <w:ind w:left="5360"/>
        <w:spacing w:after="0"/>
        <w:rPr>
          <w:sz w:val="20"/>
          <w:szCs w:val="20"/>
          <w:color w:val="auto"/>
        </w:rPr>
      </w:pPr>
      <w:r>
        <w:rPr>
          <w:rFonts w:ascii="Times New Roman" w:cs="Times New Roman" w:eastAsia="Times New Roman" w:hAnsi="Times New Roman"/>
          <w:sz w:val="13"/>
          <w:szCs w:val="13"/>
          <w:b w:val="1"/>
          <w:bCs w:val="1"/>
          <w:color w:val="auto"/>
        </w:rPr>
        <w:t>14th Floor</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Silver Spring, Maryland 20910</w:t>
      </w: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(301) 429-3200</w:t>
      </w:r>
    </w:p>
    <w:p>
      <w:pPr>
        <w:jc w:val="center"/>
        <w:ind w:right="-19"/>
        <w:spacing w:after="0"/>
        <w:rPr>
          <w:sz w:val="20"/>
          <w:szCs w:val="20"/>
          <w:color w:val="auto"/>
        </w:rPr>
      </w:pPr>
      <w:r>
        <w:rPr>
          <w:rFonts w:ascii="Times New Roman" w:cs="Times New Roman" w:eastAsia="Times New Roman" w:hAnsi="Times New Roman"/>
          <w:sz w:val="9"/>
          <w:szCs w:val="9"/>
          <w:b w:val="1"/>
          <w:bCs w:val="1"/>
          <w:color w:val="auto"/>
        </w:rPr>
        <w:t>(Address, Including Zip Code, and Telephone Number, Including Area Code, of Registrant’s Principal Executive Offices)</w:t>
      </w:r>
    </w:p>
    <w:p>
      <w:pPr>
        <w:spacing w:after="0" w:line="1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ectPr>
          <w:pgSz w:w="11900" w:h="16838" w:orient="portrait"/>
          <w:cols w:equalWidth="0" w:num="1">
            <w:col w:w="11280"/>
          </w:cols>
          <w:pgMar w:left="300" w:top="1094" w:right="319" w:bottom="1440" w:gutter="0" w:footer="0" w:header="0"/>
          <w:type w:val="continuous"/>
        </w:sectPr>
      </w:pPr>
    </w:p>
    <w:p>
      <w:pPr>
        <w:spacing w:after="0" w:line="164"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222" w:lineRule="exact"/>
        <w:rPr>
          <w:sz w:val="24"/>
          <w:szCs w:val="24"/>
          <w:color w:val="auto"/>
        </w:rPr>
      </w:pPr>
    </w:p>
    <w:p>
      <w:pPr>
        <w:ind w:left="340" w:hanging="321"/>
        <w:spacing w:after="0"/>
        <w:tabs>
          <w:tab w:leader="none" w:pos="340" w:val="left"/>
        </w:tabs>
        <w:numPr>
          <w:ilvl w:val="0"/>
          <w:numId w:val="1"/>
        </w:numPr>
        <w:rPr>
          <w:rFonts w:ascii="Wingdings" w:cs="Wingdings" w:eastAsia="Wingdings" w:hAnsi="Wingdings"/>
          <w:sz w:val="13"/>
          <w:szCs w:val="13"/>
          <w:b w:val="1"/>
          <w:bCs w:val="1"/>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158" w:lineRule="exact"/>
        <w:rPr>
          <w:rFonts w:ascii="Wingdings" w:cs="Wingdings" w:eastAsia="Wingdings" w:hAnsi="Wingdings"/>
          <w:sz w:val="13"/>
          <w:szCs w:val="13"/>
          <w:b w:val="1"/>
          <w:bCs w:val="1"/>
          <w:color w:val="auto"/>
        </w:rPr>
      </w:pPr>
    </w:p>
    <w:p>
      <w:pPr>
        <w:ind w:left="340" w:hanging="321"/>
        <w:spacing w:after="0"/>
        <w:tabs>
          <w:tab w:leader="none" w:pos="340" w:val="left"/>
        </w:tabs>
        <w:numPr>
          <w:ilvl w:val="0"/>
          <w:numId w:val="1"/>
        </w:numPr>
        <w:rPr>
          <w:rFonts w:ascii="Wingdings" w:cs="Wingdings" w:eastAsia="Wingdings" w:hAnsi="Wingdings"/>
          <w:sz w:val="13"/>
          <w:szCs w:val="13"/>
          <w:b w:val="1"/>
          <w:bCs w:val="1"/>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158" w:lineRule="exact"/>
        <w:rPr>
          <w:rFonts w:ascii="Wingdings" w:cs="Wingdings" w:eastAsia="Wingdings" w:hAnsi="Wingdings"/>
          <w:sz w:val="13"/>
          <w:szCs w:val="13"/>
          <w:b w:val="1"/>
          <w:bCs w:val="1"/>
          <w:color w:val="auto"/>
        </w:rPr>
      </w:pPr>
    </w:p>
    <w:p>
      <w:pPr>
        <w:ind w:left="340" w:hanging="321"/>
        <w:spacing w:after="0"/>
        <w:tabs>
          <w:tab w:leader="none" w:pos="340" w:val="left"/>
        </w:tabs>
        <w:numPr>
          <w:ilvl w:val="0"/>
          <w:numId w:val="1"/>
        </w:numPr>
        <w:rPr>
          <w:rFonts w:ascii="Wingdings" w:cs="Wingdings" w:eastAsia="Wingdings" w:hAnsi="Wingdings"/>
          <w:sz w:val="13"/>
          <w:szCs w:val="13"/>
          <w:b w:val="1"/>
          <w:bCs w:val="1"/>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158" w:lineRule="exact"/>
        <w:rPr>
          <w:rFonts w:ascii="Wingdings" w:cs="Wingdings" w:eastAsia="Wingdings" w:hAnsi="Wingdings"/>
          <w:sz w:val="13"/>
          <w:szCs w:val="13"/>
          <w:b w:val="1"/>
          <w:bCs w:val="1"/>
          <w:color w:val="auto"/>
        </w:rPr>
      </w:pPr>
    </w:p>
    <w:p>
      <w:pPr>
        <w:ind w:right="5240" w:firstLine="19"/>
        <w:spacing w:after="0" w:line="534" w:lineRule="auto"/>
        <w:tabs>
          <w:tab w:leader="none" w:pos="343" w:val="left"/>
        </w:tabs>
        <w:numPr>
          <w:ilvl w:val="0"/>
          <w:numId w:val="1"/>
        </w:numPr>
        <w:rPr>
          <w:rFonts w:ascii="Wingdings" w:cs="Wingdings" w:eastAsia="Wingdings" w:hAnsi="Wingdings"/>
          <w:sz w:val="13"/>
          <w:szCs w:val="13"/>
          <w:b w:val="1"/>
          <w:bCs w:val="1"/>
          <w:color w:val="auto"/>
        </w:rPr>
      </w:pPr>
      <w:r>
        <w:rPr>
          <w:rFonts w:ascii="Times New Roman" w:cs="Times New Roman" w:eastAsia="Times New Roman" w:hAnsi="Times New Roman"/>
          <w:sz w:val="13"/>
          <w:szCs w:val="13"/>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4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80" w:type="dxa"/>
            <w:vAlign w:val="bottom"/>
          </w:tcPr>
          <w:p>
            <w:pPr>
              <w:spacing w:after="0"/>
              <w:rPr>
                <w:sz w:val="15"/>
                <w:szCs w:val="15"/>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100" w:type="dxa"/>
            <w:vAlign w:val="bottom"/>
          </w:tcPr>
          <w:p>
            <w:pPr>
              <w:spacing w:after="0"/>
              <w:rPr>
                <w:sz w:val="15"/>
                <w:szCs w:val="15"/>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Name of each exchange on which registered</w:t>
            </w:r>
          </w:p>
        </w:tc>
      </w:tr>
      <w:tr>
        <w:trPr>
          <w:trHeight w:val="174"/>
        </w:trPr>
        <w:tc>
          <w:tcPr>
            <w:tcW w:w="44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7"/>
              </w:rPr>
              <w:t>Class A Common Stock, $0.001 Par Value</w:t>
            </w:r>
          </w:p>
        </w:tc>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UONE</w:t>
            </w:r>
          </w:p>
        </w:tc>
        <w:tc>
          <w:tcPr>
            <w:tcW w:w="43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NASDAQ Stock Market</w:t>
            </w:r>
          </w:p>
        </w:tc>
      </w:tr>
      <w:tr>
        <w:trPr>
          <w:trHeight w:val="191"/>
        </w:trPr>
        <w:tc>
          <w:tcPr>
            <w:tcW w:w="44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7"/>
              </w:rPr>
              <w:t>Class D Common Stock, $0.001 Par Value</w:t>
            </w:r>
          </w:p>
        </w:tc>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UONEK</w:t>
            </w:r>
          </w:p>
        </w:tc>
        <w:tc>
          <w:tcPr>
            <w:tcW w:w="43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NASDAQ Stock Market</w:t>
            </w:r>
          </w:p>
        </w:tc>
      </w:tr>
    </w:tbl>
    <w:p>
      <w:pPr>
        <w:spacing w:after="0" w:line="248" w:lineRule="exact"/>
        <w:rPr>
          <w:sz w:val="24"/>
          <w:szCs w:val="24"/>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under the Securities Exchange Act of 1934 (§240.12b-2 of this chapter).</w:t>
      </w:r>
    </w:p>
    <w:p>
      <w:pPr>
        <w:spacing w:after="0"/>
        <w:rPr>
          <w:sz w:val="20"/>
          <w:szCs w:val="20"/>
          <w:color w:val="auto"/>
        </w:rPr>
      </w:pPr>
      <w:r>
        <w:rPr>
          <w:rFonts w:ascii="Times New Roman" w:cs="Times New Roman" w:eastAsia="Times New Roman" w:hAnsi="Times New Roman"/>
          <w:sz w:val="13"/>
          <w:szCs w:val="13"/>
          <w:color w:val="auto"/>
        </w:rPr>
        <w:t xml:space="preserve">Emerging growth company </w:t>
      </w:r>
      <w:r>
        <w:rPr>
          <w:rFonts w:ascii="Wingdings" w:cs="Wingdings" w:eastAsia="Wingdings" w:hAnsi="Wingdings"/>
          <w:sz w:val="13"/>
          <w:szCs w:val="13"/>
          <w:b w:val="1"/>
          <w:bCs w:val="1"/>
          <w:color w:val="auto"/>
        </w:rPr>
        <w:t>o</w:t>
      </w:r>
    </w:p>
    <w:p>
      <w:pPr>
        <w:spacing w:after="0" w:line="163"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3"/>
          <w:szCs w:val="13"/>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600710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87630</wp:posOffset>
            </wp:positionV>
            <wp:extent cx="7161530"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203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46990</wp:posOffset>
            </wp:positionV>
            <wp:extent cx="71615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1094"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1.01 Entry into a Material Definitive Agreement</w:t>
      </w:r>
    </w:p>
    <w:p>
      <w:pPr>
        <w:spacing w:after="0" w:line="202"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4"/>
          <w:szCs w:val="14"/>
          <w:color w:val="auto"/>
        </w:rPr>
        <w:t>On February 9, 2026, Urban One, Inc. (the “Company”) entered into a First Amendment to Amended and Restated Credit Agreement (the “Amendment”). The Amendment amends that certain Amended and Restated Credit Agreement dated as of December 18, 2025, among the Company, the other borrowers party thereto from time to time, Bank of America, N.A., as Administrative Agent and each Lender from time-to-time party thereto (the “Current ABL Facility”). The Amendment makes certain changes to clarify the maturity date of the Current ABL Facility and defines the “Maturity Date” to mean the earlier to occur of (a) December 18, 2030, (b) the date that is ninety-one (91) days prior to the maturity or expiration date applicable to any Material Indebtedness (other than the Existing Notes) and (c) the date on which the Existing Notes Non-Springing Maturity Condition fails to be true.</w:t>
      </w:r>
    </w:p>
    <w:p>
      <w:pPr>
        <w:spacing w:after="0" w:line="164" w:lineRule="exact"/>
        <w:rPr>
          <w:sz w:val="20"/>
          <w:szCs w:val="20"/>
          <w:color w:val="auto"/>
        </w:rPr>
      </w:pPr>
    </w:p>
    <w:p>
      <w:pPr>
        <w:ind w:right="220" w:firstLine="255"/>
        <w:spacing w:after="0" w:line="287" w:lineRule="auto"/>
        <w:rPr>
          <w:sz w:val="20"/>
          <w:szCs w:val="20"/>
          <w:color w:val="auto"/>
        </w:rPr>
      </w:pPr>
      <w:r>
        <w:rPr>
          <w:rFonts w:ascii="Times New Roman" w:cs="Times New Roman" w:eastAsia="Times New Roman" w:hAnsi="Times New Roman"/>
          <w:sz w:val="14"/>
          <w:szCs w:val="14"/>
          <w:color w:val="auto"/>
        </w:rPr>
        <w:t>The foregoing description of the Amendment is not complete and is qualified in its entirety by reference to the full text of the First Amendment to Amended and Restated Credit Agreement, a copy of which is filed as Exhibit 4.1 to this Current Report on Form 8-K and is incorporated herein by reference.</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8.01 Other Events.</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On February 9, 2026, the Company received notice from the Nasdaq Stock Market, LLC (“Nasdaq”) confirming that it has regained compliance the Nasdaq listing requirement requiring listed companies to maintain a minimum bid price of $1.00. The letter noted that the Nasdaq Staff had determined that for the last ten consecutive business days, from January 23, 2026, to February 6, 2026, the closing bid price of the Company’s Class D Common Stock has been at $1.00 per share or greater.</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With the Company in compliance with the Minimum Bid Price Rule, Nasdaq has ceased any action to delist the Company’s securities and considers the matter closed.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14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(c)  Exhibits.</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Exhibit</w:t>
      </w:r>
    </w:p>
    <w:p>
      <w:pPr>
        <w:spacing w:after="0" w:line="22"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1"/>
          <w:szCs w:val="11"/>
          <w:b w:val="1"/>
          <w:bCs w:val="1"/>
          <w:color w:val="auto"/>
        </w:rPr>
        <w:t>Number</w:t>
      </w:r>
      <w:r>
        <w:rPr>
          <w:sz w:val="20"/>
          <w:szCs w:val="20"/>
          <w:color w:val="auto"/>
        </w:rPr>
        <w:tab/>
      </w:r>
      <w:r>
        <w:rPr>
          <w:rFonts w:ascii="Times New Roman" w:cs="Times New Roman" w:eastAsia="Times New Roman" w:hAnsi="Times New Roman"/>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1615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8"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4"/>
          <w:szCs w:val="14"/>
          <w:color w:val="auto"/>
        </w:rPr>
        <w:t>4.1</w:t>
      </w:r>
      <w:r>
        <w:rPr>
          <w:sz w:val="20"/>
          <w:szCs w:val="20"/>
          <w:color w:val="auto"/>
        </w:rPr>
        <w:tab/>
      </w:r>
      <w:r>
        <w:rPr>
          <w:rFonts w:ascii="Times New Roman" w:cs="Times New Roman" w:eastAsia="Times New Roman" w:hAnsi="Times New Roman"/>
          <w:sz w:val="14"/>
          <w:szCs w:val="14"/>
          <w:u w:val="single" w:color="auto"/>
          <w:color w:val="0000FF"/>
        </w:rPr>
        <w:t>First Amendment to Amended and Restated Credit Agreement dated as of February 9, 2026</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 Looking Statements</w:t>
      </w:r>
    </w:p>
    <w:p>
      <w:pPr>
        <w:spacing w:after="0" w:line="202"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The Company cautions that certain of the statements in this Form 8-K or in its press release may represent “forward-looking statements” as defined in Section 27A of the United States Securities Act of 1933, as amended, and Section 21E of the United States Securities Exchange Act of 1934, as amended. Any or all forward-looking statements may turn out to be wrong. Forward-looking statements are based on assumptions believed by the Company to be reasonable and speak only as of the date on which such statements are made. Without limiting the generality of the foregoing, words such as “expect,” “believe,” “anticipate,” “intend,” “plan,” “project,” “will” or “estimate,” or the negative or other variations thereof or comparable terminology are intended to identify forward-looking statements. Except as required by law, the Company undertakes no obligation to update such statements to reflect events or circumstances arising after such date and cautions investors not to place undue reliance on any such forward-looking statements. Forward-looking statements involve risks and uncertainties that could cause actual results to differ materially from those described in the statements based on a number of factors, including but not limited to the following: adverse effects which may arise in connection with the material weakness in our internal control over financial reporting or our failure to promptly remediate it; the extent of the impact of the slowing economy, the extent of the impact of any global pandemic or any other epidemic, disease outbreak, or public health emergency, the cost and availability of capital or credit facility borrowings; the ability to obtain equity financing; general market conditions; the adequacy of cash flows or available debt resources to fund operations; and other risk factors described from time to time in the Company’s Form 10-K, Form 10-Q, and Form 8-K reports (including all amendments to those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549910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91" w:right="31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8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URBAN ONE, INC.</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Peter D.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28575</wp:posOffset>
            </wp:positionV>
            <wp:extent cx="347789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77895" cy="6985"/>
                    </a:xfrm>
                    <a:prstGeom prst="rect">
                      <a:avLst/>
                    </a:prstGeom>
                    <a:noFill/>
                  </pic:spPr>
                </pic:pic>
              </a:graphicData>
            </a:graphic>
          </wp:anchor>
        </w:drawing>
      </w:r>
    </w:p>
    <w:p>
      <w:pPr>
        <w:spacing w:after="0" w:line="42"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4"/>
          <w:szCs w:val="14"/>
          <w:color w:val="auto"/>
        </w:rPr>
        <w:t>February 11, 2026</w:t>
      </w:r>
      <w:r>
        <w:rPr>
          <w:sz w:val="20"/>
          <w:szCs w:val="20"/>
          <w:color w:val="auto"/>
        </w:rPr>
        <w:tab/>
      </w:r>
      <w:r>
        <w:rPr>
          <w:rFonts w:ascii="Times New Roman" w:cs="Times New Roman" w:eastAsia="Times New Roman" w:hAnsi="Times New Roman"/>
          <w:sz w:val="14"/>
          <w:szCs w:val="14"/>
          <w:color w:val="auto"/>
        </w:rPr>
        <w:t>Peter D. Thompson</w:t>
      </w:r>
    </w:p>
    <w:p>
      <w:pPr>
        <w:spacing w:after="0" w:line="5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Chief Financial Officer (Principal Accounting Officer)</w:t>
      </w:r>
    </w:p>
    <w:p>
      <w:pPr>
        <w:sectPr>
          <w:pgSz w:w="11900" w:h="16838" w:orient="portrait"/>
          <w:cols w:equalWidth="0" w:num="1">
            <w:col w:w="10320"/>
          </w:cols>
          <w:pgMar w:left="560" w:top="897" w:right="10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304800</wp:posOffset>
            </wp:positionV>
            <wp:extent cx="7102475" cy="102997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299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594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5594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6889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5688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6959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5695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6959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5695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36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5650" cy="5736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36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5650" cy="5736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36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05650" cy="5736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35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05650" cy="5735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42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05650" cy="5742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36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05650" cy="5736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42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05650" cy="5742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35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05650" cy="5735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35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05650" cy="5735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35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05650" cy="5735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36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05650" cy="5736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35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05650" cy="5735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42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05650" cy="5742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35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05650" cy="5735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35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05650" cy="5735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35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05650" cy="5735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42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05650" cy="5742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42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05650" cy="5742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42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05650" cy="5742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42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05650" cy="5742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42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05650" cy="5742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42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05650" cy="5742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36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05650" cy="5736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635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05650" cy="8363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2026-02-11T07:26:44Z</dcterms:created>
  <dcterms:modified xsi:type="dcterms:W3CDTF">2026-02-11T07:26:44Z</dcterms:modified>
</cp:coreProperties>
</file>