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34"/>
        </w:rPr>
      </w:pPr>
      <w:r>
        <w:rPr>
          <w:rFonts w:ascii="Times New Roman;serif" w:hAnsi="Times New Roman;serif"/>
          <w:b/>
          <w:color w:val="000000"/>
          <w:sz w:val="34"/>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No. 0-25969</w:t>
      </w:r>
    </w:p>
    <w:p>
      <w:pPr>
        <w:pStyle w:val="TextBody"/>
        <w:bidi w:val="0"/>
        <w:spacing w:before="0" w:after="120"/>
        <w:jc w:val="center"/>
        <w:rPr/>
      </w:pPr>
      <w:r>
        <w:rPr/>
        <w:drawing>
          <wp:inline distT="0" distB="0" distL="0" distR="0">
            <wp:extent cx="18669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6"/>
        </w:rPr>
      </w:pPr>
      <w:r>
        <w:rPr>
          <w:rFonts w:ascii="Times New Roman;serif" w:hAnsi="Times New Roman;serif"/>
          <w:b/>
          <w:color w:val="000000"/>
          <w:sz w:val="46"/>
        </w:rPr>
        <w:t>URBAN ONE, INC.</w:t>
      </w:r>
    </w:p>
    <w:p>
      <w:pPr>
        <w:pStyle w:val="TextBody"/>
        <w:bidi w:val="0"/>
        <w:spacing w:lineRule="auto" w:line="288" w:before="0" w:after="12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4333" w:type="dxa"/>
        <w:jc w:val="left"/>
        <w:tblInd w:w="0" w:type="dxa"/>
        <w:tblLayout w:type="fixed"/>
        <w:tblCellMar>
          <w:top w:w="28" w:type="dxa"/>
          <w:left w:w="28" w:type="dxa"/>
          <w:bottom w:w="28" w:type="dxa"/>
          <w:right w:w="28" w:type="dxa"/>
        </w:tblCellMar>
      </w:tblPr>
      <w:tblGrid>
        <w:gridCol w:w="965"/>
        <w:gridCol w:w="847"/>
        <w:gridCol w:w="857"/>
        <w:gridCol w:w="486"/>
        <w:gridCol w:w="486"/>
        <w:gridCol w:w="692"/>
      </w:tblGrid>
      <w:tr>
        <w:trPr/>
        <w:tc>
          <w:tcPr>
            <w:tcW w:w="9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52-1166660</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incorporation or organization)</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Identification No.)</w:t>
            </w:r>
          </w:p>
        </w:tc>
      </w:tr>
    </w:tbl>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1010 Wayne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14th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Silver Spring, Maryland 20910</w:t>
      </w:r>
    </w:p>
    <w:p>
      <w:pPr>
        <w:pStyle w:val="TextBody"/>
        <w:bidi w:val="0"/>
        <w:spacing w:lineRule="auto" w:line="288" w:before="0" w:after="120"/>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(301) 429-3200</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522" w:type="dxa"/>
        <w:jc w:val="left"/>
        <w:tblInd w:w="0" w:type="dxa"/>
        <w:tblLayout w:type="fixed"/>
        <w:tblCellMar>
          <w:top w:w="28" w:type="dxa"/>
          <w:left w:w="28" w:type="dxa"/>
          <w:bottom w:w="28" w:type="dxa"/>
          <w:right w:w="28" w:type="dxa"/>
        </w:tblCellMar>
      </w:tblPr>
      <w:tblGrid>
        <w:gridCol w:w="737"/>
        <w:gridCol w:w="646"/>
        <w:gridCol w:w="656"/>
        <w:gridCol w:w="109"/>
        <w:gridCol w:w="109"/>
        <w:gridCol w:w="109"/>
        <w:gridCol w:w="484"/>
        <w:gridCol w:w="484"/>
        <w:gridCol w:w="486"/>
        <w:gridCol w:w="109"/>
        <w:gridCol w:w="109"/>
        <w:gridCol w:w="109"/>
        <w:gridCol w:w="988"/>
        <w:gridCol w:w="988"/>
        <w:gridCol w:w="1399"/>
      </w:tblGrid>
      <w:tr>
        <w:trPr/>
        <w:tc>
          <w:tcPr>
            <w:tcW w:w="7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UONEK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w:t>
            </w:r>
          </w:p>
        </w:tc>
      </w:tr>
    </w:tbl>
    <w:p>
      <w:pPr>
        <w:pStyle w:val="TextBody"/>
        <w:bidi w:val="0"/>
        <w:spacing w:before="0" w:after="120"/>
        <w:ind w:left="0" w:right="0" w:firstLine="360"/>
        <w:jc w:val="both"/>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w:t>
      </w:r>
      <w:r>
        <w:rPr>
          <w:rFonts w:ascii="Times New Roman;serif" w:hAnsi="Times New Roman;serif"/>
          <w:b w:val="false"/>
          <w:color w:val="000000"/>
          <w:sz w:val="18"/>
        </w:rPr>
        <w:t xml:space="preserv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20"/>
        </w:rPr>
        <w:t>No</w:t>
      </w:r>
      <w:r>
        <w:rPr>
          <w:color w:val="000000"/>
        </w:rPr>
        <w:t xml:space="preserve"> </w:t>
      </w:r>
      <w:r>
        <w:rPr>
          <w:rFonts w:ascii="Wingdings;sans-serif" w:hAnsi="Wingdings;sans-serif"/>
          <w:b w:val="false"/>
          <w:color w:val="000000"/>
          <w:sz w:val="18"/>
        </w:rPr>
        <w:t>o</w:t>
      </w:r>
    </w:p>
    <w:p>
      <w:pPr>
        <w:pStyle w:val="TextBody"/>
        <w:bidi w:val="0"/>
        <w:spacing w:lineRule="auto" w:line="288" w:before="0" w:after="120"/>
        <w:ind w:left="0" w:right="0" w:firstLine="72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20"/>
        </w:rPr>
        <w:t>No</w:t>
      </w:r>
      <w:r>
        <w:rPr>
          <w:color w:val="000000"/>
        </w:rPr>
        <w:t xml:space="preserve"> </w:t>
      </w:r>
      <w:r>
        <w:rPr>
          <w:rFonts w:ascii="Wingdings;sans-serif" w:hAnsi="Wingdings;sans-serif"/>
          <w:b w:val="false"/>
          <w:color w:val="000000"/>
          <w:sz w:val="18"/>
        </w:rPr>
        <w:t>o</w:t>
      </w:r>
    </w:p>
    <w:p>
      <w:pPr>
        <w:pStyle w:val="TextBody"/>
        <w:bidi w:val="0"/>
        <w:spacing w:lineRule="auto" w:line="288" w:before="0" w:after="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4553" w:type="dxa"/>
        <w:jc w:val="center"/>
        <w:tblInd w:w="0" w:type="dxa"/>
        <w:tblLayout w:type="fixed"/>
        <w:tblCellMar>
          <w:top w:w="28" w:type="dxa"/>
          <w:left w:w="28" w:type="dxa"/>
          <w:bottom w:w="28" w:type="dxa"/>
          <w:right w:w="28" w:type="dxa"/>
        </w:tblCellMar>
      </w:tblPr>
      <w:tblGrid>
        <w:gridCol w:w="658"/>
        <w:gridCol w:w="575"/>
        <w:gridCol w:w="581"/>
        <w:gridCol w:w="109"/>
        <w:gridCol w:w="109"/>
        <w:gridCol w:w="109"/>
        <w:gridCol w:w="679"/>
        <w:gridCol w:w="679"/>
        <w:gridCol w:w="682"/>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Wingdings;sans-serif" w:hAnsi="Wingdings;sans-serif"/>
                <w:b w:val="false"/>
                <w:color w:val="000000"/>
                <w:sz w:val="18"/>
              </w:rPr>
            </w:pPr>
            <w:r>
              <w:rPr>
                <w:rFonts w:ascii="Wingdings;sans-serif" w:hAnsi="Wingdings;sans-serif"/>
                <w:b w:val="false"/>
                <w:color w:val="000000"/>
                <w:sz w:val="18"/>
              </w:rPr>
              <w:t>o</w:t>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20" w:after="120"/>
        <w:ind w:left="0" w:right="0" w:firstLine="7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120"/>
        <w:ind w:left="0" w:right="0" w:firstLine="720"/>
        <w:jc w:val="both"/>
        <w:rPr/>
      </w:pPr>
      <w:r>
        <w:rPr>
          <w:rFonts w:ascii="Times New Roman;serif" w:hAnsi="Times New Roman;serif"/>
          <w:b w:val="false"/>
          <w:color w:val="000000"/>
          <w:sz w:val="20"/>
        </w:rPr>
        <w:t>Indicate by check mark whether the registrant is a shell company as defined in Rule 12b-2 of the Exchange Act. Yes</w:t>
      </w:r>
      <w:r>
        <w:rPr>
          <w:color w:val="000000"/>
        </w:rPr>
        <w:t xml:space="preserve">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20"/>
        </w:rPr>
        <w:t>No</w:t>
      </w:r>
      <w:r>
        <w:rPr>
          <w:color w:val="000000"/>
        </w:rPr>
        <w:t xml:space="preserve"> </w:t>
      </w:r>
      <w:r>
        <w:rPr>
          <w:rFonts w:ascii="Wingdings;sans-serif" w:hAnsi="Wingdings;sans-serif"/>
          <w:b w:val="false"/>
          <w:color w:val="000000"/>
          <w:sz w:val="18"/>
        </w:rPr>
        <w:t>x</w:t>
      </w:r>
      <w:r>
        <w:rPr>
          <w:color w:val="000000"/>
        </w:rPr>
        <w:t xml:space="preserve"> </w:t>
      </w:r>
    </w:p>
    <w:p>
      <w:pPr>
        <w:pStyle w:val="TextBody"/>
        <w:bidi w:val="0"/>
        <w:spacing w:lineRule="auto" w:line="288" w:before="0" w:after="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6026" w:type="dxa"/>
        <w:jc w:val="center"/>
        <w:tblInd w:w="0" w:type="dxa"/>
        <w:tblLayout w:type="fixed"/>
        <w:tblCellMar>
          <w:top w:w="28" w:type="dxa"/>
          <w:left w:w="28" w:type="dxa"/>
          <w:bottom w:w="28" w:type="dxa"/>
          <w:right w:w="28" w:type="dxa"/>
        </w:tblCellMar>
      </w:tblPr>
      <w:tblGrid>
        <w:gridCol w:w="1233"/>
        <w:gridCol w:w="1087"/>
        <w:gridCol w:w="1099"/>
        <w:gridCol w:w="109"/>
        <w:gridCol w:w="109"/>
        <w:gridCol w:w="109"/>
        <w:gridCol w:w="666"/>
        <w:gridCol w:w="666"/>
        <w:gridCol w:w="948"/>
      </w:tblGrid>
      <w:tr>
        <w:trPr/>
        <w:tc>
          <w:tcPr>
            <w:tcW w:w="123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 at July 30, 2026</w:t>
            </w:r>
          </w:p>
        </w:tc>
      </w:tr>
      <w:tr>
        <w:trPr/>
        <w:tc>
          <w:tcPr>
            <w:tcW w:w="34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615,000</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B Common Stock, $.001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286,183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C Common Stock, $.001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204,501</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D Common Stock, $.001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3,509,280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center"/>
                        <w:rPr/>
                      </w:pPr>
                      <w:r>
                        <w:rPr/>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34"/>
        <w:gridCol w:w="382"/>
        <w:gridCol w:w="385"/>
        <w:gridCol w:w="2809"/>
        <w:gridCol w:w="2809"/>
        <w:gridCol w:w="2814"/>
        <w:gridCol w:w="167"/>
        <w:gridCol w:w="167"/>
        <w:gridCol w:w="238"/>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432"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3">
              <w:r>
                <w:rPr>
                  <w:rStyle w:val="InternetLink"/>
                  <w:rFonts w:ascii="Times New Roman;serif" w:hAnsi="Times New Roman;serif"/>
                  <w:b/>
                  <w:strike w:val="false"/>
                  <w:dstrike w:val="false"/>
                  <w:color w:val="000000"/>
                  <w:sz w:val="20"/>
                  <w:u w:val="none"/>
                  <w:effect w:val="none"/>
                </w:rPr>
                <w:t>PART I. FINANCIAL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6">
              <w:r>
                <w:rPr>
                  <w:rStyle w:val="InternetLink"/>
                  <w:rFonts w:ascii="Times New Roman;serif" w:hAnsi="Times New Roman;serif"/>
                  <w:b w:val="false"/>
                  <w:color w:val="0000EE"/>
                  <w:sz w:val="20"/>
                  <w:u w:val="single"/>
                </w:rPr>
                <w:t>Item 1.</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6288400dc849bb930a6b2e1aea9fbb_16">
              <w:r>
                <w:rPr>
                  <w:rStyle w:val="InternetLink"/>
                  <w:rFonts w:ascii="Times New Roman;serif" w:hAnsi="Times New Roman;serif"/>
                  <w:b w:val="false"/>
                  <w:color w:val="000080"/>
                  <w:sz w:val="20"/>
                  <w:u w:val="single"/>
                </w:rPr>
                <w:t xml:space="preserve">Condensed Consolidated Statements of Operations for the </w:t>
              </w:r>
            </w:hyperlink>
            <w:hyperlink w:anchor="i596288400dc849bb930a6b2e1aea9fbb_16">
              <w:r>
                <w:rPr>
                  <w:rStyle w:val="InternetLink"/>
                  <w:rFonts w:ascii="Times New Roman;serif" w:hAnsi="Times New Roman;serif"/>
                  <w:b w:val="false"/>
                  <w:color w:val="000080"/>
                  <w:sz w:val="20"/>
                  <w:u w:val="single"/>
                </w:rPr>
                <w:t>T</w:t>
              </w:r>
            </w:hyperlink>
            <w:hyperlink w:anchor="i596288400dc849bb930a6b2e1aea9fbb_16">
              <w:r>
                <w:rPr>
                  <w:rStyle w:val="InternetLink"/>
                  <w:rFonts w:ascii="Times New Roman;serif" w:hAnsi="Times New Roman;serif"/>
                  <w:b w:val="false"/>
                  <w:color w:val="000080"/>
                  <w:sz w:val="20"/>
                  <w:u w:val="single"/>
                </w:rPr>
                <w:t>hree</w:t>
              </w:r>
            </w:hyperlink>
            <w:hyperlink w:anchor="i596288400dc849bb930a6b2e1aea9fbb_16">
              <w:r>
                <w:rPr>
                  <w:rStyle w:val="InternetLink"/>
                  <w:rFonts w:ascii="Times New Roman;serif" w:hAnsi="Times New Roman;serif"/>
                  <w:b w:val="false"/>
                  <w:color w:val="000080"/>
                  <w:sz w:val="20"/>
                  <w:u w:val="single"/>
                </w:rPr>
                <w:t xml:space="preserve"> and </w:t>
              </w:r>
            </w:hyperlink>
            <w:hyperlink w:anchor="i596288400dc849bb930a6b2e1aea9fbb_16">
              <w:r>
                <w:rPr>
                  <w:rStyle w:val="InternetLink"/>
                  <w:rFonts w:ascii="Times New Roman;serif" w:hAnsi="Times New Roman;serif"/>
                  <w:b w:val="false"/>
                  <w:color w:val="000080"/>
                  <w:sz w:val="20"/>
                  <w:u w:val="single"/>
                </w:rPr>
                <w:t>S</w:t>
              </w:r>
            </w:hyperlink>
            <w:hyperlink w:anchor="i596288400dc849bb930a6b2e1aea9fbb_16">
              <w:r>
                <w:rPr>
                  <w:rStyle w:val="InternetLink"/>
                  <w:rFonts w:ascii="Times New Roman;serif" w:hAnsi="Times New Roman;serif"/>
                  <w:b w:val="false"/>
                  <w:color w:val="000080"/>
                  <w:sz w:val="20"/>
                  <w:u w:val="single"/>
                </w:rPr>
                <w:t>ix</w:t>
              </w:r>
            </w:hyperlink>
            <w:hyperlink w:anchor="i596288400dc849bb930a6b2e1aea9fbb_16">
              <w:r>
                <w:rPr>
                  <w:rStyle w:val="InternetLink"/>
                  <w:rFonts w:ascii="Times New Roman;serif" w:hAnsi="Times New Roman;serif"/>
                  <w:b w:val="false"/>
                  <w:color w:val="000080"/>
                  <w:sz w:val="20"/>
                  <w:u w:val="single"/>
                </w:rPr>
                <w:t xml:space="preserve"> </w:t>
              </w:r>
            </w:hyperlink>
            <w:hyperlink w:anchor="i596288400dc849bb930a6b2e1aea9fbb_16">
              <w:r>
                <w:rPr>
                  <w:rStyle w:val="InternetLink"/>
                  <w:rFonts w:ascii="Times New Roman;serif" w:hAnsi="Times New Roman;serif"/>
                  <w:b w:val="false"/>
                  <w:color w:val="000080"/>
                  <w:sz w:val="20"/>
                  <w:u w:val="single"/>
                </w:rPr>
                <w:t>M</w:t>
              </w:r>
            </w:hyperlink>
            <w:hyperlink w:anchor="i596288400dc849bb930a6b2e1aea9fbb_16">
              <w:r>
                <w:rPr>
                  <w:rStyle w:val="InternetLink"/>
                  <w:rFonts w:ascii="Times New Roman;serif" w:hAnsi="Times New Roman;serif"/>
                  <w:b w:val="false"/>
                  <w:color w:val="000080"/>
                  <w:sz w:val="20"/>
                  <w:u w:val="single"/>
                </w:rPr>
                <w:t xml:space="preserve">onths </w:t>
              </w:r>
            </w:hyperlink>
            <w:hyperlink w:anchor="i596288400dc849bb930a6b2e1aea9fbb_16">
              <w:r>
                <w:rPr>
                  <w:rStyle w:val="InternetLink"/>
                  <w:rFonts w:ascii="Times New Roman;serif" w:hAnsi="Times New Roman;serif"/>
                  <w:b w:val="false"/>
                  <w:color w:val="000080"/>
                  <w:sz w:val="20"/>
                  <w:u w:val="single"/>
                </w:rPr>
                <w:t>E</w:t>
              </w:r>
            </w:hyperlink>
            <w:hyperlink w:anchor="i596288400dc849bb930a6b2e1aea9fbb_16">
              <w:r>
                <w:rPr>
                  <w:rStyle w:val="InternetLink"/>
                  <w:rFonts w:ascii="Times New Roman;serif" w:hAnsi="Times New Roman;serif"/>
                  <w:b w:val="false"/>
                  <w:color w:val="000080"/>
                  <w:sz w:val="20"/>
                  <w:u w:val="single"/>
                </w:rPr>
                <w:t>nded</w:t>
              </w:r>
            </w:hyperlink>
            <w:hyperlink w:anchor="i596288400dc849bb930a6b2e1aea9fbb_16">
              <w:r>
                <w:rPr>
                  <w:rStyle w:val="InternetLink"/>
                  <w:rFonts w:ascii="Times New Roman;serif" w:hAnsi="Times New Roman;serif"/>
                  <w:b w:val="false"/>
                  <w:color w:val="000080"/>
                  <w:sz w:val="20"/>
                  <w:u w:val="single"/>
                </w:rPr>
                <w:t xml:space="preserve"> June 30</w:t>
              </w:r>
            </w:hyperlink>
            <w:hyperlink w:anchor="i596288400dc849bb930a6b2e1aea9fbb_16">
              <w:r>
                <w:rPr>
                  <w:rStyle w:val="InternetLink"/>
                  <w:rFonts w:ascii="Times New Roman;serif" w:hAnsi="Times New Roman;serif"/>
                  <w:b w:val="false"/>
                  <w:color w:val="000080"/>
                  <w:sz w:val="20"/>
                  <w:u w:val="single"/>
                </w:rPr>
                <w:t>, 2026 and 2025 (Unaudited)</w:t>
              </w:r>
            </w:hyperlink>
          </w:p>
        </w:tc>
        <w:tc>
          <w:tcPr>
            <w:tcW w:w="5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i596288400dc849bb930a6b2e1aea9fbb_16">
              <w:r>
                <w:rPr>
                  <w:rStyle w:val="InternetLink"/>
                  <w:rFonts w:ascii="Times New Roman;serif" w:hAnsi="Times New Roman;serif"/>
                  <w:b w:val="false"/>
                  <w:strike w:val="false"/>
                  <w:dstrike w:val="false"/>
                  <w:color w:val="000000"/>
                  <w:sz w:val="20"/>
                  <w:u w:val="none"/>
                  <w:effect w:val="none"/>
                </w:rPr>
                <w:t>5</w:t>
              </w:r>
            </w:hyperlink>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6288400dc849bb930a6b2e1aea9fbb_22">
              <w:r>
                <w:rPr>
                  <w:rStyle w:val="InternetLink"/>
                  <w:rFonts w:ascii="Times New Roman;serif" w:hAnsi="Times New Roman;serif"/>
                  <w:b w:val="false"/>
                  <w:color w:val="000080"/>
                  <w:sz w:val="20"/>
                  <w:u w:val="single"/>
                </w:rPr>
                <w:t xml:space="preserve">Condensed Consolidated Statements of Comprehensive Loss for the </w:t>
              </w:r>
            </w:hyperlink>
            <w:hyperlink w:anchor="i596288400dc849bb930a6b2e1aea9fbb_22">
              <w:r>
                <w:rPr>
                  <w:rStyle w:val="InternetLink"/>
                  <w:rFonts w:ascii="Times New Roman;serif" w:hAnsi="Times New Roman;serif"/>
                  <w:b w:val="false"/>
                  <w:color w:val="000080"/>
                  <w:sz w:val="20"/>
                  <w:u w:val="single"/>
                </w:rPr>
                <w:t>T</w:t>
              </w:r>
            </w:hyperlink>
            <w:hyperlink w:anchor="i596288400dc849bb930a6b2e1aea9fbb_22">
              <w:r>
                <w:rPr>
                  <w:rStyle w:val="InternetLink"/>
                  <w:rFonts w:ascii="Times New Roman;serif" w:hAnsi="Times New Roman;serif"/>
                  <w:b w:val="false"/>
                  <w:color w:val="000080"/>
                  <w:sz w:val="20"/>
                  <w:u w:val="single"/>
                </w:rPr>
                <w:t>hree</w:t>
              </w:r>
            </w:hyperlink>
            <w:hyperlink w:anchor="i596288400dc849bb930a6b2e1aea9fbb_22">
              <w:r>
                <w:rPr>
                  <w:rStyle w:val="InternetLink"/>
                  <w:rFonts w:ascii="Times New Roman;serif" w:hAnsi="Times New Roman;serif"/>
                  <w:b w:val="false"/>
                  <w:color w:val="000080"/>
                  <w:sz w:val="20"/>
                  <w:u w:val="single"/>
                </w:rPr>
                <w:t xml:space="preserve"> and </w:t>
              </w:r>
            </w:hyperlink>
            <w:hyperlink w:anchor="i596288400dc849bb930a6b2e1aea9fbb_22">
              <w:r>
                <w:rPr>
                  <w:rStyle w:val="InternetLink"/>
                  <w:rFonts w:ascii="Times New Roman;serif" w:hAnsi="Times New Roman;serif"/>
                  <w:b w:val="false"/>
                  <w:color w:val="000080"/>
                  <w:sz w:val="20"/>
                  <w:u w:val="single"/>
                </w:rPr>
                <w:t>S</w:t>
              </w:r>
            </w:hyperlink>
            <w:hyperlink w:anchor="i596288400dc849bb930a6b2e1aea9fbb_22">
              <w:r>
                <w:rPr>
                  <w:rStyle w:val="InternetLink"/>
                  <w:rFonts w:ascii="Times New Roman;serif" w:hAnsi="Times New Roman;serif"/>
                  <w:b w:val="false"/>
                  <w:color w:val="000080"/>
                  <w:sz w:val="20"/>
                  <w:u w:val="single"/>
                </w:rPr>
                <w:t>ix</w:t>
              </w:r>
            </w:hyperlink>
            <w:hyperlink w:anchor="i596288400dc849bb930a6b2e1aea9fbb_22">
              <w:r>
                <w:rPr>
                  <w:rStyle w:val="InternetLink"/>
                  <w:rFonts w:ascii="Times New Roman;serif" w:hAnsi="Times New Roman;serif"/>
                  <w:b w:val="false"/>
                  <w:color w:val="000080"/>
                  <w:sz w:val="20"/>
                  <w:u w:val="single"/>
                </w:rPr>
                <w:t xml:space="preserve"> </w:t>
              </w:r>
            </w:hyperlink>
            <w:hyperlink w:anchor="i596288400dc849bb930a6b2e1aea9fbb_22">
              <w:r>
                <w:rPr>
                  <w:rStyle w:val="InternetLink"/>
                  <w:rFonts w:ascii="Times New Roman;serif" w:hAnsi="Times New Roman;serif"/>
                  <w:b w:val="false"/>
                  <w:color w:val="000080"/>
                  <w:sz w:val="20"/>
                  <w:u w:val="single"/>
                </w:rPr>
                <w:t>M</w:t>
              </w:r>
            </w:hyperlink>
            <w:hyperlink w:anchor="i596288400dc849bb930a6b2e1aea9fbb_22">
              <w:r>
                <w:rPr>
                  <w:rStyle w:val="InternetLink"/>
                  <w:rFonts w:ascii="Times New Roman;serif" w:hAnsi="Times New Roman;serif"/>
                  <w:b w:val="false"/>
                  <w:color w:val="000080"/>
                  <w:sz w:val="20"/>
                  <w:u w:val="single"/>
                </w:rPr>
                <w:t xml:space="preserve">onths </w:t>
              </w:r>
            </w:hyperlink>
            <w:hyperlink w:anchor="i596288400dc849bb930a6b2e1aea9fbb_22">
              <w:r>
                <w:rPr>
                  <w:rStyle w:val="InternetLink"/>
                  <w:rFonts w:ascii="Times New Roman;serif" w:hAnsi="Times New Roman;serif"/>
                  <w:b w:val="false"/>
                  <w:color w:val="000080"/>
                  <w:sz w:val="20"/>
                  <w:u w:val="single"/>
                </w:rPr>
                <w:t>E</w:t>
              </w:r>
            </w:hyperlink>
            <w:hyperlink w:anchor="i596288400dc849bb930a6b2e1aea9fbb_22">
              <w:r>
                <w:rPr>
                  <w:rStyle w:val="InternetLink"/>
                  <w:rFonts w:ascii="Times New Roman;serif" w:hAnsi="Times New Roman;serif"/>
                  <w:b w:val="false"/>
                  <w:color w:val="000080"/>
                  <w:sz w:val="20"/>
                  <w:u w:val="single"/>
                </w:rPr>
                <w:t xml:space="preserve">nded </w:t>
              </w:r>
            </w:hyperlink>
            <w:hyperlink w:anchor="i596288400dc849bb930a6b2e1aea9fbb_22">
              <w:r>
                <w:rPr>
                  <w:rStyle w:val="InternetLink"/>
                  <w:rFonts w:ascii="Times New Roman;serif" w:hAnsi="Times New Roman;serif"/>
                  <w:b w:val="false"/>
                  <w:color w:val="000080"/>
                  <w:sz w:val="20"/>
                  <w:u w:val="single"/>
                </w:rPr>
                <w:t>June 30</w:t>
              </w:r>
            </w:hyperlink>
            <w:hyperlink w:anchor="i596288400dc849bb930a6b2e1aea9fbb_22">
              <w:r>
                <w:rPr>
                  <w:rStyle w:val="InternetLink"/>
                  <w:rFonts w:ascii="Times New Roman;serif" w:hAnsi="Times New Roman;serif"/>
                  <w:b w:val="false"/>
                  <w:color w:val="000080"/>
                  <w:sz w:val="20"/>
                  <w:u w:val="single"/>
                </w:rPr>
                <w:t>, 2026 and 2025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22">
              <w:r>
                <w:rPr>
                  <w:rStyle w:val="InternetLink"/>
                  <w:rFonts w:ascii="Times New Roman;serif" w:hAnsi="Times New Roman;serif"/>
                  <w:b w:val="false"/>
                  <w:strike w:val="false"/>
                  <w:dstrike w:val="false"/>
                  <w:color w:val="000000"/>
                  <w:sz w:val="20"/>
                  <w:u w:val="none"/>
                  <w:effect w:val="none"/>
                </w:rPr>
                <w:t>6</w:t>
              </w:r>
            </w:hyperlink>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6288400dc849bb930a6b2e1aea9fbb_25">
              <w:r>
                <w:rPr>
                  <w:rStyle w:val="InternetLink"/>
                  <w:rFonts w:ascii="Times New Roman;serif" w:hAnsi="Times New Roman;serif"/>
                  <w:b w:val="false"/>
                  <w:color w:val="000080"/>
                  <w:sz w:val="20"/>
                  <w:u w:val="single"/>
                </w:rPr>
                <w:t xml:space="preserve">Condensed Consolidated Balance Sheets as of </w:t>
              </w:r>
            </w:hyperlink>
            <w:hyperlink w:anchor="i596288400dc849bb930a6b2e1aea9fbb_25">
              <w:r>
                <w:rPr>
                  <w:rStyle w:val="InternetLink"/>
                  <w:rFonts w:ascii="Times New Roman;serif" w:hAnsi="Times New Roman;serif"/>
                  <w:b w:val="false"/>
                  <w:color w:val="000080"/>
                  <w:sz w:val="20"/>
                  <w:u w:val="single"/>
                </w:rPr>
                <w:t>June 30</w:t>
              </w:r>
            </w:hyperlink>
            <w:hyperlink w:anchor="i596288400dc849bb930a6b2e1aea9fbb_25">
              <w:r>
                <w:rPr>
                  <w:rStyle w:val="InternetLink"/>
                  <w:rFonts w:ascii="Times New Roman;serif" w:hAnsi="Times New Roman;serif"/>
                  <w:b w:val="false"/>
                  <w:color w:val="000080"/>
                  <w:sz w:val="20"/>
                  <w:u w:val="single"/>
                </w:rPr>
                <w:t>, 2026 and December 31, 2025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25">
              <w:r>
                <w:rPr>
                  <w:rStyle w:val="InternetLink"/>
                  <w:rFonts w:ascii="Times New Roman;serif" w:hAnsi="Times New Roman;serif"/>
                  <w:b w:val="false"/>
                  <w:strike w:val="false"/>
                  <w:dstrike w:val="false"/>
                  <w:color w:val="000000"/>
                  <w:sz w:val="20"/>
                  <w:u w:val="none"/>
                  <w:effect w:val="none"/>
                </w:rPr>
                <w:t>7</w:t>
              </w:r>
            </w:hyperlink>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6288400dc849bb930a6b2e1aea9fbb_28">
              <w:r>
                <w:rPr>
                  <w:rStyle w:val="InternetLink"/>
                  <w:rFonts w:ascii="Times New Roman;serif" w:hAnsi="Times New Roman;serif"/>
                  <w:b w:val="false"/>
                  <w:color w:val="000080"/>
                  <w:sz w:val="20"/>
                  <w:u w:val="single"/>
                </w:rPr>
                <w:t xml:space="preserve">Condensed Consolidated Statements of Changes in </w:t>
              </w:r>
            </w:hyperlink>
            <w:hyperlink w:anchor="i596288400dc849bb930a6b2e1aea9fbb_28">
              <w:r>
                <w:rPr>
                  <w:rStyle w:val="InternetLink"/>
                  <w:rFonts w:ascii="Times New Roman;serif" w:hAnsi="Times New Roman;serif"/>
                  <w:b w:val="false"/>
                  <w:color w:val="000080"/>
                  <w:sz w:val="20"/>
                  <w:u w:val="single"/>
                </w:rPr>
                <w:t>Equity</w:t>
              </w:r>
            </w:hyperlink>
            <w:hyperlink w:anchor="i596288400dc849bb930a6b2e1aea9fbb_28">
              <w:r>
                <w:rPr>
                  <w:rStyle w:val="InternetLink"/>
                  <w:rFonts w:ascii="Times New Roman;serif" w:hAnsi="Times New Roman;serif"/>
                  <w:b w:val="false"/>
                  <w:color w:val="000080"/>
                  <w:sz w:val="20"/>
                  <w:u w:val="single"/>
                </w:rPr>
                <w:t xml:space="preserve"> and Non</w:t>
              </w:r>
            </w:hyperlink>
            <w:hyperlink w:anchor="i596288400dc849bb930a6b2e1aea9fbb_28">
              <w:r>
                <w:rPr>
                  <w:rStyle w:val="InternetLink"/>
                  <w:rFonts w:ascii="Times New Roman;serif" w:hAnsi="Times New Roman;serif"/>
                  <w:b w:val="false"/>
                  <w:color w:val="000080"/>
                  <w:sz w:val="20"/>
                  <w:u w:val="single"/>
                </w:rPr>
                <w:t>-</w:t>
              </w:r>
            </w:hyperlink>
            <w:hyperlink w:anchor="i596288400dc849bb930a6b2e1aea9fbb_28">
              <w:r>
                <w:rPr>
                  <w:rStyle w:val="InternetLink"/>
                  <w:rFonts w:ascii="Times New Roman;serif" w:hAnsi="Times New Roman;serif"/>
                  <w:b w:val="false"/>
                  <w:color w:val="000080"/>
                  <w:sz w:val="20"/>
                  <w:u w:val="single"/>
                </w:rPr>
                <w:t>controlling Interests</w:t>
              </w:r>
            </w:hyperlink>
            <w:hyperlink w:anchor="i596288400dc849bb930a6b2e1aea9fbb_28">
              <w:r>
                <w:rPr>
                  <w:rStyle w:val="InternetLink"/>
                  <w:rFonts w:ascii="Times New Roman;serif" w:hAnsi="Times New Roman;serif"/>
                  <w:b w:val="false"/>
                  <w:color w:val="000080"/>
                  <w:sz w:val="20"/>
                  <w:u w:val="single"/>
                </w:rPr>
                <w:t xml:space="preserve"> for the </w:t>
              </w:r>
            </w:hyperlink>
            <w:hyperlink w:anchor="i596288400dc849bb930a6b2e1aea9fbb_28">
              <w:r>
                <w:rPr>
                  <w:rStyle w:val="InternetLink"/>
                  <w:rFonts w:ascii="Times New Roman;serif" w:hAnsi="Times New Roman;serif"/>
                  <w:b w:val="false"/>
                  <w:color w:val="000080"/>
                  <w:sz w:val="20"/>
                  <w:u w:val="single"/>
                </w:rPr>
                <w:t>T</w:t>
              </w:r>
            </w:hyperlink>
            <w:hyperlink w:anchor="i596288400dc849bb930a6b2e1aea9fbb_28">
              <w:r>
                <w:rPr>
                  <w:rStyle w:val="InternetLink"/>
                  <w:rFonts w:ascii="Times New Roman;serif" w:hAnsi="Times New Roman;serif"/>
                  <w:b w:val="false"/>
                  <w:color w:val="000080"/>
                  <w:sz w:val="20"/>
                  <w:u w:val="single"/>
                </w:rPr>
                <w:t xml:space="preserve">hree </w:t>
              </w:r>
            </w:hyperlink>
            <w:hyperlink w:anchor="i596288400dc849bb930a6b2e1aea9fbb_28">
              <w:r>
                <w:rPr>
                  <w:rStyle w:val="InternetLink"/>
                  <w:rFonts w:ascii="Times New Roman;serif" w:hAnsi="Times New Roman;serif"/>
                  <w:b w:val="false"/>
                  <w:color w:val="000080"/>
                  <w:sz w:val="20"/>
                  <w:u w:val="single"/>
                </w:rPr>
                <w:t xml:space="preserve">and </w:t>
              </w:r>
            </w:hyperlink>
            <w:hyperlink w:anchor="i596288400dc849bb930a6b2e1aea9fbb_28">
              <w:r>
                <w:rPr>
                  <w:rStyle w:val="InternetLink"/>
                  <w:rFonts w:ascii="Times New Roman;serif" w:hAnsi="Times New Roman;serif"/>
                  <w:b w:val="false"/>
                  <w:color w:val="000080"/>
                  <w:sz w:val="20"/>
                  <w:u w:val="single"/>
                </w:rPr>
                <w:t>S</w:t>
              </w:r>
            </w:hyperlink>
            <w:hyperlink w:anchor="i596288400dc849bb930a6b2e1aea9fbb_28">
              <w:r>
                <w:rPr>
                  <w:rStyle w:val="InternetLink"/>
                  <w:rFonts w:ascii="Times New Roman;serif" w:hAnsi="Times New Roman;serif"/>
                  <w:b w:val="false"/>
                  <w:color w:val="000080"/>
                  <w:sz w:val="20"/>
                  <w:u w:val="single"/>
                </w:rPr>
                <w:t xml:space="preserve">ix </w:t>
              </w:r>
            </w:hyperlink>
            <w:hyperlink w:anchor="i596288400dc849bb930a6b2e1aea9fbb_28">
              <w:r>
                <w:rPr>
                  <w:rStyle w:val="InternetLink"/>
                  <w:rFonts w:ascii="Times New Roman;serif" w:hAnsi="Times New Roman;serif"/>
                  <w:b w:val="false"/>
                  <w:color w:val="000080"/>
                  <w:sz w:val="20"/>
                  <w:u w:val="single"/>
                </w:rPr>
                <w:t>M</w:t>
              </w:r>
            </w:hyperlink>
            <w:hyperlink w:anchor="i596288400dc849bb930a6b2e1aea9fbb_28">
              <w:r>
                <w:rPr>
                  <w:rStyle w:val="InternetLink"/>
                  <w:rFonts w:ascii="Times New Roman;serif" w:hAnsi="Times New Roman;serif"/>
                  <w:b w:val="false"/>
                  <w:color w:val="000080"/>
                  <w:sz w:val="20"/>
                  <w:u w:val="single"/>
                </w:rPr>
                <w:t xml:space="preserve">onths </w:t>
              </w:r>
            </w:hyperlink>
            <w:hyperlink w:anchor="i596288400dc849bb930a6b2e1aea9fbb_28">
              <w:r>
                <w:rPr>
                  <w:rStyle w:val="InternetLink"/>
                  <w:rFonts w:ascii="Times New Roman;serif" w:hAnsi="Times New Roman;serif"/>
                  <w:b w:val="false"/>
                  <w:color w:val="000080"/>
                  <w:sz w:val="20"/>
                  <w:u w:val="single"/>
                </w:rPr>
                <w:t>E</w:t>
              </w:r>
            </w:hyperlink>
            <w:hyperlink w:anchor="i596288400dc849bb930a6b2e1aea9fbb_28">
              <w:r>
                <w:rPr>
                  <w:rStyle w:val="InternetLink"/>
                  <w:rFonts w:ascii="Times New Roman;serif" w:hAnsi="Times New Roman;serif"/>
                  <w:b w:val="false"/>
                  <w:color w:val="000080"/>
                  <w:sz w:val="20"/>
                  <w:u w:val="single"/>
                </w:rPr>
                <w:t xml:space="preserve">nded </w:t>
              </w:r>
            </w:hyperlink>
            <w:hyperlink w:anchor="i596288400dc849bb930a6b2e1aea9fbb_28">
              <w:r>
                <w:rPr>
                  <w:rStyle w:val="InternetLink"/>
                  <w:rFonts w:ascii="Times New Roman;serif" w:hAnsi="Times New Roman;serif"/>
                  <w:b w:val="false"/>
                  <w:color w:val="000080"/>
                  <w:sz w:val="20"/>
                  <w:u w:val="single"/>
                </w:rPr>
                <w:t>June 30,</w:t>
              </w:r>
            </w:hyperlink>
            <w:hyperlink w:anchor="i596288400dc849bb930a6b2e1aea9fbb_28">
              <w:r>
                <w:rPr>
                  <w:rStyle w:val="InternetLink"/>
                  <w:rFonts w:ascii="Times New Roman;serif" w:hAnsi="Times New Roman;serif"/>
                  <w:b w:val="false"/>
                  <w:color w:val="000080"/>
                  <w:sz w:val="20"/>
                  <w:u w:val="single"/>
                </w:rPr>
                <w:t xml:space="preserve"> 2026 and 2025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28">
              <w:r>
                <w:rPr>
                  <w:rStyle w:val="InternetLink"/>
                  <w:rFonts w:ascii="Times New Roman;serif" w:hAnsi="Times New Roman;serif"/>
                  <w:b w:val="false"/>
                  <w:strike w:val="false"/>
                  <w:dstrike w:val="false"/>
                  <w:color w:val="000000"/>
                  <w:sz w:val="20"/>
                  <w:u w:val="none"/>
                  <w:effect w:val="none"/>
                </w:rPr>
                <w:t>8</w:t>
              </w:r>
            </w:hyperlink>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6288400dc849bb930a6b2e1aea9fbb_34">
              <w:r>
                <w:rPr>
                  <w:rStyle w:val="InternetLink"/>
                  <w:rFonts w:ascii="Times New Roman;serif" w:hAnsi="Times New Roman;serif"/>
                  <w:b w:val="false"/>
                  <w:color w:val="000080"/>
                  <w:sz w:val="20"/>
                  <w:u w:val="single"/>
                </w:rPr>
                <w:t xml:space="preserve">Condensed Consolidated Statements of Cash Flows for the </w:t>
              </w:r>
            </w:hyperlink>
            <w:hyperlink w:anchor="i596288400dc849bb930a6b2e1aea9fbb_34">
              <w:r>
                <w:rPr>
                  <w:rStyle w:val="InternetLink"/>
                  <w:rFonts w:ascii="Times New Roman;serif" w:hAnsi="Times New Roman;serif"/>
                  <w:b w:val="false"/>
                  <w:color w:val="000080"/>
                  <w:sz w:val="20"/>
                  <w:u w:val="single"/>
                </w:rPr>
                <w:t>S</w:t>
              </w:r>
            </w:hyperlink>
            <w:hyperlink w:anchor="i596288400dc849bb930a6b2e1aea9fbb_34">
              <w:r>
                <w:rPr>
                  <w:rStyle w:val="InternetLink"/>
                  <w:rFonts w:ascii="Times New Roman;serif" w:hAnsi="Times New Roman;serif"/>
                  <w:b w:val="false"/>
                  <w:color w:val="000080"/>
                  <w:sz w:val="20"/>
                  <w:u w:val="single"/>
                </w:rPr>
                <w:t>ix</w:t>
              </w:r>
            </w:hyperlink>
            <w:hyperlink w:anchor="i596288400dc849bb930a6b2e1aea9fbb_34">
              <w:r>
                <w:rPr>
                  <w:rStyle w:val="InternetLink"/>
                  <w:rFonts w:ascii="Times New Roman;serif" w:hAnsi="Times New Roman;serif"/>
                  <w:b w:val="false"/>
                  <w:color w:val="000080"/>
                  <w:sz w:val="20"/>
                  <w:u w:val="single"/>
                </w:rPr>
                <w:t xml:space="preserve"> </w:t>
              </w:r>
            </w:hyperlink>
            <w:hyperlink w:anchor="i596288400dc849bb930a6b2e1aea9fbb_34">
              <w:r>
                <w:rPr>
                  <w:rStyle w:val="InternetLink"/>
                  <w:rFonts w:ascii="Times New Roman;serif" w:hAnsi="Times New Roman;serif"/>
                  <w:b w:val="false"/>
                  <w:color w:val="000080"/>
                  <w:sz w:val="20"/>
                  <w:u w:val="single"/>
                </w:rPr>
                <w:t>M</w:t>
              </w:r>
            </w:hyperlink>
            <w:hyperlink w:anchor="i596288400dc849bb930a6b2e1aea9fbb_34">
              <w:r>
                <w:rPr>
                  <w:rStyle w:val="InternetLink"/>
                  <w:rFonts w:ascii="Times New Roman;serif" w:hAnsi="Times New Roman;serif"/>
                  <w:b w:val="false"/>
                  <w:color w:val="000080"/>
                  <w:sz w:val="20"/>
                  <w:u w:val="single"/>
                </w:rPr>
                <w:t xml:space="preserve">onths </w:t>
              </w:r>
            </w:hyperlink>
            <w:hyperlink w:anchor="i596288400dc849bb930a6b2e1aea9fbb_34">
              <w:r>
                <w:rPr>
                  <w:rStyle w:val="InternetLink"/>
                  <w:rFonts w:ascii="Times New Roman;serif" w:hAnsi="Times New Roman;serif"/>
                  <w:b w:val="false"/>
                  <w:color w:val="000080"/>
                  <w:sz w:val="20"/>
                  <w:u w:val="single"/>
                </w:rPr>
                <w:t>E</w:t>
              </w:r>
            </w:hyperlink>
            <w:hyperlink w:anchor="i596288400dc849bb930a6b2e1aea9fbb_34">
              <w:r>
                <w:rPr>
                  <w:rStyle w:val="InternetLink"/>
                  <w:rFonts w:ascii="Times New Roman;serif" w:hAnsi="Times New Roman;serif"/>
                  <w:b w:val="false"/>
                  <w:color w:val="000080"/>
                  <w:sz w:val="20"/>
                  <w:u w:val="single"/>
                </w:rPr>
                <w:t xml:space="preserve">nded </w:t>
              </w:r>
            </w:hyperlink>
            <w:hyperlink w:anchor="i596288400dc849bb930a6b2e1aea9fbb_34">
              <w:r>
                <w:rPr>
                  <w:rStyle w:val="InternetLink"/>
                  <w:rFonts w:ascii="Times New Roman;serif" w:hAnsi="Times New Roman;serif"/>
                  <w:b w:val="false"/>
                  <w:color w:val="000080"/>
                  <w:sz w:val="20"/>
                  <w:u w:val="single"/>
                </w:rPr>
                <w:t>June 30</w:t>
              </w:r>
            </w:hyperlink>
            <w:hyperlink w:anchor="i596288400dc849bb930a6b2e1aea9fbb_34">
              <w:r>
                <w:rPr>
                  <w:rStyle w:val="InternetLink"/>
                  <w:rFonts w:ascii="Times New Roman;serif" w:hAnsi="Times New Roman;serif"/>
                  <w:b w:val="false"/>
                  <w:color w:val="000080"/>
                  <w:sz w:val="20"/>
                  <w:u w:val="single"/>
                </w:rPr>
                <w:t>, 2026 and 2025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34">
              <w:r>
                <w:rPr>
                  <w:rStyle w:val="InternetLink"/>
                  <w:rFonts w:ascii="Times New Roman;serif" w:hAnsi="Times New Roman;serif"/>
                  <w:b w:val="false"/>
                  <w:strike w:val="false"/>
                  <w:dstrike w:val="false"/>
                  <w:color w:val="000000"/>
                  <w:sz w:val="20"/>
                  <w:u w:val="none"/>
                  <w:effect w:val="none"/>
                </w:rPr>
                <w:t>10</w:t>
              </w:r>
            </w:hyperlink>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596288400dc849bb930a6b2e1aea9fbb_37">
              <w:r>
                <w:rPr>
                  <w:rStyle w:val="InternetLink"/>
                  <w:rFonts w:ascii="Times New Roman;serif" w:hAnsi="Times New Roman;serif"/>
                  <w:b w:val="false"/>
                  <w:color w:val="0000EE"/>
                  <w:sz w:val="20"/>
                  <w:u w:val="single"/>
                </w:rPr>
                <w:t>Notes to the Condensed Consolidated Financial Statements (Unaudited)</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37">
              <w:r>
                <w:rPr>
                  <w:rStyle w:val="InternetLink"/>
                  <w:rFonts w:ascii="Times New Roman;serif" w:hAnsi="Times New Roman;serif"/>
                  <w:b w:val="false"/>
                  <w:strike w:val="false"/>
                  <w:dstrike w:val="false"/>
                  <w:color w:val="000000"/>
                  <w:sz w:val="20"/>
                  <w:u w:val="none"/>
                  <w:effect w:val="none"/>
                </w:rPr>
                <w:t>11</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09">
              <w:r>
                <w:rPr>
                  <w:rStyle w:val="InternetLink"/>
                  <w:rFonts w:ascii="Times New Roman;serif" w:hAnsi="Times New Roman;serif"/>
                  <w:b w:val="false"/>
                  <w:color w:val="0000EE"/>
                  <w:sz w:val="20"/>
                  <w:u w:val="single"/>
                </w:rPr>
                <w:t>Item 2.</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09">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09">
              <w:r>
                <w:rPr>
                  <w:rStyle w:val="InternetLink"/>
                  <w:rFonts w:ascii="Times New Roman;serif" w:hAnsi="Times New Roman;serif"/>
                  <w:b w:val="false"/>
                  <w:strike w:val="false"/>
                  <w:dstrike w:val="false"/>
                  <w:color w:val="000000"/>
                  <w:sz w:val="20"/>
                  <w:u w:val="none"/>
                  <w:effect w:val="none"/>
                </w:rPr>
                <w:t>34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51">
              <w:r>
                <w:rPr>
                  <w:rStyle w:val="InternetLink"/>
                  <w:rFonts w:ascii="Times New Roman;serif" w:hAnsi="Times New Roman;serif"/>
                  <w:b w:val="false"/>
                  <w:color w:val="0000EE"/>
                  <w:sz w:val="20"/>
                  <w:u w:val="single"/>
                </w:rPr>
                <w:t>Item 3.</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51">
              <w:r>
                <w:rPr>
                  <w:rStyle w:val="InternetLink"/>
                  <w:rFonts w:ascii="Times New Roman;serif" w:hAnsi="Times New Roman;serif"/>
                  <w:b w:val="false"/>
                  <w:color w:val="0000EE"/>
                  <w:sz w:val="20"/>
                  <w:u w:val="single"/>
                </w:rPr>
                <w:t>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51">
              <w:r>
                <w:rPr>
                  <w:rStyle w:val="InternetLink"/>
                  <w:rFonts w:ascii="Times New Roman;serif" w:hAnsi="Times New Roman;serif"/>
                  <w:b w:val="false"/>
                  <w:strike w:val="false"/>
                  <w:dstrike w:val="false"/>
                  <w:color w:val="000000"/>
                  <w:sz w:val="20"/>
                  <w:u w:val="none"/>
                  <w:effect w:val="none"/>
                </w:rPr>
                <w:t>55</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54">
              <w:r>
                <w:rPr>
                  <w:rStyle w:val="InternetLink"/>
                  <w:rFonts w:ascii="Times New Roman;serif" w:hAnsi="Times New Roman;serif"/>
                  <w:b w:val="false"/>
                  <w:color w:val="0000EE"/>
                  <w:sz w:val="20"/>
                  <w:u w:val="single"/>
                </w:rPr>
                <w:t>Item 4.</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54">
              <w:r>
                <w:rPr>
                  <w:rStyle w:val="InternetLink"/>
                  <w:rFonts w:ascii="Times New Roman;serif" w:hAnsi="Times New Roman;serif"/>
                  <w:b w:val="false"/>
                  <w:color w:val="0000EE"/>
                  <w:sz w:val="20"/>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54">
              <w:r>
                <w:rPr>
                  <w:rStyle w:val="InternetLink"/>
                  <w:rFonts w:ascii="Times New Roman;serif" w:hAnsi="Times New Roman;serif"/>
                  <w:b w:val="false"/>
                  <w:strike w:val="false"/>
                  <w:dstrike w:val="false"/>
                  <w:color w:val="000000"/>
                  <w:sz w:val="20"/>
                  <w:u w:val="none"/>
                  <w:effect w:val="none"/>
                </w:rPr>
                <w:t>55</w:t>
              </w:r>
            </w:hyperlink>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432"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57">
              <w:r>
                <w:rPr>
                  <w:rStyle w:val="InternetLink"/>
                  <w:rFonts w:ascii="Times New Roman;serif" w:hAnsi="Times New Roman;serif"/>
                  <w:b/>
                  <w:strike w:val="false"/>
                  <w:dstrike w:val="false"/>
                  <w:color w:val="000000"/>
                  <w:sz w:val="20"/>
                  <w:u w:val="none"/>
                  <w:effect w:val="none"/>
                </w:rPr>
                <w:t>PART II. OTHER INFORMATION</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432"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60">
              <w:r>
                <w:rPr>
                  <w:rStyle w:val="InternetLink"/>
                  <w:rFonts w:ascii="Times New Roman;serif" w:hAnsi="Times New Roman;serif"/>
                  <w:b w:val="false"/>
                  <w:color w:val="0000EE"/>
                  <w:sz w:val="20"/>
                  <w:u w:val="single"/>
                </w:rPr>
                <w:t>Item 1.</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60">
              <w:r>
                <w:rPr>
                  <w:rStyle w:val="InternetLink"/>
                  <w:rFonts w:ascii="Times New Roman;serif" w:hAnsi="Times New Roman;serif"/>
                  <w:b w:val="false"/>
                  <w:color w:val="0000EE"/>
                  <w:sz w:val="20"/>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60">
              <w:r>
                <w:rPr>
                  <w:rStyle w:val="InternetLink"/>
                  <w:rFonts w:ascii="Times New Roman;serif" w:hAnsi="Times New Roman;serif"/>
                  <w:b w:val="false"/>
                  <w:strike w:val="false"/>
                  <w:dstrike w:val="false"/>
                  <w:color w:val="000000"/>
                  <w:sz w:val="20"/>
                  <w:u w:val="none"/>
                  <w:effect w:val="non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63">
              <w:r>
                <w:rPr>
                  <w:rStyle w:val="InternetLink"/>
                  <w:rFonts w:ascii="Times New Roman;serif" w:hAnsi="Times New Roman;serif"/>
                  <w:b w:val="false"/>
                  <w:color w:val="0000EE"/>
                  <w:sz w:val="20"/>
                  <w:u w:val="single"/>
                </w:rPr>
                <w:t>Item 1A.</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63">
              <w:r>
                <w:rPr>
                  <w:rStyle w:val="InternetLink"/>
                  <w:rFonts w:ascii="Times New Roman;serif" w:hAnsi="Times New Roman;serif"/>
                  <w:b w:val="false"/>
                  <w:color w:val="0000EE"/>
                  <w:sz w:val="20"/>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63">
              <w:r>
                <w:rPr>
                  <w:rStyle w:val="InternetLink"/>
                  <w:rFonts w:ascii="Times New Roman;serif" w:hAnsi="Times New Roman;serif"/>
                  <w:b w:val="false"/>
                  <w:strike w:val="false"/>
                  <w:dstrike w:val="false"/>
                  <w:color w:val="000000"/>
                  <w:sz w:val="20"/>
                  <w:u w:val="none"/>
                  <w:effect w:val="none"/>
                </w:rPr>
                <w:t>59</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66">
              <w:r>
                <w:rPr>
                  <w:rStyle w:val="InternetLink"/>
                  <w:rFonts w:ascii="Times New Roman;serif" w:hAnsi="Times New Roman;serif"/>
                  <w:b w:val="false"/>
                  <w:color w:val="0000EE"/>
                  <w:sz w:val="20"/>
                  <w:u w:val="single"/>
                </w:rPr>
                <w:t>Item 2.</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66">
              <w:r>
                <w:rPr>
                  <w:rStyle w:val="InternetLink"/>
                  <w:rFonts w:ascii="Times New Roman;serif" w:hAnsi="Times New Roman;serif"/>
                  <w:b w:val="false"/>
                  <w:color w:val="0000EE"/>
                  <w:sz w:val="20"/>
                  <w:u w:val="single"/>
                </w:rPr>
                <w:t>Unregistered Sales of Equity Securities and Use of Proceeds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69">
              <w:r>
                <w:rPr>
                  <w:rStyle w:val="InternetLink"/>
                  <w:rFonts w:ascii="Times New Roman;serif" w:hAnsi="Times New Roman;serif"/>
                  <w:b w:val="false"/>
                  <w:strike w:val="false"/>
                  <w:dstrike w:val="false"/>
                  <w:color w:val="000000"/>
                  <w:sz w:val="20"/>
                  <w:u w:val="none"/>
                  <w:effect w:val="none"/>
                </w:rPr>
                <w:t>60</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69">
              <w:r>
                <w:rPr>
                  <w:rStyle w:val="InternetLink"/>
                  <w:rFonts w:ascii="Times New Roman;serif" w:hAnsi="Times New Roman;serif"/>
                  <w:b w:val="false"/>
                  <w:color w:val="0000EE"/>
                  <w:sz w:val="20"/>
                  <w:u w:val="single"/>
                </w:rPr>
                <w:t>Item 3.</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69">
              <w:r>
                <w:rPr>
                  <w:rStyle w:val="InternetLink"/>
                  <w:rFonts w:ascii="Times New Roman;serif" w:hAnsi="Times New Roman;serif"/>
                  <w:b w:val="false"/>
                  <w:color w:val="0000EE"/>
                  <w:sz w:val="20"/>
                  <w:u w:val="single"/>
                </w:rPr>
                <w:t>Defaults Upon Senior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69">
              <w:r>
                <w:rPr>
                  <w:rStyle w:val="InternetLink"/>
                  <w:rFonts w:ascii="Times New Roman;serif" w:hAnsi="Times New Roman;serif"/>
                  <w:b w:val="false"/>
                  <w:strike w:val="false"/>
                  <w:dstrike w:val="false"/>
                  <w:color w:val="000000"/>
                  <w:sz w:val="20"/>
                  <w:u w:val="none"/>
                  <w:effect w:val="none"/>
                </w:rPr>
                <w:t>60</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72">
              <w:r>
                <w:rPr>
                  <w:rStyle w:val="InternetLink"/>
                  <w:rFonts w:ascii="Times New Roman;serif" w:hAnsi="Times New Roman;serif"/>
                  <w:b w:val="false"/>
                  <w:color w:val="0000EE"/>
                  <w:sz w:val="20"/>
                  <w:u w:val="single"/>
                </w:rPr>
                <w:t>Item 4.</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72">
              <w:r>
                <w:rPr>
                  <w:rStyle w:val="InternetLink"/>
                  <w:rFonts w:ascii="Times New Roman;serif" w:hAnsi="Times New Roman;serif"/>
                  <w:b w:val="false"/>
                  <w:color w:val="0000EE"/>
                  <w:sz w:val="20"/>
                  <w:u w:val="single"/>
                </w:rPr>
                <w:t>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72">
              <w:r>
                <w:rPr>
                  <w:rStyle w:val="InternetLink"/>
                  <w:rFonts w:ascii="Times New Roman;serif" w:hAnsi="Times New Roman;serif"/>
                  <w:b w:val="false"/>
                  <w:strike w:val="false"/>
                  <w:dstrike w:val="false"/>
                  <w:color w:val="000000"/>
                  <w:sz w:val="20"/>
                  <w:u w:val="none"/>
                  <w:effect w:val="none"/>
                </w:rPr>
                <w:t>60</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75">
              <w:r>
                <w:rPr>
                  <w:rStyle w:val="InternetLink"/>
                  <w:rFonts w:ascii="Times New Roman;serif" w:hAnsi="Times New Roman;serif"/>
                  <w:b w:val="false"/>
                  <w:color w:val="0000EE"/>
                  <w:sz w:val="20"/>
                  <w:u w:val="single"/>
                </w:rPr>
                <w:t>Item 5.</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75">
              <w:r>
                <w:rPr>
                  <w:rStyle w:val="InternetLink"/>
                  <w:rFonts w:ascii="Times New Roman;serif" w:hAnsi="Times New Roman;serif"/>
                  <w:b w:val="false"/>
                  <w:color w:val="0000EE"/>
                  <w:sz w:val="20"/>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75">
              <w:r>
                <w:rPr>
                  <w:rStyle w:val="InternetLink"/>
                  <w:rFonts w:ascii="Times New Roman;serif" w:hAnsi="Times New Roman;serif"/>
                  <w:b w:val="false"/>
                  <w:strike w:val="false"/>
                  <w:dstrike w:val="false"/>
                  <w:color w:val="000000"/>
                  <w:sz w:val="20"/>
                  <w:u w:val="none"/>
                  <w:effect w:val="none"/>
                </w:rPr>
                <w:t>60</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78">
              <w:r>
                <w:rPr>
                  <w:rStyle w:val="InternetLink"/>
                  <w:rFonts w:ascii="Times New Roman;serif" w:hAnsi="Times New Roman;serif"/>
                  <w:b w:val="false"/>
                  <w:color w:val="0000EE"/>
                  <w:sz w:val="20"/>
                  <w:u w:val="single"/>
                </w:rPr>
                <w:t>Item 6.</w:t>
              </w:r>
            </w:hyperlink>
          </w:p>
        </w:tc>
        <w:tc>
          <w:tcPr>
            <w:tcW w:w="84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78">
              <w:r>
                <w:rPr>
                  <w:rStyle w:val="InternetLink"/>
                  <w:rFonts w:ascii="Times New Roman;serif" w:hAnsi="Times New Roman;serif"/>
                  <w:b w:val="false"/>
                  <w:color w:val="0000EE"/>
                  <w:sz w:val="20"/>
                  <w:u w:val="single"/>
                </w:rPr>
                <w:t>Exhibits</w:t>
              </w:r>
            </w:hyperlink>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78">
              <w:r>
                <w:rPr>
                  <w:rStyle w:val="InternetLink"/>
                  <w:rFonts w:ascii="Times New Roman;serif" w:hAnsi="Times New Roman;serif"/>
                  <w:b w:val="false"/>
                  <w:strike w:val="false"/>
                  <w:dstrike w:val="false"/>
                  <w:color w:val="000000"/>
                  <w:sz w:val="20"/>
                  <w:u w:val="none"/>
                  <w:effect w:val="none"/>
                </w:rPr>
                <w:t>60</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6288400dc849bb930a6b2e1aea9fbb_181">
              <w:r>
                <w:rPr>
                  <w:rStyle w:val="InternetLink"/>
                  <w:rFonts w:ascii="Times New Roman;serif" w:hAnsi="Times New Roman;serif"/>
                  <w:b w:val="false"/>
                  <w:color w:val="0000EE"/>
                  <w:sz w:val="20"/>
                  <w:u w:val="single"/>
                </w:rPr>
                <w:t>SIGNATURE</w:t>
              </w:r>
            </w:hyperlink>
          </w:p>
        </w:tc>
        <w:tc>
          <w:tcPr>
            <w:tcW w:w="8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96288400dc849bb930a6b2e1aea9fbb_181">
              <w:r>
                <w:rPr>
                  <w:rStyle w:val="InternetLink"/>
                  <w:rFonts w:ascii="Times New Roman;serif" w:hAnsi="Times New Roman;serif"/>
                  <w:b w:val="false"/>
                  <w:strike w:val="false"/>
                  <w:dstrike w:val="false"/>
                  <w:color w:val="000000"/>
                  <w:sz w:val="20"/>
                  <w:u w:val="none"/>
                  <w:effect w:val="non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CERTAIN DEFINITIONS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noted, throughout this report, the terms “Urban One,” the “Company,” “we,” “our” and “us” refer to Urban One, Inc. together with its subsidiaries.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disclosure and analysis in this quarterly report on Form 10-Q concerning our operations, cash flows, and financial position contain forward-looking statements within the meaning of Section 27A of the Securities Act of 1933, as amended (the "Securities Act"), and Section 21E of the Securities Exchange Act of 1934, as amended. These forward-looking statements do not relay historical facts, but rather reflect our current expectations concerning future operations, results, and events. All statements other than statements of historical fact are “forward-looking statements” including any projections of earnings, revenues or other financial items; any statements of the plans, strategies and objectives of management for future operations; any statements concerning proposed new activities, services or developments; any statements regarding future economic conditions or performance; any statements of belief; and any statements of assumptions underlying any of the foregoing. You can identify some of these forward-looking statements by our use of words such as “anticipates,” “expects,” “intends,” “plans,” “believes,” “seeks,” “likely,” “may,” “estimates” and similar expressions. You can also identify a forward-looking statement in that such statements discuss matters in a way that anticipates operations, results or events that have not already occurred but rather will or may occur in future periods. We cannot guarantee that we will achieve any forward-looking plans, intentions, results, operations, or expectations. Because these statements apply to future events, they are subject to risks and uncertainties, some of which are beyond our control and could cause actual results to differ materially from those forecasted or anticipated in the forward-looking statements. These risks, uncertainties and factors include (in no particular order), but are not limited to:</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reduction in consumer spending, recession, economic volatility, financial market unpredictability and fluctuations in the United States and other world economies that may affect our business and financial condition, and the business and financial conditions of our advertisers;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our degree of leverage, certain cash commitments related thereto, and potential inability to finance strategic transactions, including potential refinance transactions, given fluctuations in market conditions;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fluctuations in the local economies of the markets in which we operate (particularly our largest markets, Atlanta; Baltimore; Charlotte; Dallas; Houston; Indianapolis; and Washington, DC) or fluctuations within individual business sectors experiencing a downturn even in the absence of a broader recession could negatively impact our ability to meet our cash needs;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 xml:space="preserve">increased costs due to tariffs, inflation, or any changes in music royalty fees; </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risks associated with the implementation and execution of our business diversification strategy, including any strategic initiatives;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risks associated with our investments or potential investment in gaming or other businesses;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regulation by the Federal Communications Commission (“FCC”) relative to maintaining our broadcasting licenses, enacting media ownership rules, enforcing of indecency rules, and any changes in enforcement priorities;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changes in our key personnel and on-air talent;</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increases in competition for and in the costs of our programming and content, including on-air talent and content production or acquisitions availability/costs;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financial losses that may be incurred due to impairment charges against our broadcasting licenses, goodwill, and other intangible assets;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increased competition for advertising revenues with other radio stations, broadcast and cable television, newspapers and magazines, outdoor advertising, direct mail, internet radio, satellite radio, smart phones, tablets, and other wireless media, the internet, social media, and other forms of advertising;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the impact of our acquisitions, dispositions, and similar transactions, as well as consolidation in industries in which we and our advertisers operate;</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public health crises, epidemics and pandemics, or extreme weather events and their impact on our business and the businesses of our advertisers, including disruptions and inefficiencies in the supply chain;</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developments and/or changes in laws and regulations, such as the California Consumer Privacy Act or other similar federal or state regulations through legislative action and revised rules and standards;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disruptions to our technology network including computer systems and software, whether by human-caused or other disruptions of our operating systems, structures, or equipment, including as a result of artificial intelligence, as well as natural events such as pandemic, severe weather, fires, floods, and earthquakes;</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material weaknesses identified in our internal control over financial reporting which, if not remediated, could result in material misstatements in our unaudited condensed consolidated financial statements; and</w:t>
      </w:r>
    </w:p>
    <w:p>
      <w:pPr>
        <w:pStyle w:val="TextBody"/>
        <w:bidi w:val="0"/>
        <w:spacing w:lineRule="auto" w:line="288" w:before="0" w:after="240"/>
        <w:ind w:left="0" w:right="0" w:hanging="389"/>
        <w:jc w:val="both"/>
        <w:rPr/>
      </w:pPr>
      <w:r>
        <w:rPr>
          <w:color w:val="000000"/>
        </w:rPr>
        <w:t>•</w:t>
      </w:r>
      <w:r>
        <w:rPr>
          <w:rFonts w:ascii="Times New Roman;serif" w:hAnsi="Times New Roman;serif"/>
          <w:b w:val="false"/>
          <w:color w:val="000000"/>
          <w:sz w:val="20"/>
        </w:rPr>
        <w:t>other factors mentioned in our filings with the Securities and Exchange Commission (“SEC”) including the factors discussed in detail in Part I, “Item 1A. Risk Factors” in our Annual Report on Form 10-K for the year ended December 31, 2025 (“Form 10-K”) filed on March 20, 2026.</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these forward-looking statements, which reflect our views based only on information currently available to us as of the date of this report. We undertake no obligation to publicly update or revise any forward-looking statements because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96"/>
        <w:gridCol w:w="1305"/>
        <w:gridCol w:w="1268"/>
        <w:gridCol w:w="211"/>
        <w:gridCol w:w="721"/>
        <w:gridCol w:w="109"/>
        <w:gridCol w:w="109"/>
        <w:gridCol w:w="109"/>
        <w:gridCol w:w="109"/>
        <w:gridCol w:w="211"/>
        <w:gridCol w:w="755"/>
        <w:gridCol w:w="109"/>
        <w:gridCol w:w="109"/>
        <w:gridCol w:w="109"/>
        <w:gridCol w:w="109"/>
        <w:gridCol w:w="211"/>
        <w:gridCol w:w="826"/>
        <w:gridCol w:w="109"/>
        <w:gridCol w:w="109"/>
        <w:gridCol w:w="109"/>
        <w:gridCol w:w="109"/>
        <w:gridCol w:w="211"/>
        <w:gridCol w:w="826"/>
        <w:gridCol w:w="156"/>
      </w:tblGrid>
      <w:tr>
        <w:trPr/>
        <w:tc>
          <w:tcPr>
            <w:tcW w:w="219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Programming and technical, including stock-based compensation of $—, $14, $— , and $29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including stock-based compensation of $1,680, $560, $1,881, and $1,221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302,452 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(118,586)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INTEREST AND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GAIN ON RETIREMENT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benefit from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(95,432)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BENEFIT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TO COMMON STOCKHOLDERS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Basic </w:t>
            </w:r>
            <w:r>
              <w:rPr>
                <w:rFonts w:ascii="Times New Roman;serif" w:hAnsi="Times New Roman;serif"/>
                <w:b w:val="false"/>
                <w:i/>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Diluted</w:t>
            </w:r>
            <w:r>
              <w:rPr>
                <w:color w:val="000000"/>
              </w:rPr>
              <w:t xml:space="preserve"> </w:t>
            </w:r>
            <w:r>
              <w:rPr>
                <w:rFonts w:ascii="Times New Roman;serif" w:hAnsi="Times New Roman;serif"/>
                <w:b w:val="false"/>
                <w:i/>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Basic</w:t>
            </w:r>
            <w:r>
              <w:rPr>
                <w:color w:val="000000"/>
              </w:rPr>
              <w:t xml:space="preserve"> </w:t>
            </w:r>
            <w:r>
              <w:rPr>
                <w:rFonts w:ascii="Times New Roman;serif" w:hAnsi="Times New Roman;serif"/>
                <w:b w:val="false"/>
                <w:i/>
                <w:color w:val="000000"/>
                <w:sz w:val="13"/>
              </w:rPr>
              <w:t>(a)</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4,473,831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4,476,828</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Diluted</w:t>
            </w:r>
            <w:r>
              <w:rPr>
                <w:color w:val="000000"/>
              </w:rPr>
              <w:t xml:space="preserve"> </w:t>
            </w:r>
            <w:r>
              <w:rPr>
                <w:rFonts w:ascii="Times New Roman;serif" w:hAnsi="Times New Roman;serif"/>
                <w:b w:val="false"/>
                <w:i/>
                <w:color w:val="000000"/>
                <w:sz w:val="13"/>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4,473,831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4,476,828</w:t>
            </w:r>
          </w:p>
        </w:tc>
      </w:tr>
    </w:tbl>
    <w:p>
      <w:pPr>
        <w:pStyle w:val="TextBody"/>
        <w:bidi w:val="0"/>
        <w:spacing w:lineRule="auto" w:line="288" w:before="120" w:after="120"/>
        <w:jc w:val="both"/>
        <w:rPr/>
      </w:pPr>
      <w:r>
        <w:rPr>
          <w:rFonts w:ascii="Times New Roman;serif" w:hAnsi="Times New Roman;serif"/>
          <w:b w:val="false"/>
          <w:color w:val="000000"/>
          <w:sz w:val="16"/>
        </w:rPr>
        <w:t>(a) Weighted-average shares outstanding used in the computation of basic and diluted net loss to common stockholders per share have been retroactively adjusted to reflect the 1-for-10 Reverse Stock Split that occurred on January 22, 2026. See Note</w:t>
      </w:r>
      <w:r>
        <w:rPr>
          <w:color w:val="000000"/>
        </w:rPr>
        <w:t xml:space="preserve"> </w:t>
      </w:r>
      <w:r>
        <w:rPr>
          <w:rFonts w:ascii="Times New Roman;serif" w:hAnsi="Times New Roman;serif"/>
          <w:b w:val="false"/>
          <w:i/>
          <w:color w:val="000000"/>
          <w:sz w:val="16"/>
        </w:rPr>
        <w:t>2 - Summary of Significant Accounting Policies</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10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66"/>
        <w:gridCol w:w="1553"/>
        <w:gridCol w:w="1545"/>
        <w:gridCol w:w="211"/>
        <w:gridCol w:w="654"/>
        <w:gridCol w:w="109"/>
        <w:gridCol w:w="109"/>
        <w:gridCol w:w="109"/>
        <w:gridCol w:w="109"/>
        <w:gridCol w:w="211"/>
        <w:gridCol w:w="759"/>
        <w:gridCol w:w="109"/>
        <w:gridCol w:w="109"/>
        <w:gridCol w:w="109"/>
        <w:gridCol w:w="109"/>
        <w:gridCol w:w="211"/>
        <w:gridCol w:w="759"/>
        <w:gridCol w:w="109"/>
        <w:gridCol w:w="109"/>
        <w:gridCol w:w="109"/>
        <w:gridCol w:w="109"/>
        <w:gridCol w:w="211"/>
        <w:gridCol w:w="759"/>
        <w:gridCol w:w="158"/>
      </w:tblGrid>
      <w:tr>
        <w:trPr/>
        <w:tc>
          <w:tcPr>
            <w:tcW w:w="186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(89,708)</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LESS: COMPREHENSIVE INCOME (LOSS) ATTRIBUTABLE TO THE NON-CONTROLLING INTERESTS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COMMON STOCKHOLDERS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151"/>
        <w:gridCol w:w="2136"/>
        <w:gridCol w:w="2154"/>
        <w:gridCol w:w="211"/>
        <w:gridCol w:w="826"/>
        <w:gridCol w:w="109"/>
        <w:gridCol w:w="109"/>
        <w:gridCol w:w="109"/>
        <w:gridCol w:w="109"/>
        <w:gridCol w:w="228"/>
        <w:gridCol w:w="894"/>
        <w:gridCol w:w="169"/>
      </w:tblGrid>
      <w:tr>
        <w:trPr/>
        <w:tc>
          <w:tcPr>
            <w:tcW w:w="315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allowance for expected credit losses of $3,088 and $4,178,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88,676 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content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164,452 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CONTENT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RIGHT OF USE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GOODWILL,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RADIO BROADCASTING LICENSES,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ASSETS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592,994 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audience deficiency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under the asset-backed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content payables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78,309 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CONTENT PAYABLES,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LIABILITIES HELD-FOR-SALE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532,284 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565,760 </w:t>
            </w:r>
          </w:p>
        </w:tc>
        <w:tc>
          <w:tcPr>
            <w:tcW w:w="16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$.001 par value, 1,000,000 shares authorized; no shares outstanding at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Class A, $.001 par value, 30,000,000 shares authorized; 705,889 and 705,970 shares issued at June 30, 2026 and December 31, 2025, respectively; 615,000 and 615,081 shares outstanding at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Class B, $.001 par value, 150,000,000 shares authorized; 286,183 shares issued and outstanding at each of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Class C, $.001 par value, 150,000,000 shares authorized; 204,501 shares issued and outstanding at each of June 30,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Class D, $.001 par value, 150,000,000 shares authorized; 3,470,748 and 3,409,393 shares issued and outstanding at June 30, 2026 and December 31,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90,889 shares at each of June 30,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1,011,578 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(985,634)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551,512 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592,994 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3327" w:type="dxa"/>
        <w:jc w:val="center"/>
        <w:tblInd w:w="0" w:type="dxa"/>
        <w:tblLayout w:type="fixed"/>
        <w:tblCellMar>
          <w:top w:w="28" w:type="dxa"/>
          <w:left w:w="28" w:type="dxa"/>
          <w:bottom w:w="28" w:type="dxa"/>
          <w:right w:w="28" w:type="dxa"/>
        </w:tblCellMar>
      </w:tblPr>
      <w:tblGrid>
        <w:gridCol w:w="721"/>
        <w:gridCol w:w="344"/>
        <w:gridCol w:w="346"/>
        <w:gridCol w:w="109"/>
        <w:gridCol w:w="109"/>
        <w:gridCol w:w="280"/>
        <w:gridCol w:w="340"/>
        <w:gridCol w:w="146"/>
        <w:gridCol w:w="109"/>
        <w:gridCol w:w="109"/>
        <w:gridCol w:w="109"/>
        <w:gridCol w:w="222"/>
        <w:gridCol w:w="428"/>
        <w:gridCol w:w="116"/>
        <w:gridCol w:w="109"/>
        <w:gridCol w:w="109"/>
        <w:gridCol w:w="109"/>
        <w:gridCol w:w="222"/>
        <w:gridCol w:w="428"/>
        <w:gridCol w:w="116"/>
        <w:gridCol w:w="109"/>
        <w:gridCol w:w="109"/>
        <w:gridCol w:w="109"/>
        <w:gridCol w:w="280"/>
        <w:gridCol w:w="340"/>
        <w:gridCol w:w="146"/>
        <w:gridCol w:w="109"/>
        <w:gridCol w:w="109"/>
        <w:gridCol w:w="109"/>
        <w:gridCol w:w="211"/>
        <w:gridCol w:w="631"/>
        <w:gridCol w:w="109"/>
        <w:gridCol w:w="109"/>
        <w:gridCol w:w="109"/>
        <w:gridCol w:w="109"/>
        <w:gridCol w:w="109"/>
        <w:gridCol w:w="109"/>
        <w:gridCol w:w="211"/>
        <w:gridCol w:w="976"/>
        <w:gridCol w:w="109"/>
        <w:gridCol w:w="109"/>
        <w:gridCol w:w="109"/>
        <w:gridCol w:w="109"/>
        <w:gridCol w:w="211"/>
        <w:gridCol w:w="841"/>
        <w:gridCol w:w="109"/>
        <w:gridCol w:w="109"/>
        <w:gridCol w:w="109"/>
        <w:gridCol w:w="109"/>
        <w:gridCol w:w="294"/>
        <w:gridCol w:w="859"/>
        <w:gridCol w:w="153"/>
        <w:gridCol w:w="109"/>
        <w:gridCol w:w="109"/>
        <w:gridCol w:w="109"/>
        <w:gridCol w:w="211"/>
        <w:gridCol w:w="721"/>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w:t>
              <w:br/>
              <w:t>Stock</w:t>
              <w:br/>
              <w:t>Class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(985,634)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Urban 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stock-based compensation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interests to estimated redemption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1,013,056 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(988,713)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129,543 shares of Class D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stock-based compensation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1,013,440 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(995,786)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AND NON-CONTROLLING INTERESTS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799" w:type="dxa"/>
        <w:jc w:val="left"/>
        <w:tblInd w:w="0" w:type="dxa"/>
        <w:tblLayout w:type="fixed"/>
        <w:tblCellMar>
          <w:top w:w="28" w:type="dxa"/>
          <w:left w:w="28" w:type="dxa"/>
          <w:bottom w:w="28" w:type="dxa"/>
          <w:right w:w="28" w:type="dxa"/>
        </w:tblCellMar>
      </w:tblPr>
      <w:tblGrid>
        <w:gridCol w:w="721"/>
        <w:gridCol w:w="344"/>
        <w:gridCol w:w="346"/>
        <w:gridCol w:w="109"/>
        <w:gridCol w:w="109"/>
        <w:gridCol w:w="280"/>
        <w:gridCol w:w="340"/>
        <w:gridCol w:w="146"/>
        <w:gridCol w:w="109"/>
        <w:gridCol w:w="109"/>
        <w:gridCol w:w="109"/>
        <w:gridCol w:w="222"/>
        <w:gridCol w:w="428"/>
        <w:gridCol w:w="116"/>
        <w:gridCol w:w="109"/>
        <w:gridCol w:w="109"/>
        <w:gridCol w:w="109"/>
        <w:gridCol w:w="222"/>
        <w:gridCol w:w="428"/>
        <w:gridCol w:w="116"/>
        <w:gridCol w:w="109"/>
        <w:gridCol w:w="109"/>
        <w:gridCol w:w="109"/>
        <w:gridCol w:w="280"/>
        <w:gridCol w:w="340"/>
        <w:gridCol w:w="146"/>
        <w:gridCol w:w="109"/>
        <w:gridCol w:w="109"/>
        <w:gridCol w:w="109"/>
        <w:gridCol w:w="109"/>
        <w:gridCol w:w="109"/>
        <w:gridCol w:w="211"/>
        <w:gridCol w:w="631"/>
        <w:gridCol w:w="109"/>
        <w:gridCol w:w="109"/>
        <w:gridCol w:w="109"/>
        <w:gridCol w:w="109"/>
        <w:gridCol w:w="211"/>
        <w:gridCol w:w="976"/>
        <w:gridCol w:w="109"/>
        <w:gridCol w:w="109"/>
        <w:gridCol w:w="109"/>
        <w:gridCol w:w="109"/>
        <w:gridCol w:w="211"/>
        <w:gridCol w:w="841"/>
        <w:gridCol w:w="109"/>
        <w:gridCol w:w="109"/>
        <w:gridCol w:w="109"/>
        <w:gridCol w:w="109"/>
        <w:gridCol w:w="211"/>
        <w:gridCol w:w="82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pPr>
            <w:r>
              <w:rPr>
                <w:rFonts w:ascii="Times New Roman;serif" w:hAnsi="Times New Roman;serif"/>
                <w:b/>
                <w:color w:val="000000"/>
                <w:sz w:val="16"/>
              </w:rPr>
              <w:t>Class A</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pPr>
            <w:r>
              <w:rPr>
                <w:rFonts w:ascii="Times New Roman;serif" w:hAnsi="Times New Roman;serif"/>
                <w:b/>
                <w:color w:val="000000"/>
                <w:sz w:val="16"/>
              </w:rPr>
              <w:t>Class B</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pPr>
            <w:r>
              <w:rPr>
                <w:rFonts w:ascii="Times New Roman;serif" w:hAnsi="Times New Roman;serif"/>
                <w:b/>
                <w:color w:val="000000"/>
                <w:sz w:val="16"/>
              </w:rPr>
              <w:t>Class C</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88" w:before="0" w:after="0"/>
              <w:jc w:val="center"/>
              <w:rPr/>
            </w:pPr>
            <w:r>
              <w:rPr>
                <w:rFonts w:ascii="Times New Roman;serif" w:hAnsi="Times New Roman;serif"/>
                <w:b/>
                <w:color w:val="000000"/>
                <w:sz w:val="16"/>
              </w:rPr>
              <w:t>Class 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BALANCE, as of December 31, 2024</w:t>
            </w:r>
            <w:r>
              <w:rPr>
                <w:rFonts w:ascii="Times New Roman;serif" w:hAnsi="Times New Roman;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(838,765)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Urban 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449,252 shares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303,622 shares of Class D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stock-based compensation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interests to estimated redemption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BALANCE, as of March 31, 2025</w:t>
            </w:r>
            <w:r>
              <w:rPr>
                <w:rFonts w:ascii="Times New Roman;serif" w:hAnsi="Times New Roman;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(850,507)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Urban 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226,041 shares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200,549 shares of Class D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stock-based compensation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interests to estimated redemption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BALANCE, as of June 30, 2025</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1,011,932 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(928,409)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to reflect the 1-for-10 Reverse Stock Split that occurred on January 22, 2026, refer to Note</w:t>
      </w:r>
      <w:r>
        <w:rPr>
          <w:color w:val="000000"/>
        </w:rPr>
        <w:t xml:space="preserve"> </w:t>
      </w:r>
      <w:r>
        <w:rPr>
          <w:rFonts w:ascii="Times New Roman;serif" w:hAnsi="Times New Roman;serif"/>
          <w:b w:val="false"/>
          <w:i/>
          <w:color w:val="000000"/>
          <w:sz w:val="16"/>
        </w:rPr>
        <w:t>2 - Summary of Significant Accounting Policies</w:t>
      </w:r>
    </w:p>
    <w:p>
      <w:pPr>
        <w:pStyle w:val="TextBody"/>
        <w:bidi w:val="0"/>
        <w:spacing w:lineRule="auto" w:line="288" w:before="200" w:after="12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09"/>
        <w:gridCol w:w="2403"/>
        <w:gridCol w:w="2408"/>
        <w:gridCol w:w="211"/>
        <w:gridCol w:w="786"/>
        <w:gridCol w:w="109"/>
        <w:gridCol w:w="109"/>
        <w:gridCol w:w="109"/>
        <w:gridCol w:w="109"/>
        <w:gridCol w:w="211"/>
        <w:gridCol w:w="786"/>
        <w:gridCol w:w="155"/>
      </w:tblGrid>
      <w:tr>
        <w:trPr/>
        <w:tc>
          <w:tcPr>
            <w:tcW w:w="28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from operating activities:</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financing costs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launch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content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fair value adjustment of Employment Agreement Award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 in operating assets and liabilities: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accounts receivable, net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 assets and payables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compensation and related benefits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audience deficiency</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flows provided by operating activities </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property and equipment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stations and broadcasting assets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Escrow deposit related to acquisition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 related to sale of business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flows used in investing activities </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ownership interest in Reach Media</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2031 Second Lien Notes, including premium of $405</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2028 Notes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Semi-annual premium payment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line of credit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short-term borrowings under line of credit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payments for taxes related to net share settlement of equity awards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 to non-controlling interest members of Reach Media</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flows used in financing activities </w:t>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(55,432)</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(51,357)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86,217 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FINANCING AND INVESTING ACTIVITIES:</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interests to estimated redemption value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non-controlling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stock-based compensation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to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Urban One, Inc., a Delaware corporation, and its subsidiaries (collectively, “Urban One,” the “Company,” “we,” “our” and/or “us”) is an urban-oriented, multi-media company that primarily targets African-American and urban consumers. Our core business is our Radio Broadcasting franchise which is the largest radio broadcasting operation that primarily targets African-American and urban listeners. As of July 31, 2026, following the Service Broadcasting Group, LLC acquisition as defined in Note </w:t>
      </w:r>
      <w:r>
        <w:rPr>
          <w:rFonts w:ascii="Times New Roman;serif" w:hAnsi="Times New Roman;serif"/>
          <w:b w:val="false"/>
          <w:i/>
          <w:color w:val="000000"/>
          <w:sz w:val="20"/>
        </w:rPr>
        <w:t xml:space="preserve">7 - Dispositions and Acquisitions, </w:t>
      </w:r>
      <w:r>
        <w:rPr>
          <w:rFonts w:ascii="Times New Roman;serif" w:hAnsi="Times New Roman;serif"/>
          <w:b w:val="false"/>
          <w:color w:val="000000"/>
          <w:sz w:val="20"/>
        </w:rPr>
        <w:t>the Company owned and/or operated 76 independently formatted, revenue producing broadcast stations (including 59 FM or AM stations, 15 HD stations, and the 2 low power television stations the Company operates), located in 13 of the most populous African-American markets in the United States. While a core source of our revenue has historically been and remains the sale of local and national advertising for broadcast on our radio stations, our strategy is to operate the premier multi-media entertainment and information content platform targeting African-American and urban consumers. Thus, the Company has diversified its revenue streams by making acquisitions and investments in other complementary media properties. Our diverse media and entertainment interests include TV One, LLC (“TV One”), which operates two cable television networks targeting African-American and urban viewers, TV One and CLEO TV; Reach Media, Inc. (“Reach Media”) which operates the Rickey Smiley Morning Show and our other syndicated programming assets, including the Get Up! Mornings with Erica Campbell Show and the DL Hughley Show; and Interactive One, LLC (“Interactive One”), our wholly owned digital platform serving the African-American community through social content, news, information, and entertainment websites, including its iONE Digital, Cassius and Bossip, HipHopWired and MadameNoire digital platforms and brands. Through our national multi-media operations, the Company provides advertisers with a unique and powerful delivery mechanism to communicate with African-American and urban audiences.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core Radio Broadcasting franchise operates under the brand “Radio One.” The Company also operates other brands, such as TV One, CLEO TV, Reach Media, iONE Digital, and One Solution, while developing additional branding reflective of our diverse media operations and our targeting of African-American and urban audiences.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 part of our unaudited condensed consolidated financial statements, consistent with our financial reporting structure and how the Company currently manages its businesses, the Company has provided selected financial information on the Company’s four reportable segments: (i) Radio Broadcasting; (ii) Reach Media; (iii) Digital; and (iv) Cable Television. See Note </w:t>
      </w:r>
      <w:r>
        <w:rPr>
          <w:rFonts w:ascii="Times New Roman;serif" w:hAnsi="Times New Roman;serif"/>
          <w:b w:val="false"/>
          <w:i/>
          <w:color w:val="000000"/>
          <w:sz w:val="20"/>
        </w:rPr>
        <w:t>12</w:t>
      </w:r>
      <w:r>
        <w:rPr>
          <w:color w:val="000000"/>
        </w:rPr>
        <w:t xml:space="preserve"> – </w:t>
      </w:r>
      <w:r>
        <w:rPr>
          <w:rFonts w:ascii="Times New Roman;serif" w:hAnsi="Times New Roman;serif"/>
          <w:b w:val="false"/>
          <w:i/>
          <w:color w:val="000000"/>
          <w:sz w:val="20"/>
        </w:rPr>
        <w:t xml:space="preserve">Segment Information </w:t>
      </w:r>
      <w:r>
        <w:rPr>
          <w:rFonts w:ascii="Times New Roman;serif" w:hAnsi="Times New Roman;serif"/>
          <w:b w:val="false"/>
          <w:color w:val="000000"/>
          <w:sz w:val="20"/>
        </w:rPr>
        <w:t>of our unaudited condensed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are prepared in conformity with accounting principles generally accepted in the United States (“GAAP”) and under the rules and regulations of the Securities and Exchange Commission (“SEC”) for interim financial information. In management’s opinion, the interim financial data presented herein includes all adjustments (which include only normal recurring adjustments) necessary for a fair statement of its financial position as of June 30, 2026, its results of operations for the three and six months ended June 30, 2026 and 2025, and cash flows for the six months ended June 30, 2026 and 2025. Certain information and footnote disclosures normally included in the annual financial statements prepared in accordance with US GAAP have been omitted pursuant to such rules and regulations.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accompanying unaudited condensed consolidated financial statements and related financial information should be read in conjunction with the audited consolidated financial statements and the related notes thereto as of and for the year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included in the Company’</w:t>
      </w:r>
      <w:r>
        <w:rPr>
          <w:rFonts w:ascii="Times New Roman;serif" w:hAnsi="Times New Roman;serif"/>
          <w:b w:val="false"/>
          <w:color w:val="000000"/>
          <w:sz w:val="20"/>
          <w:shd w:fill="FFFFFF" w:val="clear"/>
        </w:rPr>
        <w:t>s Form 10-K. T</w:t>
      </w:r>
      <w:r>
        <w:rPr>
          <w:rFonts w:ascii="Times New Roman;serif" w:hAnsi="Times New Roman;serif"/>
          <w:b w:val="false"/>
          <w:color w:val="000000"/>
          <w:sz w:val="20"/>
        </w:rPr>
        <w:t xml:space="preserve">here have been no significant changes to the Company’s accounting policies as described in Note </w:t>
      </w:r>
      <w:r>
        <w:rPr>
          <w:rFonts w:ascii="Times New Roman;serif" w:hAnsi="Times New Roman;serif"/>
          <w:b w:val="false"/>
          <w:i/>
          <w:color w:val="000000"/>
          <w:sz w:val="20"/>
        </w:rPr>
        <w:t>2 - Summary of Significant Accounting Policies</w:t>
      </w:r>
      <w:r>
        <w:rPr>
          <w:rFonts w:ascii="Times New Roman;serif" w:hAnsi="Times New Roman;serif"/>
          <w:b w:val="false"/>
          <w:color w:val="000000"/>
          <w:sz w:val="20"/>
        </w:rPr>
        <w:t>, in the notes to the consolidated financial statements in Item 8 of Part II of Form 10-K.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amounts presented in these unaudited condensed consolidated financial statements are expressed in thousands of U.S. dollars, except share and per share amounts and unless otherwise noted.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 the prior year financial statements have been reclassified to conform to the current quarter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results are subject to seasonal fluctuations and, typically, revenues are generally lowest in the first calendar quarter of the year. Due to this seasonality, the results for interim periods are not necessarily indicative of results to be expected for the full year. The Company experiences further seasonality in odd versus even years as there tends to be more political activity in even years which can have a positive impact on advertising revenues.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and operations of Urban One and subsidiaries in which Urban One has a controlling financial interest, which is generally determined to exist when the Company holds a majority voting interest. All intercompany accounts and transactions have been eliminated in consolidation. Non-controlling interests have been recognized where a controlling interest exists, but the Company owns less than 100% of the controlled entity.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21, 2025, our Board of Directors (the “Board”) authorized a reverse stock split across all classes of the Company’s outstanding common stock. The Board's authorization was subject to the approval of the Company's stockholders, which was obtained on June 18, 2025. On January 16, 2026, the Company announced that its Board of Directors has approved the reverse stock split of all classes of its common stock, including its publicly traded shares of Class A Common Stock and Class D Common Stock at a ratio of 1-for-10 (the “Reverse Stock Split”). The Reverse Stock Split was conducted to regain compliance with the $1.00 minimum bid price requirement (the “Minimum Bid Price Requirement”) for continued listing on the Nasdaq Capital Market (“Nasdaq”) with respect shares of the Company’s Class D Common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16, 2026, the Company filed a Certificate of Amendment to its Amended and Restated Certificate of Incorporation (the “Certificate of Amendment”) with the Secretary of State of the State of Delaware to effect the Reverse Stock Split, which became effective as of 11:59 p.m. Eastern Time on January 22, 2026 (the “Effective Date”). No fractional shares were issued in connection with the Reverse Stock Split. Instead, in lieu of any fractional shares, the Company paid cash for each holder’s fractional shares in an amount equal to the closing sales price of the Company’s Class A Common Stock or Class D Common Stock, respectively, as reported on Nasdaq on the Effective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noted, all shares of Common Stock, including stock options, and restricted stock units, as well as all exercise prices, conversion prices and per share information in the consolidated financial statements have been retroactively adjusted to reflect the Reverse Stock Split, as if the split occurred at the beginning of the earliest period presented in this Quarterly Report.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preparation of financial statements in conformity with GAAP requires management to make certain estimates and assumptions. The most significant estimates and assumptions are used in determining: (i) estimates of future cash flows, projected revenues rates, operating profit margins, and discount rates used to evaluate and recognize impairments; (ii) estimates of fair value of the Employment Agreement Award (as defined in Note </w:t>
      </w:r>
      <w:r>
        <w:rPr>
          <w:rFonts w:ascii="Times New Roman;serif" w:hAnsi="Times New Roman;serif"/>
          <w:b w:val="false"/>
          <w:i/>
          <w:color w:val="000000"/>
          <w:sz w:val="20"/>
        </w:rPr>
        <w:t>5 - Fair Value Measurements</w:t>
      </w:r>
      <w:r>
        <w:rPr>
          <w:rFonts w:ascii="Times New Roman;serif" w:hAnsi="Times New Roman;serif"/>
          <w:b w:val="false"/>
          <w:color w:val="000000"/>
          <w:sz w:val="20"/>
        </w:rPr>
        <w:t>); and (iii) content asset amortization curves.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estimates and assumptions may affect the reported amounts of assets and liabilities and the disclosure of contingent assets and liabilities as of the date of the financial statements. The Company bases these estimates on historical experience, the current economic environment or various other assumptions that are believed to be reasonable under the circumstances. However, economic uncertainty, changes in consumer behavior, and any disruption in financial markets increase the possibility that actual results may differ from these estimates. Estimates and assumptions are reviewed periodically, and the effects are reflected prospectively in the period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Supplemental Financial Information </w:t>
      </w:r>
    </w:p>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The following table presents the components of </w:t>
      </w:r>
      <w:r>
        <w:rPr>
          <w:rFonts w:ascii="Times New Roman;serif" w:hAnsi="Times New Roman;serif"/>
          <w:b w:val="false"/>
          <w:i/>
          <w:color w:val="000000"/>
          <w:sz w:val="20"/>
          <w:shd w:fill="FFFFFF" w:val="clear"/>
        </w:rPr>
        <w:t>Other Current Liabilities</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Other Long-term Liabilities</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2344"/>
        <w:gridCol w:w="2036"/>
        <w:gridCol w:w="2050"/>
        <w:gridCol w:w="738"/>
        <w:gridCol w:w="392"/>
        <w:gridCol w:w="388"/>
        <w:gridCol w:w="109"/>
        <w:gridCol w:w="109"/>
        <w:gridCol w:w="109"/>
        <w:gridCol w:w="854"/>
        <w:gridCol w:w="445"/>
        <w:gridCol w:w="631"/>
      </w:tblGrid>
      <w:tr>
        <w:trPr/>
        <w:tc>
          <w:tcPr>
            <w:tcW w:w="234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6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6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 and unearned income</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w:t>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event income</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 accrual</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 accrual</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w:t>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Employment Agreement Award (as defined in Note </w:t>
            </w:r>
            <w:r>
              <w:rPr>
                <w:rFonts w:ascii="Times New Roman;serif" w:hAnsi="Times New Roman;serif"/>
                <w:b w:val="false"/>
                <w:i/>
                <w:color w:val="000000"/>
                <w:sz w:val="20"/>
              </w:rPr>
              <w:t>5 - Fair Value Measurements</w:t>
            </w:r>
            <w:r>
              <w:rPr>
                <w:rFonts w:ascii="Times New Roman;serif" w:hAnsi="Times New Roman;serif"/>
                <w:b w:val="false"/>
                <w:color w:val="000000"/>
                <w:sz w:val="20"/>
              </w:rPr>
              <w:t>)</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Shared-based payment liability</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3,639</w:t>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11,861</w:t>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long-term liabilities</w:t>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Employment Agreement Award (as defined in Note </w:t>
            </w:r>
            <w:r>
              <w:rPr>
                <w:rFonts w:ascii="Times New Roman;serif" w:hAnsi="Times New Roman;serif"/>
                <w:b w:val="false"/>
                <w:i/>
                <w:color w:val="000000"/>
                <w:sz w:val="20"/>
              </w:rPr>
              <w:t>5 - Fair Value Measurements</w:t>
            </w: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5,099</w:t>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uncertain tax position</w:t>
            </w:r>
          </w:p>
        </w:tc>
        <w:tc>
          <w:tcPr>
            <w:tcW w:w="1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8,392</w:t>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Supplemental Cash Flow Information</w:t>
      </w:r>
    </w:p>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cash, cash equivalents and restricted cash as reported within the unaudited condensed consolidated balance sheets to “Cash, cash equivalents and restricted cash, end of period” as reported within the unaudited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86"/>
        <w:gridCol w:w="2422"/>
        <w:gridCol w:w="2435"/>
        <w:gridCol w:w="332"/>
        <w:gridCol w:w="338"/>
        <w:gridCol w:w="338"/>
        <w:gridCol w:w="166"/>
        <w:gridCol w:w="166"/>
        <w:gridCol w:w="166"/>
        <w:gridCol w:w="332"/>
        <w:gridCol w:w="298"/>
        <w:gridCol w:w="426"/>
      </w:tblGrid>
      <w:tr>
        <w:trPr/>
        <w:tc>
          <w:tcPr>
            <w:tcW w:w="278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7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15,358</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85,732</w:t>
            </w:r>
          </w:p>
        </w:tc>
      </w:tr>
      <w:tr>
        <w:trPr/>
        <w:tc>
          <w:tcPr>
            <w:tcW w:w="76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r>
      <w:tr>
        <w:trPr/>
        <w:tc>
          <w:tcPr>
            <w:tcW w:w="7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unaudited condensed consolidated statements of cash flows</w:t>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16,202</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86,217</w:t>
            </w:r>
          </w:p>
        </w:tc>
      </w:tr>
    </w:tbl>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Related Party Transactions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Reach Media operated the Tom Joyner Foundation’s Fantastic Voyage® (the “Fantastic Voyage®”), an annual fund-raising event, on behalf of the Tom Joyner Foundation, Inc. (the “Foundation”), a 501(c)(3) entity. The 2024 Fantastic Voyage® operated under an agreement under which Reach Media provided all necessary operations of the cruise, and Reach Media was reimbursed its expenditures and received a fee based on performance. Tom Joyner was a minority interest owner of Reach Media until his interest were fully bought out.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August 12, 2024, Reach Media and the Foundation entered into a new agreement regarding the Fantastic Voyage (the “FV Revised Agreement”). The 2025 Fantastic Voyage operated under the FV Revised Agreement, which provided distribution of net operating income in the following order until the funds are depleted: up to $0.3 million to the Foundation, up to a $2.0 million performance fee to Reach, with any remaining net operating income split between the Foundation and Reach at 10.0% and 90.0%, respectively. Regardless of the net operating income, the Foundation was guaranteed a distribution of at least $0.3 million. The Foundation’s remittances to Reach Media under the agreement were limited to its Fantastic Voyage® related cash collections. Reach Media bore the risk should the Fantastic Voyage® sustain a loss and bears all credit risk associated with the related passenger cruise package sales. The FV Revised Agreement expired in 2025 and was not renewed. As the agreement was not renewed, Reach Media has developed a new cruise event called the “One Voyage” that it operates independently of the prior arrangements with the Tom Joyner Foundation. The One Voyage cruise will operate during the third quarter of 2026.</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Foundation owed Reach Media an immaterial amount as of December 31, 2025.</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In September 2025, the FASB issued ASU No. 2025-06, </w:t>
      </w:r>
      <w:r>
        <w:rPr>
          <w:color w:val="000000"/>
          <w:shd w:fill="FFFFFF" w:val="clear"/>
        </w:rPr>
        <w:t>“</w:t>
      </w:r>
      <w:r>
        <w:rPr>
          <w:rFonts w:ascii="Times New Roman;serif" w:hAnsi="Times New Roman;serif"/>
          <w:b w:val="false"/>
          <w:color w:val="000000"/>
          <w:sz w:val="20"/>
        </w:rPr>
        <w:t xml:space="preserve">Intangibles - Goodwill and Other - Internal Use Software (Subtopic 350-40): Targeted Improvements to the Accounting for Internal-Use Software”, which amends certain aspects of the accounting for and disclosure of software costs under ASC 350-40. The standard is effective for annual reporting periods beginning after December 15, 2027, including interim reporting periods within those annual reporting periods. Early adoption is permitted, and the standard can be applied prospectively, retrospectively, or on a modified basis for in-process projects. The Company is in the process of evaluating the impact of this new guidance on its consolidated financial statements. </w:t>
      </w:r>
    </w:p>
    <w:p>
      <w:pPr>
        <w:pStyle w:val="TextBody"/>
        <w:bidi w:val="0"/>
        <w:spacing w:lineRule="auto" w:line="288" w:before="240" w:after="240"/>
        <w:ind w:left="0" w:right="0" w:firstLine="720"/>
        <w:jc w:val="both"/>
        <w:rPr/>
      </w:pPr>
      <w:r>
        <w:rPr>
          <w:rFonts w:ascii="Times New Roman;serif" w:hAnsi="Times New Roman;serif"/>
          <w:b w:val="false"/>
          <w:color w:val="000000"/>
          <w:sz w:val="20"/>
          <w:shd w:fill="FFFFFF" w:val="clear"/>
        </w:rPr>
        <w:t>In November 2024, the FASB issued ASU No. 2024-03, “</w:t>
      </w:r>
      <w:r>
        <w:rPr>
          <w:rFonts w:ascii="Times New Roman;serif" w:hAnsi="Times New Roman;serif"/>
          <w:b w:val="false"/>
          <w:i/>
          <w:color w:val="000000"/>
          <w:sz w:val="20"/>
          <w:shd w:fill="FFFFFF" w:val="clear"/>
        </w:rPr>
        <w:t>Income Statement (Subtopic 220-40):</w:t>
      </w:r>
      <w:r>
        <w:rPr>
          <w:color w:val="000000"/>
          <w:shd w:fill="FFFFFF" w:val="clear"/>
        </w:rPr>
        <w:t xml:space="preserve"> </w:t>
      </w:r>
      <w:r>
        <w:rPr>
          <w:rFonts w:ascii="Times New Roman;serif" w:hAnsi="Times New Roman;serif"/>
          <w:b w:val="false"/>
          <w:i/>
          <w:color w:val="000000"/>
          <w:sz w:val="20"/>
          <w:shd w:fill="FFFFFF" w:val="clear"/>
        </w:rPr>
        <w:t>Disaggregation of Income Statement Expenses</w:t>
      </w:r>
      <w:r>
        <w:rPr>
          <w:color w:val="000000"/>
          <w:shd w:fill="FFFFFF" w:val="clear"/>
        </w:rPr>
        <w:t>”</w:t>
      </w:r>
      <w:r>
        <w:rPr>
          <w:rFonts w:ascii="Times New Roman;serif" w:hAnsi="Times New Roman;serif"/>
          <w:b w:val="false"/>
          <w:color w:val="000000"/>
          <w:sz w:val="20"/>
          <w:shd w:fill="FFFFFF" w:val="clear"/>
        </w:rPr>
        <w:t>, which focuses on the disaggregation of income statement expenses. ASU No. 2024-03 requires entities to provide more detailed disclosures about certain significant expense categories in their financial statements. The amendments of ASU 2024-03 are effective for annual reporting periods beginning after December 15, 2026, and for interim reporting periods beginning after December 15, 2027. Early adoption is permitted and the amendments may be applied prospectively or retrospectively. The Company is in the process of evaluating the impact of this new guidance on the disclosures within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NET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show the sources of the Company’s net revenue by contract type and segment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679"/>
        <w:gridCol w:w="480"/>
        <w:gridCol w:w="482"/>
        <w:gridCol w:w="524"/>
        <w:gridCol w:w="336"/>
        <w:gridCol w:w="340"/>
        <w:gridCol w:w="109"/>
        <w:gridCol w:w="109"/>
        <w:gridCol w:w="109"/>
        <w:gridCol w:w="273"/>
        <w:gridCol w:w="284"/>
        <w:gridCol w:w="287"/>
        <w:gridCol w:w="109"/>
        <w:gridCol w:w="109"/>
        <w:gridCol w:w="109"/>
        <w:gridCol w:w="295"/>
        <w:gridCol w:w="333"/>
        <w:gridCol w:w="343"/>
        <w:gridCol w:w="109"/>
        <w:gridCol w:w="109"/>
        <w:gridCol w:w="109"/>
        <w:gridCol w:w="406"/>
        <w:gridCol w:w="336"/>
        <w:gridCol w:w="340"/>
        <w:gridCol w:w="109"/>
        <w:gridCol w:w="109"/>
        <w:gridCol w:w="109"/>
        <w:gridCol w:w="425"/>
        <w:gridCol w:w="973"/>
        <w:gridCol w:w="222"/>
        <w:gridCol w:w="109"/>
        <w:gridCol w:w="109"/>
        <w:gridCol w:w="109"/>
        <w:gridCol w:w="487"/>
        <w:gridCol w:w="298"/>
        <w:gridCol w:w="427"/>
      </w:tblGrid>
      <w:tr>
        <w:trPr/>
        <w:tc>
          <w:tcPr>
            <w:tcW w:w="6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w:t>
              <w:b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w:t>
              <w:b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w:t>
              <w:br/>
              <w:t>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Corporate/Eliminations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34,732</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9,386</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20,773</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16,286</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38,627</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10,241</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22,977</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17,061</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w:t>
            </w:r>
          </w:p>
        </w:tc>
      </w:tr>
      <w:tr>
        <w:trPr/>
        <w:tc>
          <w:tcPr>
            <w:tcW w:w="1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38"/>
        <w:gridCol w:w="434"/>
        <w:gridCol w:w="435"/>
        <w:gridCol w:w="524"/>
        <w:gridCol w:w="336"/>
        <w:gridCol w:w="340"/>
        <w:gridCol w:w="109"/>
        <w:gridCol w:w="109"/>
        <w:gridCol w:w="109"/>
        <w:gridCol w:w="273"/>
        <w:gridCol w:w="336"/>
        <w:gridCol w:w="340"/>
        <w:gridCol w:w="109"/>
        <w:gridCol w:w="109"/>
        <w:gridCol w:w="109"/>
        <w:gridCol w:w="311"/>
        <w:gridCol w:w="333"/>
        <w:gridCol w:w="343"/>
        <w:gridCol w:w="109"/>
        <w:gridCol w:w="109"/>
        <w:gridCol w:w="109"/>
        <w:gridCol w:w="406"/>
        <w:gridCol w:w="336"/>
        <w:gridCol w:w="340"/>
        <w:gridCol w:w="109"/>
        <w:gridCol w:w="109"/>
        <w:gridCol w:w="109"/>
        <w:gridCol w:w="336"/>
        <w:gridCol w:w="1018"/>
        <w:gridCol w:w="175"/>
        <w:gridCol w:w="109"/>
        <w:gridCol w:w="109"/>
        <w:gridCol w:w="109"/>
        <w:gridCol w:w="487"/>
        <w:gridCol w:w="341"/>
        <w:gridCol w:w="488"/>
      </w:tblGrid>
      <w:tr>
        <w:trPr/>
        <w:tc>
          <w:tcPr>
            <w:tcW w:w="63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w:t>
              <w:b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w:t>
              <w:b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w:t>
              <w:br/>
              <w:t>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Corporate/Eliminations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66,856</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16,170</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39,868</w:t>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33,163</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5,208</w:t>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74,844</w:t>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20,452</w:t>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48,402</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35,778</w:t>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w:t>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Contract Assets and Liabilities</w:t>
      </w:r>
      <w:r>
        <w:rPr>
          <w:color w:val="000000"/>
        </w:rPr>
        <w:t xml:space="preserve"> </w:t>
      </w:r>
    </w:p>
    <w:p>
      <w:pPr>
        <w:pStyle w:val="TextBody"/>
        <w:bidi w:val="0"/>
        <w:spacing w:lineRule="auto" w:line="288" w:before="24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that are not separately stated in the Company’s unaudited condensed consolidated balance sheet as of June 30, 2026, and consolidated balance sheet as of December 31, 2025 were as follows:</w:t>
      </w:r>
    </w:p>
    <w:tbl>
      <w:tblPr>
        <w:tblW w:w="7315" w:type="dxa"/>
        <w:jc w:val="left"/>
        <w:tblInd w:w="0" w:type="dxa"/>
        <w:tblLayout w:type="fixed"/>
        <w:tblCellMar>
          <w:top w:w="28" w:type="dxa"/>
          <w:left w:w="28" w:type="dxa"/>
          <w:bottom w:w="28" w:type="dxa"/>
          <w:right w:w="28" w:type="dxa"/>
        </w:tblCellMar>
      </w:tblPr>
      <w:tblGrid>
        <w:gridCol w:w="1259"/>
        <w:gridCol w:w="1108"/>
        <w:gridCol w:w="1112"/>
        <w:gridCol w:w="348"/>
        <w:gridCol w:w="1017"/>
        <w:gridCol w:w="180"/>
        <w:gridCol w:w="109"/>
        <w:gridCol w:w="109"/>
        <w:gridCol w:w="109"/>
        <w:gridCol w:w="422"/>
        <w:gridCol w:w="1234"/>
        <w:gridCol w:w="308"/>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 and unearned income</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audience deficiency</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event income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Unbilled receivables consist of earned revenue that has not yet been billed. Contract assets are included in trade accounts receivable, net on the unaudited condensed consolidated balance sheets. Customer advances and unearned income represent advance payments by customers for future services under contract that are generally fulfilled in the near term. </w:t>
      </w:r>
    </w:p>
    <w:p>
      <w:pPr>
        <w:pStyle w:val="TextBody"/>
        <w:bidi w:val="0"/>
        <w:spacing w:lineRule="auto" w:line="288" w:before="24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advertising sold based on audience guarantees, audience deficiency typically results in an obligation to deliver additional advertising units to the customer, generally within one year of the campaign end date. To the extent that audience guarantees are not met, a reserve for audience deficiency is recorded until such a time that the audience guarantee has been satisfied. Unearned event income represents payments by customers for upcoming events. Contract liabilities are included in other current liabilities on the unaudited condensed consolidated balance sheets.</w:t>
      </w:r>
    </w:p>
    <w:p>
      <w:pPr>
        <w:pStyle w:val="TextBody"/>
        <w:bidi w:val="0"/>
        <w:spacing w:lineRule="auto" w:line="288" w:before="240" w:after="240"/>
        <w:ind w:left="0" w:right="0" w:firstLine="630"/>
        <w:jc w:val="both"/>
        <w:rPr/>
      </w:pPr>
      <w:r>
        <w:rPr>
          <w:rFonts w:ascii="Times New Roman;serif" w:hAnsi="Times New Roman;serif"/>
          <w:b w:val="false"/>
          <w:color w:val="000000"/>
          <w:sz w:val="20"/>
          <w:shd w:fill="FFFFFF" w:val="clear"/>
        </w:rPr>
        <w:t xml:space="preserve">For customer advances and unearned income as of January 1, 2026, approximately </w:t>
      </w:r>
      <w:r>
        <w:rPr>
          <w:rFonts w:ascii="Times New Roman;serif" w:hAnsi="Times New Roman;serif"/>
          <w:b w:val="false"/>
          <w:color w:val="000000"/>
          <w:sz w:val="20"/>
        </w:rPr>
        <w:t>$1.6 million</w:t>
      </w:r>
      <w:r>
        <w:rPr>
          <w:color w:val="000000"/>
          <w:shd w:fill="FFFFFF" w:val="clear"/>
        </w:rPr>
        <w:t xml:space="preserve"> </w:t>
      </w:r>
      <w:r>
        <w:rPr>
          <w:rFonts w:ascii="Times New Roman;serif" w:hAnsi="Times New Roman;serif"/>
          <w:b w:val="false"/>
          <w:color w:val="000000"/>
          <w:sz w:val="20"/>
          <w:shd w:fill="FFFFFF" w:val="clear"/>
        </w:rPr>
        <w:t xml:space="preserve">was recognized as revenue during the six months ended June 30, 2026. </w:t>
      </w:r>
      <w:r>
        <w:rPr>
          <w:rFonts w:ascii="Times New Roman;serif" w:hAnsi="Times New Roman;serif"/>
          <w:b w:val="false"/>
          <w:color w:val="000000"/>
          <w:sz w:val="20"/>
        </w:rPr>
        <w:t>For the reserve for audience deficiency as of January 1, 2026, approximately $5.0 million was recognized as revenue during the six months ended June 30, 2026. For unearned event income as of January 1, 2026, no revenue was recognized during the six months ended June 30, 2026.</w:t>
      </w:r>
    </w:p>
    <w:p>
      <w:pPr>
        <w:pStyle w:val="TextBody"/>
        <w:bidi w:val="0"/>
        <w:spacing w:lineRule="auto" w:line="288" w:before="240" w:after="24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All of the customer advances and unearned income as of January 1, 2025 was recognized as revenue during the six months ended June 30, 2025. For the reserve for audience deficiency as of January 1, 2025, approximately $8.5 million was recognized as revenue during the six months ended June 30, 2025. For unearned event income as of January 1, 2025, no revenue was recognized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share (“EPS”) attributable to common stockholders is presented in conformity with the two-class method required for participating securities: Class A, Class B, Class C and Class D common stock. The rights of the holders of Class A, Class B, Class C and Class D common stock are identical, except with respect to voting, conversion, and transfer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undistributed earnings or losses are allocated based on the contractual participation rights of Class A, Class B, Class C and Class D common shares as if the earnings or losses for the year have been distributed. As the liquidation and dividend rights are identical, the undistributed earnings or losses are allocated on a proportionate basis, and as such, diluted and basic earnings per share is the same for each class of common stock under the two-class method. As noted above, all per share information has been adjusted to reflect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earnings per share from continuing operations:</w:t>
      </w:r>
    </w:p>
    <w:tbl>
      <w:tblPr>
        <w:tblW w:w="10205" w:type="dxa"/>
        <w:jc w:val="left"/>
        <w:tblInd w:w="0" w:type="dxa"/>
        <w:tblLayout w:type="fixed"/>
        <w:tblCellMar>
          <w:top w:w="28" w:type="dxa"/>
          <w:left w:w="28" w:type="dxa"/>
          <w:bottom w:w="28" w:type="dxa"/>
          <w:right w:w="28" w:type="dxa"/>
        </w:tblCellMar>
      </w:tblPr>
      <w:tblGrid>
        <w:gridCol w:w="1826"/>
        <w:gridCol w:w="1368"/>
        <w:gridCol w:w="1376"/>
        <w:gridCol w:w="239"/>
        <w:gridCol w:w="759"/>
        <w:gridCol w:w="115"/>
        <w:gridCol w:w="115"/>
        <w:gridCol w:w="115"/>
        <w:gridCol w:w="115"/>
        <w:gridCol w:w="239"/>
        <w:gridCol w:w="815"/>
        <w:gridCol w:w="115"/>
        <w:gridCol w:w="109"/>
        <w:gridCol w:w="109"/>
        <w:gridCol w:w="109"/>
        <w:gridCol w:w="229"/>
        <w:gridCol w:w="802"/>
        <w:gridCol w:w="113"/>
        <w:gridCol w:w="113"/>
        <w:gridCol w:w="113"/>
        <w:gridCol w:w="113"/>
        <w:gridCol w:w="229"/>
        <w:gridCol w:w="802"/>
        <w:gridCol w:w="167"/>
      </w:tblGrid>
      <w:tr>
        <w:trPr/>
        <w:tc>
          <w:tcPr>
            <w:tcW w:w="182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Class A, Class B, Class C and Class D stockholders</w:t>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(77,902)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(89,644)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Denominator </w:t>
            </w:r>
            <w:r>
              <w:rPr>
                <w:rFonts w:ascii="Times New Roman;serif" w:hAnsi="Times New Roman;serif"/>
                <w:b w:val="false"/>
                <w:i/>
                <w:color w:val="000000"/>
                <w:sz w:val="13"/>
              </w:rPr>
              <w:t>(1)</w:t>
            </w:r>
            <w:r>
              <w:rPr>
                <w:rFonts w:ascii="Times New Roman;serif" w:hAnsi="Times New Roman;serif"/>
                <w:b w:val="false"/>
                <w:color w:val="000000"/>
                <w:sz w:val="20"/>
              </w:rPr>
              <w:t>:</w:t>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net loss per share - weighted average outstanding shares</w:t>
            </w:r>
          </w:p>
        </w:tc>
        <w:tc>
          <w:tcPr>
            <w:tcW w:w="9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4,470,542 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4,473,831 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4,460,275 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4,476,828 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net loss per share - weighted-average outstanding shares</w:t>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4,470,542 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4,473,831 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4,460,275 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4,476,828 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Net loss attributable to Class A, Class B, Class C and Class D stockholders per share – basic </w:t>
            </w:r>
            <w:r>
              <w:rPr>
                <w:rFonts w:ascii="Times New Roman;serif" w:hAnsi="Times New Roman;serif"/>
                <w:b w:val="false"/>
                <w:i/>
                <w:color w:val="000000"/>
                <w:sz w:val="13"/>
              </w:rPr>
              <w:t>(1)</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(17.41)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(20.02)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loss attributable to Class A, Class B, Class C and Class D stockholders per share – diluted</w:t>
            </w:r>
            <w:r>
              <w:rPr>
                <w:color w:val="000000"/>
              </w:rPr>
              <w:t xml:space="preserve"> </w:t>
            </w:r>
            <w:r>
              <w:rPr>
                <w:rFonts w:ascii="Times New Roman;serif" w:hAnsi="Times New Roman;serif"/>
                <w:b w:val="false"/>
                <w:i/>
                <w:color w:val="000000"/>
                <w:sz w:val="13"/>
              </w:rPr>
              <w:t>(1)</w:t>
            </w:r>
          </w:p>
        </w:tc>
        <w:tc>
          <w:tcPr>
            <w:tcW w:w="23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1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(17.41)</w:t>
            </w:r>
          </w:p>
        </w:tc>
        <w:tc>
          <w:tcPr>
            <w:tcW w:w="115"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13"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02"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(20.02)</w:t>
            </w:r>
          </w:p>
        </w:tc>
        <w:tc>
          <w:tcPr>
            <w:tcW w:w="167"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retroactively for the Reverse Stock Split, refer to Note</w:t>
      </w:r>
      <w:r>
        <w:rPr>
          <w:color w:val="000000"/>
        </w:rPr>
        <w:t xml:space="preserve"> </w:t>
      </w:r>
      <w:r>
        <w:rPr>
          <w:rFonts w:ascii="Times New Roman;serif" w:hAnsi="Times New Roman;serif"/>
          <w:b w:val="false"/>
          <w:i/>
          <w:color w:val="000000"/>
          <w:sz w:val="16"/>
        </w:rPr>
        <w:t>2 - Summary of Significant Accounting Policies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there were approximately 0.6 million potentially dilutive securities that were not included in the computation of diluted EPS, because to do so would have been antidilutive for the periods presented. For three and six months ended June 30, 2025, there were approximately 0.6 million potentially dilutive securities that were not included in the computation of diluted EPS. </w:t>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ind w:left="0" w:right="0" w:firstLine="720"/>
        <w:jc w:val="both"/>
        <w:rPr/>
      </w:pPr>
      <w:r>
        <w:rPr/>
      </w:r>
    </w:p>
    <w:p>
      <w:pPr>
        <w:pStyle w:val="TextBody"/>
        <w:bidi w:val="0"/>
        <w:spacing w:before="24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The Company reports financial and non-financial assets and liabilities measured at fair value on a recurring and non-recurring basis under the provisions of ASC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 which defines fair value, establishes a framework for measuring fair value, and expands disclosures about 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fair values of the Company’s financial assets and liabilities measured at fair value on a recurring basis are categorized as follows:</w:t>
      </w:r>
    </w:p>
    <w:tbl>
      <w:tblPr>
        <w:tblW w:w="8760" w:type="dxa"/>
        <w:jc w:val="left"/>
        <w:tblInd w:w="0" w:type="dxa"/>
        <w:tblLayout w:type="fixed"/>
        <w:tblCellMar>
          <w:top w:w="28" w:type="dxa"/>
          <w:left w:w="28" w:type="dxa"/>
          <w:bottom w:w="28" w:type="dxa"/>
          <w:right w:w="28" w:type="dxa"/>
        </w:tblCellMar>
      </w:tblPr>
      <w:tblGrid>
        <w:gridCol w:w="1590"/>
        <w:gridCol w:w="1400"/>
        <w:gridCol w:w="1420"/>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subject to fair value measurement: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Employment Agreement Award</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equity subject to fair value measurement: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Redeemable non-controlling interests</w:t>
            </w:r>
            <w:r>
              <w:rPr>
                <w:rFonts w:ascii="Times New Roman;serif" w:hAnsi="Times New Roman;serif"/>
                <w:b w:val="false"/>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subject to fair value measurement: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Employment Agreement Award</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equity subject to fair value measurement: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Redeemable non-controlling interests</w:t>
            </w:r>
            <w:r>
              <w:rPr>
                <w:rFonts w:ascii="Times New Roman;serif" w:hAnsi="Times New Roman;serif"/>
                <w:b w:val="false"/>
                <w:color w:val="000000"/>
                <w:sz w:val="13"/>
              </w:rPr>
              <w:t>(b)</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pPr>
      <w:r>
        <w:rPr>
          <w:rFonts w:ascii="Times New Roman;serif" w:hAnsi="Times New Roman;serif"/>
          <w:b w:val="false"/>
          <w:color w:val="000000"/>
          <w:sz w:val="13"/>
        </w:rPr>
        <w:t xml:space="preserve">(a) On April 3, 2024, the Company entered into an employment agreement (“2024 Employment Agreement”) with Alfred C. Liggins, III, President and Chief Executive Officer (“CEO”) pursuant to which he is eligible to receive an award (the “Employment Agreement Award”) amount equal to approximately 4.2% of any proceeds from distributions or other liquidity events in excess of the return of the Company’s aggregate investment in Cable Television. The Company reviews the factors underlying this award at the end of each reporting period including the valuation of Cable Television (based on the estimated enterprise fair value of Cable Television as determined by the income approach using a discounted cash flow model and the market approach using comparable public company multiples). Significant inputs to the discounted cash flow model include projected revenues assumptions, future operating profits, and discount rates. Significant inputs to the market approach include publicly held peer companies and recurring EBITDA multiples. The terms of the 2024 Employment Agreement were effective as of January 1, 2022 and continued until December 31, 2024 (the “Initial Term”). After expiration of the Initial Term, the term of the 2024 Employment Agreement extends automatically for additional one (1) year periods, unless either party provides written notice of its/his intention not to renew to the other party at least sixty (60) days before the expiration of the Initial Term or any renewal term of this Agreement, as applicable. As a part of its 2025 Refinancing (as defined in Note </w:t>
      </w:r>
      <w:r>
        <w:rPr>
          <w:rFonts w:ascii="Times New Roman;serif" w:hAnsi="Times New Roman;serif"/>
          <w:b w:val="false"/>
          <w:i/>
          <w:color w:val="000000"/>
          <w:sz w:val="13"/>
        </w:rPr>
        <w:t>9 - Debt</w:t>
      </w:r>
      <w:r>
        <w:rPr>
          <w:rFonts w:ascii="Times New Roman;serif" w:hAnsi="Times New Roman;serif"/>
          <w:b w:val="false"/>
          <w:color w:val="000000"/>
          <w:sz w:val="13"/>
        </w:rPr>
        <w:t>), the terms of the Employment Agreement were amended to limit his total cash compensation (the “Cash Compensation Limits”). The Cash Compensation Limits do not apply and are not operative for any fiscal year in which the Company’s leverage ratio (as defined in the indenture governing the Company’s First Lien Notes) as of December 31 of such fiscal year is less than 4.75:1.00. The Cash Compensation Limits also do not limit any compensation paid to Mr. Liggins in the form of common stock. Finally, the Cash Compensation Limits terminate once certain original noteholders and their respective affiliates no longer own any of the First Lien Notes.</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(b) The fair value is measured using a discounted cash flow methodology. Significant inputs to the discounted cash flow analysis include revenue growth rates, future operating profit margins, and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transfers within Level 1, 2, or 3 during the six months ended June 30, 2026 and 2025. The following table presents the changes in Level 3 liabilities measured at fair value on a recurring basis for the six months ended June 30, 2026 and 2025:</w:t>
      </w:r>
    </w:p>
    <w:tbl>
      <w:tblPr>
        <w:tblW w:w="7700" w:type="dxa"/>
        <w:jc w:val="left"/>
        <w:tblInd w:w="0" w:type="dxa"/>
        <w:tblLayout w:type="fixed"/>
        <w:tblCellMar>
          <w:top w:w="28" w:type="dxa"/>
          <w:left w:w="28" w:type="dxa"/>
          <w:bottom w:w="28" w:type="dxa"/>
          <w:right w:w="28" w:type="dxa"/>
        </w:tblCellMar>
      </w:tblPr>
      <w:tblGrid>
        <w:gridCol w:w="1809"/>
        <w:gridCol w:w="1587"/>
        <w:gridCol w:w="1598"/>
        <w:gridCol w:w="502"/>
        <w:gridCol w:w="284"/>
        <w:gridCol w:w="287"/>
        <w:gridCol w:w="109"/>
        <w:gridCol w:w="109"/>
        <w:gridCol w:w="109"/>
        <w:gridCol w:w="581"/>
        <w:gridCol w:w="300"/>
        <w:gridCol w:w="425"/>
      </w:tblGrid>
      <w:tr>
        <w:trPr/>
        <w:tc>
          <w:tcPr>
            <w:tcW w:w="180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Employment</w:t>
              <w:br/>
              <w:t>Agreement</w:t>
              <w:br/>
              <w:t>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Redeemable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Non-controlling</w:t>
            </w:r>
          </w:p>
          <w:p>
            <w:pPr>
              <w:pStyle w:val="TableContents"/>
              <w:bidi w:val="0"/>
              <w:spacing w:lineRule="auto" w:line="288" w:before="0" w:after="0"/>
              <w:jc w:val="center"/>
              <w:rPr/>
            </w:pPr>
            <w:r>
              <w:rPr>
                <w:rFonts w:ascii="Times New Roman;serif" w:hAnsi="Times New Roman;serif"/>
                <w:b/>
                <w:color w:val="000000"/>
                <w:sz w:val="16"/>
              </w:rPr>
              <w:t>Interests</w:t>
            </w:r>
            <w:r>
              <w:rPr>
                <w:rFonts w:ascii="Times New Roman;serif" w:hAnsi="Times New Roman;serif"/>
                <w:b/>
                <w:color w:val="000000"/>
                <w:sz w:val="10"/>
              </w:rPr>
              <w:t>(1)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5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2,631</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redeemable non-controlling interests</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ownership interest in Reach Media</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redeemable non-controlling interests</w:t>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Adjustment of redeemable non-controlling interests </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On February 25, 2026, Reach Media closed on the Put Interest increasing the Company’s interest in Reach Media to 100.0%. Reach Media paid the last of the non-controlling interest shareholders approximately $1.3 million for the 5.4% interest.</w:t>
      </w:r>
    </w:p>
    <w:tbl>
      <w:tblPr>
        <w:tblW w:w="8090" w:type="dxa"/>
        <w:jc w:val="left"/>
        <w:tblInd w:w="0" w:type="dxa"/>
        <w:tblLayout w:type="fixed"/>
        <w:tblCellMar>
          <w:top w:w="28" w:type="dxa"/>
          <w:left w:w="28" w:type="dxa"/>
          <w:bottom w:w="28" w:type="dxa"/>
          <w:right w:w="28" w:type="dxa"/>
        </w:tblCellMar>
      </w:tblPr>
      <w:tblGrid>
        <w:gridCol w:w="1912"/>
        <w:gridCol w:w="1678"/>
        <w:gridCol w:w="1689"/>
        <w:gridCol w:w="502"/>
        <w:gridCol w:w="337"/>
        <w:gridCol w:w="339"/>
        <w:gridCol w:w="109"/>
        <w:gridCol w:w="109"/>
        <w:gridCol w:w="109"/>
        <w:gridCol w:w="581"/>
        <w:gridCol w:w="300"/>
        <w:gridCol w:w="425"/>
      </w:tblGrid>
      <w:tr>
        <w:trPr/>
        <w:tc>
          <w:tcPr>
            <w:tcW w:w="191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Employment</w:t>
              <w:br/>
              <w:t>Agreement</w:t>
              <w:br/>
              <w:t>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Interests</w:t>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5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7,988</w:t>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ownership interest in Reach Media</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redeemable non-controlling interests</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the Employment Agreement Award were recorded in the unaudited condensed consolidated statements of operations as selling, general and administrative expenses for the six months ended June 30, 2026 and 2025. The long-term portion is recorded in other long-term liabilities, and the current portion is recorded in other current liabilities in the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Level 3 liabilities measured at fair value on a recurring basis, the significant unobservable inputs used in the fair value measurements were as follows: </w:t>
      </w:r>
    </w:p>
    <w:tbl>
      <w:tblPr>
        <w:tblW w:w="10205" w:type="dxa"/>
        <w:jc w:val="left"/>
        <w:tblInd w:w="0" w:type="dxa"/>
        <w:tblLayout w:type="fixed"/>
        <w:tblCellMar>
          <w:top w:w="28" w:type="dxa"/>
          <w:left w:w="28" w:type="dxa"/>
          <w:bottom w:w="28" w:type="dxa"/>
          <w:right w:w="28" w:type="dxa"/>
        </w:tblCellMar>
      </w:tblPr>
      <w:tblGrid>
        <w:gridCol w:w="988"/>
        <w:gridCol w:w="789"/>
        <w:gridCol w:w="731"/>
        <w:gridCol w:w="109"/>
        <w:gridCol w:w="109"/>
        <w:gridCol w:w="109"/>
        <w:gridCol w:w="561"/>
        <w:gridCol w:w="487"/>
        <w:gridCol w:w="489"/>
        <w:gridCol w:w="109"/>
        <w:gridCol w:w="109"/>
        <w:gridCol w:w="109"/>
        <w:gridCol w:w="767"/>
        <w:gridCol w:w="767"/>
        <w:gridCol w:w="771"/>
        <w:gridCol w:w="109"/>
        <w:gridCol w:w="109"/>
        <w:gridCol w:w="109"/>
        <w:gridCol w:w="278"/>
        <w:gridCol w:w="265"/>
        <w:gridCol w:w="563"/>
        <w:gridCol w:w="109"/>
        <w:gridCol w:w="109"/>
        <w:gridCol w:w="109"/>
        <w:gridCol w:w="314"/>
        <w:gridCol w:w="277"/>
        <w:gridCol w:w="690"/>
        <w:gridCol w:w="160"/>
      </w:tblGrid>
      <w:tr>
        <w:trPr/>
        <w:tc>
          <w:tcPr>
            <w:tcW w:w="98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Significant Unobservable</w:t>
            </w:r>
          </w:p>
          <w:p>
            <w:pPr>
              <w:pStyle w:val="TableContents"/>
              <w:bidi w:val="0"/>
              <w:spacing w:lineRule="auto" w:line="288" w:before="0" w:after="0"/>
              <w:jc w:val="center"/>
              <w:rPr/>
            </w:pPr>
            <w:r>
              <w:rPr>
                <w:rFonts w:ascii="Times New Roman;serif" w:hAnsi="Times New Roman;serif"/>
                <w:b/>
                <w:color w:val="000000"/>
                <w:sz w:val="16"/>
              </w:rPr>
              <w:t>Input Value</w:t>
            </w:r>
            <w:r>
              <w:rPr>
                <w:rFonts w:ascii="Times New Roman;serif" w:hAnsi="Times New Roman;serif"/>
                <w:b/>
                <w:color w:val="000000"/>
                <w:sz w:val="10"/>
              </w:rPr>
              <w:t>(a)</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20.0% - 33.9%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20.0% - 33.9%</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 rate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(6.7)% -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(6.7)% - (2.0)%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recurring EBITDA 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4.1x</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7.0% - 9.3%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 rate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(0.5)% - 2.5%</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Any significant increases or decreases in unobservable inputs could result in significantly higher or lower fair value measurements. Changes in fair value measurements, if significant, may affect the Company’s performance of cash flows.</w:t>
      </w:r>
    </w:p>
    <w:p>
      <w:pPr>
        <w:pStyle w:val="TextBody"/>
        <w:bidi w:val="0"/>
        <w:spacing w:before="0" w:after="0"/>
        <w:ind w:left="0" w:right="0" w:firstLine="324"/>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measured at fair value on a non-recurring basis using Level 3 inputs as defined in ASC 820. These assets are not measured at fair value on an ongoing basis but are subject to fair value adjustments only in certain circumstances. Included in this category are goodwill, net, Radio Broadcasting licenses, net, other intangible assets, net and property and equipment, net which are written down to fair value when they are determined to be impaired, as well as content assets that are periodically written down to net realizable value.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Financial Instruments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As of June 30, 2026 and December 31, 2025, the Company’s financial instruments consisted of cash and cash equivalents, restricted cash, trade accounts receivable, its asset-backed credit facility, and long-term debt. The carrying amounts approximated fair value for each of these financial instruments as of June 30, 2026 and December 31, 2025, except for the Company’s long-term debt, which is disclosed in Note</w:t>
      </w:r>
      <w:r>
        <w:rPr>
          <w:color w:val="000000"/>
        </w:rPr>
        <w:t xml:space="preserve"> </w:t>
      </w:r>
      <w:r>
        <w:rPr>
          <w:rFonts w:ascii="Times New Roman;serif" w:hAnsi="Times New Roman;serif"/>
          <w:b w:val="false"/>
          <w:i/>
          <w:color w:val="000000"/>
          <w:sz w:val="20"/>
        </w:rPr>
        <w:t>9 - Debt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CONTENT ASSETS, NET</w:t>
      </w:r>
    </w:p>
    <w:p>
      <w:pPr>
        <w:pStyle w:val="TextBody"/>
        <w:bidi w:val="0"/>
        <w:spacing w:lineRule="auto" w:line="288" w:before="240" w:after="20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gross cost and accumulated amortization of content assets are as follows:</w:t>
      </w:r>
    </w:p>
    <w:tbl>
      <w:tblPr>
        <w:tblW w:w="7054" w:type="dxa"/>
        <w:jc w:val="left"/>
        <w:tblInd w:w="0" w:type="dxa"/>
        <w:tblLayout w:type="fixed"/>
        <w:tblCellMar>
          <w:top w:w="28" w:type="dxa"/>
          <w:left w:w="28" w:type="dxa"/>
          <w:bottom w:w="28" w:type="dxa"/>
          <w:right w:w="28" w:type="dxa"/>
        </w:tblCellMar>
      </w:tblPr>
      <w:tblGrid>
        <w:gridCol w:w="1087"/>
        <w:gridCol w:w="952"/>
        <w:gridCol w:w="960"/>
        <w:gridCol w:w="759"/>
        <w:gridCol w:w="392"/>
        <w:gridCol w:w="394"/>
        <w:gridCol w:w="109"/>
        <w:gridCol w:w="109"/>
        <w:gridCol w:w="109"/>
        <w:gridCol w:w="944"/>
        <w:gridCol w:w="487"/>
        <w:gridCol w:w="48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Content, net</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Produced Content, net</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85,595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production</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development and pre-production</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 assets, net</w:t>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(36,415)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(39,469)</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72,552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of content assets is recorded in the unaudited condensed consolidated statements of operations as programming and technical expenses. Content amortization for the three and six months ended June 30, 2026 and 2025 is as follows:</w:t>
      </w:r>
    </w:p>
    <w:tbl>
      <w:tblPr>
        <w:tblW w:w="7859" w:type="dxa"/>
        <w:jc w:val="left"/>
        <w:tblInd w:w="0" w:type="dxa"/>
        <w:tblLayout w:type="fixed"/>
        <w:tblCellMar>
          <w:top w:w="28" w:type="dxa"/>
          <w:left w:w="28" w:type="dxa"/>
          <w:bottom w:w="28" w:type="dxa"/>
          <w:right w:w="28" w:type="dxa"/>
        </w:tblCellMar>
      </w:tblPr>
      <w:tblGrid>
        <w:gridCol w:w="1006"/>
        <w:gridCol w:w="883"/>
        <w:gridCol w:w="885"/>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 amortization - acquired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 amortization - produced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content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DISPOSITIONS AND ACQUISITIONS</w:t>
      </w:r>
    </w:p>
    <w:p>
      <w:pPr>
        <w:pStyle w:val="TextBody"/>
        <w:bidi w:val="0"/>
        <w:spacing w:lineRule="auto" w:line="288" w:before="240" w:after="240"/>
        <w:ind w:left="0" w:right="0" w:firstLine="630"/>
        <w:jc w:val="both"/>
        <w:rPr/>
      </w:pPr>
      <w:r>
        <w:rPr>
          <w:rFonts w:ascii="Times New Roman;serif" w:hAnsi="Times New Roman;serif"/>
          <w:b w:val="false"/>
          <w:color w:val="000000"/>
          <w:sz w:val="20"/>
        </w:rPr>
        <w:t>In March 2026, the Company entered into agreements to sell its WMXG and WLNK-FM radio broadcasting licenses in Charlotte, North Carolina along with the associated station assets from the Radio Broadcasting segment to unrelated third parties for approximately $0.7 million and $4.2 million, respectively. FCC approval was obtained on May 13, 2026 for the WMXG station and on May 12, 2026 for the WLNK-FM station. The Company completed both sales on June 1, 2026 and recognized a gain of $4.7 million, which is included in</w:t>
      </w:r>
      <w:r>
        <w:rPr>
          <w:color w:val="000000"/>
        </w:rPr>
        <w:t xml:space="preserve"> </w:t>
      </w:r>
      <w:r>
        <w:rPr>
          <w:rFonts w:ascii="Times New Roman;serif" w:hAnsi="Times New Roman;serif"/>
          <w:b w:val="false"/>
          <w:i/>
          <w:color w:val="000000"/>
          <w:sz w:val="20"/>
        </w:rPr>
        <w:t>Gain On Sale Of Business</w:t>
      </w:r>
      <w:r>
        <w:rPr>
          <w:color w:val="000000"/>
        </w:rPr>
        <w:t xml:space="preserve"> </w:t>
      </w:r>
      <w:r>
        <w:rPr>
          <w:rFonts w:ascii="Times New Roman;serif" w:hAnsi="Times New Roman;serif"/>
          <w:b w:val="false"/>
          <w:color w:val="000000"/>
          <w:sz w:val="20"/>
        </w:rPr>
        <w:t>in the unaudited consolidated statement of operations for the three and six months ended June 30, 2026.</w:t>
      </w:r>
    </w:p>
    <w:p>
      <w:pPr>
        <w:pStyle w:val="TextBody"/>
        <w:bidi w:val="0"/>
        <w:spacing w:lineRule="auto" w:line="288" w:before="0" w:after="24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2026, the Company entered into an agreement to acquire Service Broadcasting Group, LLC, including radio stations KKDA and KRNB in Dallas, Texas for $22.0 million, of which $3.3 million was put on escrow during the three months ended June 30, 2026. At the same time, the Company also entered into an agreement to sell radio station KZMJ from the Radio Broadcasting segment to Fuzion Dallas, LLC for $6.0 million. The transactions include the transfer of each station’s FCC license and related assets and were subject to approval by the FCC and other customary closing conditions. All stations operate in their current format until the transaction received FCC approval and closed. </w:t>
      </w:r>
    </w:p>
    <w:p>
      <w:pPr>
        <w:pStyle w:val="TextBody"/>
        <w:bidi w:val="0"/>
        <w:spacing w:lineRule="auto" w:line="288" w:before="240" w:after="24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associated with the radio station KZMJ have been reclassified as held-for-sale in the unaudited consolidated balance sheets as of June 30, 2026. The primary assets classified as held-for-sale are right-of-use assets, net of $1.1 million, broadcasting licenses, net of $1.0 million, and goodwill of $0.7 million. The liabilities held-for-sale consist of lease liabilities of $0.2 million. FCC approval was obtained on June 23, 2026 and the Company completed the sale of KZMJ on July 6, 2026. The Company recognized a gain of $3.2 million on the KZMJ disposition in the third quarter of 2026.</w:t>
      </w:r>
    </w:p>
    <w:p>
      <w:pPr>
        <w:pStyle w:val="TextBody"/>
        <w:bidi w:val="0"/>
        <w:spacing w:lineRule="auto" w:line="288" w:before="240" w:after="240"/>
        <w:ind w:left="0" w:right="0" w:firstLine="630"/>
        <w:jc w:val="both"/>
        <w:rPr/>
      </w:pPr>
      <w:r>
        <w:rPr>
          <w:rFonts w:ascii="Times New Roman;serif" w:hAnsi="Times New Roman;serif"/>
          <w:b w:val="false"/>
          <w:color w:val="000000"/>
          <w:sz w:val="20"/>
        </w:rPr>
        <w:t xml:space="preserve">FCC approval was obtained on June 26, 2026 for the Service Broadcasting Group, LLC acquisition and the acquisition was completed on July 17, 2026. This acquisition will be accounted for in accordance with Accounting Standards Codification No.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Based upon the timing of this acquisition, the initial accounting for the acquisition is not yet complete as the Company gathers additional information related to the assets acquired and the liabilities assumed. The Company is in the process of obtaining third-party valuations of certain intangible assets. The preliminary application of acquisition accounting to the assets acquired, and liabilities assumed, as well as the results of operations will first be reflected in the Company's consolidated financial statements as of and for the three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8. GOODWILL, NET AND INTANGIBLE ASSETS, NET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Goodwill,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Company's goodwill carrying values for its reportable segments during the six months ended June 30, 2026:</w:t>
      </w:r>
    </w:p>
    <w:tbl>
      <w:tblPr>
        <w:tblW w:w="10205" w:type="dxa"/>
        <w:jc w:val="left"/>
        <w:tblInd w:w="0" w:type="dxa"/>
        <w:tblLayout w:type="fixed"/>
        <w:tblCellMar>
          <w:top w:w="28" w:type="dxa"/>
          <w:left w:w="28" w:type="dxa"/>
          <w:bottom w:w="28" w:type="dxa"/>
          <w:right w:w="28" w:type="dxa"/>
        </w:tblCellMar>
      </w:tblPr>
      <w:tblGrid>
        <w:gridCol w:w="1271"/>
        <w:gridCol w:w="906"/>
        <w:gridCol w:w="911"/>
        <w:gridCol w:w="240"/>
        <w:gridCol w:w="942"/>
        <w:gridCol w:w="124"/>
        <w:gridCol w:w="109"/>
        <w:gridCol w:w="109"/>
        <w:gridCol w:w="109"/>
        <w:gridCol w:w="211"/>
        <w:gridCol w:w="723"/>
        <w:gridCol w:w="109"/>
        <w:gridCol w:w="109"/>
        <w:gridCol w:w="109"/>
        <w:gridCol w:w="109"/>
        <w:gridCol w:w="211"/>
        <w:gridCol w:w="721"/>
        <w:gridCol w:w="109"/>
        <w:gridCol w:w="109"/>
        <w:gridCol w:w="109"/>
        <w:gridCol w:w="109"/>
        <w:gridCol w:w="224"/>
        <w:gridCol w:w="881"/>
        <w:gridCol w:w="116"/>
        <w:gridCol w:w="109"/>
        <w:gridCol w:w="109"/>
        <w:gridCol w:w="109"/>
        <w:gridCol w:w="211"/>
        <w:gridCol w:w="826"/>
        <w:gridCol w:w="161"/>
      </w:tblGrid>
      <w:tr>
        <w:trPr/>
        <w:tc>
          <w:tcPr>
            <w:tcW w:w="127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Digital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Cable Television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378,046 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(128,846)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26,121 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92,410 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132,382 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Disposition of business (See Note </w:t>
            </w:r>
            <w:r>
              <w:rPr>
                <w:rFonts w:ascii="Times New Roman;serif" w:hAnsi="Times New Roman;serif"/>
                <w:b w:val="false"/>
                <w:i/>
                <w:color w:val="000000"/>
                <w:sz w:val="20"/>
              </w:rPr>
              <w:t>7</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Dispositions and Acquisitions</w:t>
            </w:r>
            <w:r>
              <w:rPr>
                <w:rFonts w:ascii="Times New Roman;serif" w:hAnsi="Times New Roman;serif"/>
                <w:b w:val="false"/>
                <w:color w:val="000000"/>
                <w:sz w:val="20"/>
              </w:rPr>
              <w: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Assets-held-for sale (See Note </w:t>
            </w:r>
            <w:r>
              <w:rPr>
                <w:rFonts w:ascii="Times New Roman;serif" w:hAnsi="Times New Roman;serif"/>
                <w:b w:val="false"/>
                <w:i/>
                <w:color w:val="000000"/>
                <w:sz w:val="20"/>
              </w:rPr>
              <w:t>7 - Dispositions and Acquisitions</w:t>
            </w:r>
            <w:r>
              <w:rPr>
                <w:rFonts w:ascii="Times New Roman;serif" w:hAnsi="Times New Roman;serif"/>
                <w:b w:val="false"/>
                <w:color w:val="000000"/>
                <w:sz w:val="20"/>
              </w:rPr>
              <w: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w:t>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154,254 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(128,846)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(73,289)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(259,515)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goodwill at June 30, 2026</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25,408 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92,410 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117,818 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due to the additional decline in revenue, further decrease in forecasted revenue and operating profit margin brought on by declining industry and macro-economic conditions created a triggering event indicating the fair value of the Reach Media reporting unit was more likely than not to be less than its carrying value. As a result, the Company performed an interim quantitative impairment assessment for the Reach Media reporting unit to determine whether it was impaired. The Company estimated the fair value of the reporting unit by utilizing a discounted cash flow model. The key assumptions used in the discounted cash flow model for goodwill include projected revenues, operating profit margins, terminal rate and discount rate. Based on this assessment, the Company recognized impairment losses of approximately $13.9 million, to reduce the carrying value of the Reach Media goodwill balances for the three and six months ended June 30, 2026, included in impairment of goodwill, intangible assets and long-lived assets, on the unaudited condensed consolidated statement of operations.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Company recorded a $0.3 million impairment charge related to the long-lived assets of Reach Media as the assets of the long-lived asset group were not deemed recoverable as of May 31, 2026.</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did not identify any triggering events indicating the fair value of the Company’s Radio Broadcasting and Cable Television reporting units were more likely than not to be less than its carrying value.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May 31, 2025, an overall decline in revenue and operating profit margin created a triggering event indicating the fair value of the Company's Radio Broadcasting, Reach Media and Digital reportable units were more likely than not to be less than its carrying value. Therefore, the Company performed interim quantitative assessments at ten of the reporting units containing goodwill. During the three months ended June 30, 2025, the Company recorded impairment losses of approximately $4.9 million and $3.9 million to reduce the carrying value of our Digital and Radio Broadcasting reporting units goodwill balances,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forecasted revenue and operating profit margin performance. Given the recent impairment losses recognized as of December 31, 2025 and to the extent there is a potential recession that further disrupts the economic environment impacting the financial performances, market shares, changes in interest rates as well as further structural changes in the media and entertainment industry and further decline in forecasted in operating profit margin performance, these events could negatively affect the key assumptions and result in significantly lower fair value of the reporting units and result in future impairment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Radio Broadcasting Licenses,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Company’s Radio Broadcasting Licenses, Net carrying value during the six months ended June 30, 2026.</w:t>
      </w:r>
    </w:p>
    <w:tbl>
      <w:tblPr>
        <w:tblW w:w="6515" w:type="dxa"/>
        <w:jc w:val="left"/>
        <w:tblInd w:w="0" w:type="dxa"/>
        <w:tblLayout w:type="fixed"/>
        <w:tblCellMar>
          <w:top w:w="28" w:type="dxa"/>
          <w:left w:w="28" w:type="dxa"/>
          <w:bottom w:w="28" w:type="dxa"/>
          <w:right w:w="28" w:type="dxa"/>
        </w:tblCellMar>
      </w:tblPr>
      <w:tblGrid>
        <w:gridCol w:w="1929"/>
        <w:gridCol w:w="1691"/>
        <w:gridCol w:w="1704"/>
        <w:gridCol w:w="211"/>
        <w:gridCol w:w="826"/>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Assets-held-for sale (See Note </w:t>
            </w:r>
            <w:r>
              <w:rPr>
                <w:rFonts w:ascii="Times New Roman;serif" w:hAnsi="Times New Roman;serif"/>
                <w:b w:val="false"/>
                <w:i/>
                <w:color w:val="000000"/>
                <w:sz w:val="20"/>
              </w:rPr>
              <w:t>7 - Dispositions and Acquisitions</w:t>
            </w:r>
            <w:r>
              <w:rPr>
                <w:rFonts w:ascii="Times New Roman;serif" w:hAnsi="Times New Roman;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Disposal (See Note </w:t>
            </w:r>
            <w:r>
              <w:rPr>
                <w:rFonts w:ascii="Times New Roman;serif" w:hAnsi="Times New Roman;serif"/>
                <w:b w:val="false"/>
                <w:i/>
                <w:color w:val="000000"/>
                <w:sz w:val="20"/>
              </w:rPr>
              <w:t>7 - Dispositions and Acquisitions</w:t>
            </w:r>
            <w:r>
              <w:rPr>
                <w:rFonts w:ascii="Times New Roman;serif" w:hAnsi="Times New Roman;serif"/>
                <w:b w:val="false"/>
                <w:color w:val="000000"/>
                <w:sz w:val="20"/>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broadcasting license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Company entered into a local programming and marketing agreement (“LMA”) and a subsequent option agreement during the six months ended June 30, 2026. Pursuant to the LMA, the Company began to broadcast programs produced, owned, or acquired by the Company on WDCN. Under the LMA, the Company pays a monthly fee as well as certain operating costs of WDNC-FM, and in exchange, the Company retains all revenues from the sale of the advertising within the programming the Company provides. The initial term of the LMA is through January 1, 2028, with a one-year automatic extension. Pursuant to a related option agreement, the Company has an option to acquire the FCC license and fixed assets of the LMA entity exercisable through December 31, 2028. The Company determined that it holds variable interests in the entity and that it is the primary beneficiary. The Company accounted for the transactions as an asset acquisition through non-controlling interest and allocated the transaction price of approximately $3.0 million to the FCC license acquired based on their relative fair value with no goodwill recognized. The Company recorded $2.9 million in non-controlling interests associated with the transactions, which is included in </w:t>
      </w:r>
      <w:r>
        <w:rPr>
          <w:rFonts w:ascii="Times New Roman;serif" w:hAnsi="Times New Roman;serif"/>
          <w:b w:val="false"/>
          <w:i/>
          <w:color w:val="000000"/>
          <w:sz w:val="20"/>
        </w:rPr>
        <w:t>Total equity</w:t>
      </w:r>
      <w:r>
        <w:rPr>
          <w:color w:val="000000"/>
        </w:rPr>
        <w:t xml:space="preserve"> </w:t>
      </w:r>
      <w:r>
        <w:rPr>
          <w:rFonts w:ascii="Times New Roman;serif" w:hAnsi="Times New Roman;serif"/>
          <w:b w:val="false"/>
          <w:color w:val="000000"/>
          <w:sz w:val="20"/>
        </w:rPr>
        <w:t xml:space="preserve">in the unaudited condensed consolidated balance sheets.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estimated amortization expense related to the broadcasting licenses for the remainder of 2026 through 2031, and thereafter, is as follows:</w:t>
      </w:r>
    </w:p>
    <w:tbl>
      <w:tblPr>
        <w:tblW w:w="2865" w:type="dxa"/>
        <w:jc w:val="left"/>
        <w:tblInd w:w="0" w:type="dxa"/>
        <w:tblLayout w:type="fixed"/>
        <w:tblCellMar>
          <w:top w:w="28" w:type="dxa"/>
          <w:left w:w="28" w:type="dxa"/>
          <w:bottom w:w="28" w:type="dxa"/>
          <w:right w:w="28" w:type="dxa"/>
        </w:tblCellMar>
      </w:tblPr>
      <w:tblGrid>
        <w:gridCol w:w="608"/>
        <w:gridCol w:w="534"/>
        <w:gridCol w:w="538"/>
        <w:gridCol w:w="255"/>
        <w:gridCol w:w="744"/>
        <w:gridCol w:w="18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May 31, 2025, the Company's projected gross market revenues and operating profit margin declined in the Radio Broadcasting segment creating a triggering event indicating that the fair value of certain of the Company’s radio broadcasting licenses were more likely than not to be less than its carrying value.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the fair value of the broadcasting licenses, the Company utilized the income approach which values a license by calculating the value of a hypothetical startup company that initially has no assets except the asset to be valued (the broadcasting license). The Company performed a discounted cash flow analysis for broadcasting licenses across relevant radio markets. The key assumptions used in the discounted cash flow analysis for broadcasting licenses include market revenue and projected revenue growth by market, mature market share, operating profit margin, and discount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this analysis, the Company recognized an impairment loss of approximately $121.3 million associated with twelve radio markets within the Radio Broadcasting segment, included in impairment of goodwill and intangible assets, on the unaudited condensed consolidated statement of operations during the three months ended June 30, 2025. During the six months ended June 30, 2025, the Company recognized impairment loss of approximately $127.8 million within the Radio Broadcasting segment, included in impairment of goodwill and intangible assets, on the unaudited condensed consolidated statement of operations.</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TV One Trade Name, Net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Company’s TV One Trade Name during the six months ended June 30, 2026.</w:t>
      </w:r>
    </w:p>
    <w:tbl>
      <w:tblPr>
        <w:tblW w:w="3719" w:type="dxa"/>
        <w:jc w:val="left"/>
        <w:tblInd w:w="0" w:type="dxa"/>
        <w:tblLayout w:type="fixed"/>
        <w:tblCellMar>
          <w:top w:w="28" w:type="dxa"/>
          <w:left w:w="28" w:type="dxa"/>
          <w:bottom w:w="28" w:type="dxa"/>
          <w:right w:w="28" w:type="dxa"/>
        </w:tblCellMar>
      </w:tblPr>
      <w:tblGrid>
        <w:gridCol w:w="918"/>
        <w:gridCol w:w="805"/>
        <w:gridCol w:w="811"/>
        <w:gridCol w:w="230"/>
        <w:gridCol w:w="787"/>
        <w:gridCol w:w="168"/>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24,068 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22,863 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estimated amortization expense related to the TV One Trade Name for the years 2026 through 2031 and thereafter is as follows:</w:t>
      </w:r>
    </w:p>
    <w:tbl>
      <w:tblPr>
        <w:tblW w:w="2865" w:type="dxa"/>
        <w:jc w:val="left"/>
        <w:tblInd w:w="0" w:type="dxa"/>
        <w:tblLayout w:type="fixed"/>
        <w:tblCellMar>
          <w:top w:w="28" w:type="dxa"/>
          <w:left w:w="28" w:type="dxa"/>
          <w:bottom w:w="28" w:type="dxa"/>
          <w:right w:w="28" w:type="dxa"/>
        </w:tblCellMar>
      </w:tblPr>
      <w:tblGrid>
        <w:gridCol w:w="608"/>
        <w:gridCol w:w="534"/>
        <w:gridCol w:w="538"/>
        <w:gridCol w:w="255"/>
        <w:gridCol w:w="744"/>
        <w:gridCol w:w="18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net consists of the following:</w:t>
      </w:r>
    </w:p>
    <w:tbl>
      <w:tblPr>
        <w:tblW w:w="8442" w:type="dxa"/>
        <w:jc w:val="left"/>
        <w:tblInd w:w="0" w:type="dxa"/>
        <w:tblLayout w:type="fixed"/>
        <w:tblCellMar>
          <w:top w:w="28" w:type="dxa"/>
          <w:left w:w="28" w:type="dxa"/>
          <w:bottom w:w="28" w:type="dxa"/>
          <w:right w:w="28" w:type="dxa"/>
        </w:tblCellMar>
      </w:tblPr>
      <w:tblGrid>
        <w:gridCol w:w="1668"/>
        <w:gridCol w:w="1463"/>
        <w:gridCol w:w="1474"/>
        <w:gridCol w:w="284"/>
        <w:gridCol w:w="1114"/>
        <w:gridCol w:w="147"/>
        <w:gridCol w:w="109"/>
        <w:gridCol w:w="109"/>
        <w:gridCol w:w="109"/>
        <w:gridCol w:w="348"/>
        <w:gridCol w:w="1363"/>
        <w:gridCol w:w="254"/>
      </w:tblGrid>
      <w:tr>
        <w:trPr/>
        <w:tc>
          <w:tcPr>
            <w:tcW w:w="166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10.500% First Lien Senior Secured Notes due 2030 </w:t>
            </w:r>
            <w:r>
              <w:rPr>
                <w:rFonts w:ascii="Times New Roman;serif" w:hAnsi="Times New Roman;serif"/>
                <w:b w:val="false"/>
                <w:i/>
                <w:color w:val="000000"/>
                <w:sz w:val="13"/>
              </w:rPr>
              <w:t>(1, 3)</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7.625% Second Lien Secured Notes due 2031 </w:t>
            </w:r>
            <w:r>
              <w:rPr>
                <w:rFonts w:ascii="Times New Roman;serif" w:hAnsi="Times New Roman;serif"/>
                <w:b w:val="false"/>
                <w:i/>
                <w:color w:val="000000"/>
                <w:sz w:val="13"/>
              </w:rPr>
              <w:t>(1, 3)</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291,020 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7.375% Senior Secured Notes due February 2028 </w:t>
            </w:r>
            <w:r>
              <w:rPr>
                <w:rFonts w:ascii="Times New Roman;serif" w:hAnsi="Times New Roman;serif"/>
                <w:b w:val="false"/>
                <w:color w:val="000000"/>
                <w:sz w:val="13"/>
              </w:rPr>
              <w:t>(2</w:t>
            </w:r>
            <w:r>
              <w:rPr>
                <w:rFonts w:ascii="Times New Roman;serif" w:hAnsi="Times New Roman;serif"/>
                <w:b w:val="false"/>
                <w:i/>
                <w:color w:val="000000"/>
                <w:sz w:val="13"/>
              </w:rPr>
              <w: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outstanding on long-term debt</w:t>
            </w:r>
          </w:p>
        </w:tc>
        <w:tc>
          <w:tcPr>
            <w:tcW w:w="13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303,229 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363,436 </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Add: Premium </w:t>
            </w:r>
            <w:r>
              <w:rPr>
                <w:rFonts w:ascii="Times New Roman;serif" w:hAnsi="Times New Roman;serif"/>
                <w:b w:val="false"/>
                <w:i/>
                <w:color w:val="000000"/>
                <w:sz w:val="13"/>
              </w:rPr>
              <w:t>(3)</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69,174 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399,298 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429,742 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(1) The 2030 First Lien Notes and 2031 Second Lien Notes pay interest semiannually on April 1 and October 1 of each year in arrears.</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(2) Subsequent to the effectiveness of the supplemental indenture on December 18, 2025, these notes are no longer secured. While these notes are styled as senior secured notes they are no longer secured by collateral. The 2028 Notes pay interest semiannually on February 1 and August 1 of each year in arrears.</w:t>
      </w:r>
    </w:p>
    <w:p>
      <w:pPr>
        <w:pStyle w:val="TextBody"/>
        <w:bidi w:val="0"/>
        <w:spacing w:lineRule="auto" w:line="288" w:before="40" w:after="283"/>
        <w:jc w:val="both"/>
        <w:rPr/>
      </w:pPr>
      <w:r>
        <w:rPr>
          <w:rFonts w:ascii="Times New Roman;serif" w:hAnsi="Times New Roman;serif"/>
          <w:b w:val="false"/>
          <w:color w:val="000000"/>
          <w:sz w:val="13"/>
        </w:rPr>
        <w:t xml:space="preserve">(3) The 2030 First Lien Notes and 2031 Second Lien Notes are accounted for under Accounting Standards Codification No. 470-60, </w:t>
      </w:r>
      <w:r>
        <w:rPr>
          <w:rFonts w:ascii="Times New Roman;serif" w:hAnsi="Times New Roman;serif"/>
          <w:b w:val="false"/>
          <w:i/>
          <w:color w:val="000000"/>
          <w:sz w:val="13"/>
        </w:rPr>
        <w:t>Troubled Debt Restructurings by Debtors</w:t>
      </w:r>
      <w:r>
        <w:rPr>
          <w:rFonts w:ascii="Times New Roman;serif" w:hAnsi="Times New Roman;serif"/>
          <w:b w:val="false"/>
          <w:color w:val="000000"/>
          <w:sz w:val="13"/>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repurchase its debt securities in open market purchases. Under open authorizations by the Company's Board of Directors, repurchases of the outstanding debt may be made from time to time on the open market or in privately negotiated transactions in accordance with applicable laws and regulations. Repurchased debt is retired when repurchased. The timing and extent of any repurchases will depend upon prevailing market conditions, the trading price of the Company’s outstanding debt and other factors, and subject to restrictions under the terms of the Company's indenture, credit agreement and applicable law.</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repurchase activity of the 2031 Second Lien Notes:</w:t>
      </w:r>
    </w:p>
    <w:p>
      <w:pPr>
        <w:pStyle w:val="TextBody"/>
        <w:bidi w:val="0"/>
        <w:spacing w:before="0" w:after="0"/>
        <w:ind w:left="0" w:right="0" w:firstLine="720"/>
        <w:jc w:val="both"/>
        <w:rPr/>
      </w:pPr>
      <w:r>
        <w:rPr/>
      </w:r>
    </w:p>
    <w:tbl>
      <w:tblPr>
        <w:tblW w:w="8891" w:type="dxa"/>
        <w:jc w:val="left"/>
        <w:tblInd w:w="0" w:type="dxa"/>
        <w:tblLayout w:type="fixed"/>
        <w:tblCellMar>
          <w:top w:w="28" w:type="dxa"/>
          <w:left w:w="28" w:type="dxa"/>
          <w:bottom w:w="28" w:type="dxa"/>
          <w:right w:w="28" w:type="dxa"/>
        </w:tblCellMar>
      </w:tblPr>
      <w:tblGrid>
        <w:gridCol w:w="1103"/>
        <w:gridCol w:w="970"/>
        <w:gridCol w:w="972"/>
        <w:gridCol w:w="468"/>
        <w:gridCol w:w="1600"/>
        <w:gridCol w:w="601"/>
        <w:gridCol w:w="109"/>
        <w:gridCol w:w="109"/>
        <w:gridCol w:w="109"/>
        <w:gridCol w:w="482"/>
        <w:gridCol w:w="1647"/>
        <w:gridCol w:w="721"/>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Repurchased amount at par value</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23,459 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32,448 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percentage of par</w:t>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As the 2031 Second Lien Notes are accounted under Accounting Standards Codification No. 470-60,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rPr>
        <w:t xml:space="preserve">, no gain was recorded. Instead, the Company recorded an additional premium of $19.3 and $13.6 million during the three months ended March 31, 2026 and June 30, 2026, respectively, which is included in long-term debt, net on the Company's condensed consolidated balance sheets.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premium will result in interest expense being recognized at an effective interest rate of approximately 5.32% and 0.15% through the term of the 2030 First Lien Notes and 2031 Second Lien Notes, respectively. The difference in the contractual interest payments and interest expense will reduce the premium.</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repurchase activity of the 2028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31"/>
        <w:gridCol w:w="795"/>
        <w:gridCol w:w="797"/>
        <w:gridCol w:w="443"/>
        <w:gridCol w:w="1293"/>
        <w:gridCol w:w="568"/>
        <w:gridCol w:w="109"/>
        <w:gridCol w:w="109"/>
        <w:gridCol w:w="109"/>
        <w:gridCol w:w="392"/>
        <w:gridCol w:w="1342"/>
        <w:gridCol w:w="504"/>
        <w:gridCol w:w="109"/>
        <w:gridCol w:w="109"/>
        <w:gridCol w:w="109"/>
        <w:gridCol w:w="402"/>
        <w:gridCol w:w="1376"/>
        <w:gridCol w:w="608"/>
      </w:tblGrid>
      <w:tr>
        <w:trPr/>
        <w:tc>
          <w:tcPr>
            <w:tcW w:w="103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30, 2025</w:t>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Repurchased amount at par value</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64,012 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28,227 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percentage of par</w:t>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5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Net gain on retirement of debt </w:t>
            </w:r>
            <w:r>
              <w:rPr>
                <w:rFonts w:ascii="Times New Roman;serif" w:hAnsi="Times New Roman;serif"/>
                <w:b w:val="false"/>
                <w:color w:val="000000"/>
                <w:sz w:val="13"/>
              </w:rPr>
              <w:t>(a)</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11,587 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(a) Included in the unaudited condensed consolidated statement of operations.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interest rate for the 2028 Notes for the three and six months ended June 30, 2026 and 2025 were approximately 7.71% and 7.72%, respectively.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fair value of long- term debt is as follows:</w:t>
      </w:r>
    </w:p>
    <w:tbl>
      <w:tblPr>
        <w:tblW w:w="3299" w:type="dxa"/>
        <w:jc w:val="left"/>
        <w:tblInd w:w="0" w:type="dxa"/>
        <w:tblLayout w:type="fixed"/>
        <w:tblCellMar>
          <w:top w:w="28" w:type="dxa"/>
          <w:left w:w="28" w:type="dxa"/>
          <w:bottom w:w="28" w:type="dxa"/>
          <w:right w:w="28" w:type="dxa"/>
        </w:tblCellMar>
      </w:tblPr>
      <w:tblGrid>
        <w:gridCol w:w="765"/>
        <w:gridCol w:w="671"/>
        <w:gridCol w:w="678"/>
        <w:gridCol w:w="230"/>
        <w:gridCol w:w="787"/>
        <w:gridCol w:w="168"/>
      </w:tblGrid>
      <w:tr>
        <w:trPr/>
        <w:tc>
          <w:tcPr>
            <w:tcW w:w="76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First Lien Notes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Second Lien Notes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2030 First Lien Notes, the 2031 Second Lien Notes, and the 2028 Notes, classified as a Level 2 instrument, was determined based on the trading values of this instrument in an inactive market as of the reporting date.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After giving effect to all the repurchases of the outstanding debt, the Company has approximately $19.9 million remaining under the current authorization by the Board of Directors on a cash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Asset-Backed Line of Credit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drawdowns made in 2026 as well as the related interest rates and maturity dates are as follows:</w:t>
      </w:r>
    </w:p>
    <w:tbl>
      <w:tblPr>
        <w:tblW w:w="10205" w:type="dxa"/>
        <w:jc w:val="left"/>
        <w:tblInd w:w="0" w:type="dxa"/>
        <w:tblLayout w:type="fixed"/>
        <w:tblCellMar>
          <w:top w:w="28" w:type="dxa"/>
          <w:left w:w="28" w:type="dxa"/>
          <w:bottom w:w="28" w:type="dxa"/>
          <w:right w:w="28" w:type="dxa"/>
        </w:tblCellMar>
      </w:tblPr>
      <w:tblGrid>
        <w:gridCol w:w="588"/>
        <w:gridCol w:w="502"/>
        <w:gridCol w:w="506"/>
        <w:gridCol w:w="562"/>
        <w:gridCol w:w="562"/>
        <w:gridCol w:w="563"/>
        <w:gridCol w:w="109"/>
        <w:gridCol w:w="109"/>
        <w:gridCol w:w="109"/>
        <w:gridCol w:w="674"/>
        <w:gridCol w:w="616"/>
        <w:gridCol w:w="620"/>
        <w:gridCol w:w="109"/>
        <w:gridCol w:w="109"/>
        <w:gridCol w:w="109"/>
        <w:gridCol w:w="750"/>
        <w:gridCol w:w="616"/>
        <w:gridCol w:w="620"/>
        <w:gridCol w:w="109"/>
        <w:gridCol w:w="109"/>
        <w:gridCol w:w="109"/>
        <w:gridCol w:w="638"/>
        <w:gridCol w:w="580"/>
        <w:gridCol w:w="827"/>
      </w:tblGrid>
      <w:tr>
        <w:trPr/>
        <w:tc>
          <w:tcPr>
            <w:tcW w:w="58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Subsequent to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 (in thousands)</w:t>
            </w:r>
          </w:p>
        </w:tc>
        <w:tc>
          <w:tcPr>
            <w:tcW w:w="16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15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Draw Date</w:t>
            </w:r>
          </w:p>
        </w:tc>
        <w:tc>
          <w:tcPr>
            <w:tcW w:w="16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3/26/2026</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1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6.09%</w:t>
            </w:r>
          </w:p>
        </w:tc>
      </w:tr>
      <w:tr>
        <w:trPr/>
        <w:tc>
          <w:tcPr>
            <w:tcW w:w="15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Maturity Date</w:t>
            </w:r>
          </w:p>
        </w:tc>
        <w:tc>
          <w:tcPr>
            <w:tcW w:w="16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Repayable any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9/21/2026</w:t>
            </w:r>
          </w:p>
        </w:tc>
      </w:tr>
      <w:tr>
        <w:trPr/>
        <w:tc>
          <w:tcPr>
            <w:tcW w:w="1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Capacity</w:t>
            </w:r>
          </w:p>
        </w:tc>
        <w:tc>
          <w:tcPr>
            <w:tcW w:w="1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$31,772</w:t>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repaid the $10.0 million borrowing drawn on December 18, 2025 in the first quarter of 2026. After giving effect to the outstanding $20.0 million drawdown and adjustments to account for the Borrowing Base, the Company's borrowing capacity was approximately $26.1 million as of June 30, 2026. The Company repaid the May 2026 draw of $5.0 million on August 2, 2026. After giving effect to the additional draw of $7.0 million, the $5.0 million repayment, and adjustments to account for the Borrowing Base, the Company's borrowing capacity was approximately $24.1 million.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Company’s cash flows are considered to be sufficient to fund our current operations, the Company has used and may continue to use borrowings under the Current ABL Facility to meet future cash needs for working capital or business initiatives.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Future Minimum Principal Payments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scheduled minimum principal payments of long-term debt as of June 30, 2026, are as follows:</w:t>
      </w:r>
    </w:p>
    <w:tbl>
      <w:tblPr>
        <w:tblW w:w="2969" w:type="dxa"/>
        <w:jc w:val="left"/>
        <w:tblInd w:w="0" w:type="dxa"/>
        <w:tblLayout w:type="fixed"/>
        <w:tblCellMar>
          <w:top w:w="28" w:type="dxa"/>
          <w:left w:w="28" w:type="dxa"/>
          <w:bottom w:w="28" w:type="dxa"/>
          <w:right w:w="28" w:type="dxa"/>
        </w:tblCellMar>
      </w:tblPr>
      <w:tblGrid>
        <w:gridCol w:w="608"/>
        <w:gridCol w:w="534"/>
        <w:gridCol w:w="538"/>
        <w:gridCol w:w="228"/>
        <w:gridCol w:w="895"/>
        <w:gridCol w:w="166"/>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Long-term debt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1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235,113 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303,229 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deferred financing costs included in interest expense for all instruments, for each of the three and six months ended June 30, 2026 were approximately $0.2 million and $0.5 million, respectively. The deferred financing costs included in interest expense for all instruments, for each of the three and six months ended June 30, 2025 was approximately $0.4 million and $0.9 million, respectively. The Company is in compliance with all of its debt covenants as of June 30, 2026 and expects to remain in compliance with all covenants over at least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uses the estimated annual effective tax</w:t>
      </w:r>
      <w:r>
        <w:rPr>
          <w:color w:val="000000"/>
          <w:shd w:fill="FFFFFF" w:val="clear"/>
        </w:rPr>
        <w:t xml:space="preserve"> </w:t>
      </w:r>
      <w:r>
        <w:rPr>
          <w:rFonts w:ascii="Times New Roman;serif" w:hAnsi="Times New Roman;serif"/>
          <w:b w:val="false"/>
          <w:color w:val="000000"/>
          <w:sz w:val="20"/>
          <w:shd w:fill="FFFFFF" w:val="clear"/>
        </w:rPr>
        <w:t xml:space="preserve">rate method under </w:t>
      </w:r>
      <w:r>
        <w:rPr>
          <w:rFonts w:ascii="Times New Roman;serif" w:hAnsi="Times New Roman;serif"/>
          <w:b w:val="false"/>
          <w:color w:val="000000"/>
          <w:sz w:val="20"/>
        </w:rPr>
        <w:t>Accounting Standards Codification No.</w:t>
      </w:r>
      <w:r>
        <w:rPr>
          <w:color w:val="000000"/>
          <w:shd w:fill="FFFFFF" w:val="clear"/>
        </w:rPr>
        <w:t xml:space="preserve"> </w:t>
      </w:r>
      <w:r>
        <w:rPr>
          <w:rFonts w:ascii="Times New Roman;serif" w:hAnsi="Times New Roman;serif"/>
          <w:b w:val="false"/>
          <w:color w:val="000000"/>
          <w:sz w:val="20"/>
          <w:shd w:fill="FFFFFF" w:val="clear"/>
        </w:rPr>
        <w:t xml:space="preserve">740-270, </w:t>
      </w:r>
      <w:r>
        <w:rPr>
          <w:rFonts w:ascii="Times New Roman;serif" w:hAnsi="Times New Roman;serif"/>
          <w:b w:val="false"/>
          <w:i/>
          <w:color w:val="000000"/>
          <w:sz w:val="20"/>
          <w:shd w:fill="FFFFFF" w:val="clear"/>
        </w:rPr>
        <w:t>Interim Reporting</w:t>
      </w:r>
      <w:r>
        <w:rPr>
          <w:color w:val="000000"/>
          <w:shd w:fill="FFFFFF" w:val="clear"/>
        </w:rPr>
        <w:t xml:space="preserve"> </w:t>
      </w:r>
      <w:r>
        <w:rPr>
          <w:rFonts w:ascii="Times New Roman;serif" w:hAnsi="Times New Roman;serif"/>
          <w:b w:val="false"/>
          <w:color w:val="000000"/>
          <w:sz w:val="20"/>
          <w:shd w:fill="FFFFFF" w:val="clear"/>
        </w:rPr>
        <w:t xml:space="preserve">to calculate the provision for income taxes. The Company recorded a </w:t>
      </w:r>
      <w:r>
        <w:rPr>
          <w:rFonts w:ascii="Times New Roman;serif" w:hAnsi="Times New Roman;serif"/>
          <w:b w:val="false"/>
          <w:color w:val="000000"/>
          <w:sz w:val="20"/>
        </w:rPr>
        <w:t>benefit from</w:t>
      </w:r>
      <w:r>
        <w:rPr>
          <w:color w:val="000000"/>
          <w:shd w:fill="FFFFFF" w:val="clear"/>
        </w:rPr>
        <w:t xml:space="preserve"> </w:t>
      </w:r>
      <w:r>
        <w:rPr>
          <w:rFonts w:ascii="Times New Roman;serif" w:hAnsi="Times New Roman;serif"/>
          <w:b w:val="false"/>
          <w:color w:val="000000"/>
          <w:sz w:val="20"/>
          <w:shd w:fill="FFFFFF" w:val="clear"/>
        </w:rPr>
        <w:t xml:space="preserve">income taxes of approximately </w:t>
      </w:r>
      <w:r>
        <w:rPr>
          <w:rFonts w:ascii="Times New Roman;serif" w:hAnsi="Times New Roman;serif"/>
          <w:b w:val="false"/>
          <w:color w:val="000000"/>
          <w:sz w:val="20"/>
        </w:rPr>
        <w:t xml:space="preserve">$3.1 million </w:t>
      </w:r>
      <w:r>
        <w:rPr>
          <w:rFonts w:ascii="Times New Roman;serif" w:hAnsi="Times New Roman;serif"/>
          <w:b w:val="false"/>
          <w:color w:val="000000"/>
          <w:sz w:val="20"/>
          <w:shd w:fill="FFFFFF" w:val="clear"/>
        </w:rPr>
        <w:t xml:space="preserve">on a pre-tax loss from unaudited condensed consolidated operations of approximately </w:t>
      </w:r>
      <w:r>
        <w:rPr>
          <w:rFonts w:ascii="Times New Roman;serif" w:hAnsi="Times New Roman;serif"/>
          <w:b w:val="false"/>
          <w:color w:val="000000"/>
          <w:sz w:val="20"/>
        </w:rPr>
        <w:t>$13.2 million</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2026. This results in an effective tax rate of approximately </w:t>
      </w:r>
      <w:r>
        <w:rPr>
          <w:rFonts w:ascii="Times New Roman;serif" w:hAnsi="Times New Roman;serif"/>
          <w:b w:val="false"/>
          <w:color w:val="000000"/>
          <w:sz w:val="20"/>
        </w:rPr>
        <w:t>23.8%</w:t>
      </w:r>
      <w:r>
        <w:rPr>
          <w:rFonts w:ascii="Times New Roman;serif" w:hAnsi="Times New Roman;serif"/>
          <w:b w:val="false"/>
          <w:color w:val="000000"/>
          <w:sz w:val="20"/>
          <w:shd w:fill="FFFFFF" w:val="clear"/>
        </w:rPr>
        <w:t>. The estimated annual effective tax rate differs from the federal statutory tax rat</w:t>
      </w:r>
      <w:r>
        <w:rPr>
          <w:rFonts w:ascii="Times New Roman;serif" w:hAnsi="Times New Roman;serif"/>
          <w:b w:val="false"/>
          <w:color w:val="000000"/>
          <w:sz w:val="20"/>
        </w:rPr>
        <w:t>e of 21% primarily due to the impact of state taxes, non-deductible expenses, and the impact of the valuation allowance against disall</w:t>
      </w:r>
      <w:r>
        <w:rPr>
          <w:rFonts w:ascii="Times New Roman;serif" w:hAnsi="Times New Roman;serif"/>
          <w:b w:val="false"/>
          <w:color w:val="000000"/>
          <w:sz w:val="20"/>
          <w:shd w:fill="FFFFFF" w:val="clear"/>
        </w:rPr>
        <w:t>owed interest expense and net operating losses.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accordance with Accounting Standards Codification No. 740, </w:t>
      </w:r>
      <w:r>
        <w:rPr>
          <w:rFonts w:ascii="Times New Roman;serif" w:hAnsi="Times New Roman;serif"/>
          <w:b w:val="false"/>
          <w:i/>
          <w:color w:val="000000"/>
          <w:sz w:val="20"/>
        </w:rPr>
        <w:t>Accounting for Income Taxes</w:t>
      </w:r>
      <w:r>
        <w:rPr>
          <w:rFonts w:ascii="Times New Roman;serif" w:hAnsi="Times New Roman;serif"/>
          <w:b w:val="false"/>
          <w:color w:val="000000"/>
          <w:sz w:val="20"/>
        </w:rPr>
        <w:t>, the Company continues to evaluate the realizability of its net deferred tax assets (“DTAs”) by assessing the future tax consequences of events that have been recognized in the Company’s financial statements or tax returns, tax planning strategies, and future profitability. Management considers all available evidence, both negative and positive, that could impact the future realization of these. As of June 30, 2026, the Company maintains a valuation allowance on its DTAs, most significantly its net operating losses and disallowed interest expense assets, after taking into consideration future taxable income from reversing deferred tax liabilities.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continuous examination of the Company’s income tax returns by the Internal Revenue Service and other domestic tax authorities. The Company believes that an adequate provision has been made for any adjustments that may result from tax examinations.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STOCKHOLDERS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four classes of common stock, Class A, Class B, Class C and Class D. Generally, the shares of each class are identical in all respects and entitle the holders thereof to the same rights and privileges. However, with respect to voting rights, each share of Class A Common Stock entitles its holder to one vote and each share of Class B Common Stock entitles its holder to ten votes. The holders of Class C and Class D Common Stock are not entitled to vote on any matter. The holders of Class A Common Stock can convert such shares into shares of Class C or Class D Common Stock. Subject to certain limitations, the holders of Class B Common Stock can convert such shares into shares of Class A Common Stock. The holders of Class C Common Stock can convert such shares into shares of Class A Common Stock. The holders of Class D Common Stock have no such conversion rights.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2022, the Company’s Board of Directors approved the Company's ability to repurchase up to $0.5 million of shares in the aggregate from employees who want to sell in connection with our equity compensation plan. The Company exhausted the entire amount due to repurchases from some employees upon their stock vest during the quarter.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June 17, 2026, the Company’s Board of Directors approved an employee share repurchase program to repurchase up to $1.0 million of the Company's outstanding Class A and/or Class D Common Stock during any single calendar year (collectively, the “2026 Annual Repurchase Program”). The Annual Repurchase Program is executed in strict compliance with the terms, conditions, and restrictive covenants set forth in the Indenture as noted in Note </w:t>
      </w:r>
      <w:r>
        <w:rPr>
          <w:rFonts w:ascii="Times New Roman;serif" w:hAnsi="Times New Roman;serif"/>
          <w:b w:val="false"/>
          <w:i/>
          <w:color w:val="000000"/>
          <w:sz w:val="20"/>
        </w:rPr>
        <w:t>9 - Debt</w:t>
      </w:r>
      <w:r>
        <w:rPr>
          <w:rFonts w:ascii="Times New Roman;serif" w:hAnsi="Times New Roman;serif"/>
          <w:b w:val="false"/>
          <w:color w:val="000000"/>
          <w:sz w:val="20"/>
        </w:rPr>
        <w:t>, as well as all applicable federal and state securities laws and regulations. Any unused amounts under the Annual Repurchase Program may be carried over from one year to the next, with the maximum amount to be spent in any single calendar year capped at $4.0 million for each class of shares.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our stock repurchases under the 2026 Annual Repurchase Program during the three and six months ended June 30, 2026:</w:t>
      </w:r>
    </w:p>
    <w:tbl>
      <w:tblPr>
        <w:tblW w:w="4514" w:type="dxa"/>
        <w:jc w:val="left"/>
        <w:tblInd w:w="0" w:type="dxa"/>
        <w:tblLayout w:type="fixed"/>
        <w:tblCellMar>
          <w:top w:w="28" w:type="dxa"/>
          <w:left w:w="28" w:type="dxa"/>
          <w:bottom w:w="28" w:type="dxa"/>
          <w:right w:w="28" w:type="dxa"/>
        </w:tblCellMar>
      </w:tblPr>
      <w:tblGrid>
        <w:gridCol w:w="1125"/>
        <w:gridCol w:w="989"/>
        <w:gridCol w:w="991"/>
        <w:gridCol w:w="109"/>
        <w:gridCol w:w="109"/>
        <w:gridCol w:w="211"/>
        <w:gridCol w:w="8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D</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repurchased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giving effect to the above transaction and prior activity, the 2026 Annual Repurchase Program has approximately $0.4 million remaining under the authorization.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limited but ongoing authority to purchase shares of Class D Common Stock (in one or more transactions at any time there remain outstanding grants) under the 2026 Equity and Performance Incentive Plan (as defined below). This limited authority is used to satisfy any employee or other recipient tax obligations in connection with the exercise of an option or a share grant under the 2026 Equity and Performance Incentive Plan, to the extent that the Company has capacity under its financing agreements (i.e., its current credit facilities and indentures) (each a “stock vest tax repurchase”). </w:t>
      </w:r>
    </w:p>
    <w:p>
      <w:pPr>
        <w:pStyle w:val="TextBody"/>
        <w:bidi w:val="0"/>
        <w:spacing w:before="0" w:after="0"/>
        <w:ind w:left="0" w:right="0" w:firstLine="36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executed stock vest tax repurchases of 145,513 shares of Class D Common Stock for approximately $0.7 million at an average price of $4.52, and 147,701 shares of Class D Common Stock for approximately $0.7 million at an average price of 4.54 per share,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 Company executed stock vest tax repurchases of 11,067 shares of Class D Common Stock for approximately $0.1 million at an average price of $6.40 per share and 39,444 shares of Class D Common Stock for approximately $0.3 million at an average price of $7.80 per share, respectively. </w:t>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Stock Option and Restricted Stock Grant Plan</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2026 and 2019 Equity and Performance Incentive Plans are equity performance incentive plans for stock options and restricted stock, each. Both Class A and Class D Common Stock are available for grant. The Company settles stock options, net of tax, upon exercise by issuing stock.</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2024, the Company held its 2024 Annual Stockholder's meeting. At that meeting, the stockholders approved a second amendment and restatement (the “2024 Second Incentive Plan Amendment and Restatement”) of the Urban One 2019 Equity and Performance Incentive Plan (the “2019 Plan”) to (i) correct a typographical error with respect to the duration of options and (ii) increase the number of Class A and Class D shares available for issuance. The 2024 Second Incentive Plan Amendment and Restatement was approved and, as a result, 75,000 shares of Class A Common Stock and 700,000 shares of Class D Common Stock were added to the 2019 Plan. The total number of shares authorized for issuance under the 2019 Incentive Plan, giving effect to its original authorization of 550,000 Class D shares, the first amendment and restatement in 2021 with its 200,000 Class A shares and 551,958 Class D shares and the 2024 Second Incentive Plan Amendment and Restatement is (i) 75,000 shares of the Company's Class A Common Stock and (ii) 1,801,958 shares of the Company's Class D Common Stock. Immediately after giving effect to the 2024 Second Incentive Plan Amendment and Restatement 200,000 shares of the Company's Class A Common Stock are ungranted and in reserve and (ii) 700,000 shares of the Company's Class D Common Stock were ungranted and in reserve. </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11, 2026, the Company held its 2026 Annual Shareholder's meeting. At that meeting, the shareholders approved the 2026 Equity and Performance Incentive Plan ( the "2026 Incentive Plan"). The 2026 Incentive Plan is intended to be a successor to the Urban One, Inc. 2019 Second Amended and Restated Equity and Performance Incentive Plan. The 2019 Plan expires by its terms on April 10, 2029. As the 2026 Incentive Plan was approved and adopted, no further awards of any kind will be granted pursuant to the 2019 Equity Plan, although outstanding stock options and restricted stock awards under the 2019 Equity Plan will remain outstanding pursuant to the terms of that plan. Subject to the conditions outlined below, the total number of shares of Common Stock which may be issued pursuant to Awards granted under the 2026 Incentive Plan are 1,000,000 shares of Class A Common Stock and 1,000,000 shares of Class D Common Stock plus any shares not subject to outstanding awards under any prior plan as of the Effective Date and any shares subject to outstanding awards under any prior plan as of the Effective Date that, on or after the Effective Date, cease for any reason to be subject to such awards (other than by reason of exercise or settlement of the awards to the extent they are exercised for or settled in vested and nonforfeitable shares of Class A Common Stock or Class D Common Stock). There are 200,000 shares of Class A Common Stock and 300,000 shares of Class D Common Stock available under the 2019 Plan and, therefore, the total and aggregate number of shares subject to the 2026 Incentive Plan are 1,200,000 shares of Class A Common Stock and 1,300,000 shares of Class D Common Stock. As of June 30, 2026, the Company had 1,200,000 shares of Class A Common Stock and 1,131,326 shares of Class D Common Stock available to grant under the 2026 Incentive Plan.</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Company’s stock plans and subject to the Company’s insider trading policy, a portion of each recipient’s vested shares may be sold in the open market or repurchased by the Company for tax purposes on or about the vesting dates.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requisite service period or vesting period for stock options and restricted stock awards is generally 1 year. Stock option grants generally expire 10 years from the grant date. </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the six months ended June 30, 2026 and 2025 was approximately $1.9 million and $1.3 million. The Company classifies the stock-based awards as liability when the obligation is based on a fixed monetary amount. </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Restricted stock grants for Class A and Class D shares are included in the Company’s outstanding share numbers on the effective date of grant. As of June 30, 2026, approximately $0.2 million of total unrecognized compensation cost related to awards of restricted Class D Common Stock is expected to be recognized over a weighted-average period of 5.2 months. The unrecognized stock-based compensation costs for liability-classified awards is approximately $3.4 million, which is expected to be recognized over a 2.5 year period.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Activity relating to grants of restricted shares of Class D Common Stock for the six months ended June 30, 2026 and 2025 are summarized below:</w:t>
      </w:r>
    </w:p>
    <w:tbl>
      <w:tblPr>
        <w:tblW w:w="7464" w:type="dxa"/>
        <w:jc w:val="left"/>
        <w:tblInd w:w="0" w:type="dxa"/>
        <w:tblLayout w:type="fixed"/>
        <w:tblCellMar>
          <w:top w:w="28" w:type="dxa"/>
          <w:left w:w="28" w:type="dxa"/>
          <w:bottom w:w="28" w:type="dxa"/>
          <w:right w:w="28" w:type="dxa"/>
        </w:tblCellMar>
      </w:tblPr>
      <w:tblGrid>
        <w:gridCol w:w="977"/>
        <w:gridCol w:w="858"/>
        <w:gridCol w:w="864"/>
        <w:gridCol w:w="310"/>
        <w:gridCol w:w="310"/>
        <w:gridCol w:w="279"/>
        <w:gridCol w:w="109"/>
        <w:gridCol w:w="109"/>
        <w:gridCol w:w="109"/>
        <w:gridCol w:w="852"/>
        <w:gridCol w:w="2064"/>
        <w:gridCol w:w="623"/>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Shares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Weighted-Average Fair Value at Grant Date</w:t>
            </w:r>
            <w:r>
              <w:rPr>
                <w:rFonts w:ascii="Times New Roman;serif" w:hAnsi="Times New Roman;serif"/>
                <w:b/>
                <w:color w:val="000000"/>
                <w:sz w:val="10"/>
              </w:rPr>
              <w:t>(a)</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Grants</w:t>
            </w:r>
            <w:r>
              <w:rPr>
                <w:rFonts w:ascii="Times New Roman;serif" w:hAnsi="Times New Roman;serif"/>
                <w:b w:val="false"/>
                <w:color w:val="000000"/>
                <w:sz w:val="13"/>
              </w:rPr>
              <w:t>(b)</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338,630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(b)</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Forfeited/cancelled/expired</w:t>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8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13"/>
        </w:rPr>
        <w:t>(a) Adjusted retroactively for the Reverse Stock Split, refer to Note</w:t>
      </w:r>
      <w:r>
        <w:rPr>
          <w:color w:val="000000"/>
        </w:rPr>
        <w:t xml:space="preserve"> </w:t>
      </w:r>
      <w:r>
        <w:rPr>
          <w:rFonts w:ascii="Times New Roman;serif" w:hAnsi="Times New Roman;serif"/>
          <w:b w:val="false"/>
          <w:i/>
          <w:color w:val="000000"/>
          <w:sz w:val="13"/>
        </w:rPr>
        <w:t>2 - Summary of Significant Accounting Policies</w:t>
      </w:r>
      <w:r>
        <w:rPr>
          <w:rFonts w:ascii="Times New Roman;serif" w:hAnsi="Times New Roman;serif"/>
          <w:b w:val="false"/>
          <w:color w:val="000000"/>
          <w:sz w:val="13"/>
        </w:rPr>
        <w:t xml:space="preserve">. </w:t>
      </w:r>
    </w:p>
    <w:p>
      <w:pPr>
        <w:pStyle w:val="TextBody"/>
        <w:bidi w:val="0"/>
        <w:spacing w:lineRule="auto" w:line="288" w:before="0" w:after="0"/>
        <w:ind w:left="0" w:right="0" w:firstLine="360"/>
        <w:jc w:val="both"/>
        <w:rPr>
          <w:rFonts w:ascii="Times New Roman;serif" w:hAnsi="Times New Roman;serif"/>
          <w:b w:val="false"/>
          <w:color w:val="000000"/>
          <w:sz w:val="13"/>
        </w:rPr>
      </w:pPr>
      <w:r>
        <w:rPr>
          <w:rFonts w:ascii="Times New Roman;serif" w:hAnsi="Times New Roman;serif"/>
          <w:b w:val="false"/>
          <w:color w:val="000000"/>
          <w:sz w:val="13"/>
        </w:rPr>
        <w:t xml:space="preserve">(b) Granted and vested shares include the settlement of stock-based compensation liability of $1.6 million for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Reportable segments represent components of a company for which separate financial information is available that is regularly reviewed by the Chief Operating Decision Maker (“CODM”), which is our President and Chief Executive Officer (“CEO”), in determining how to allocate resources and assess performance. Our four reportable segments include the following: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Radio Broadcasting consists of all radio broadcast results of operations as well as low powered television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(ii) Reach Media consists of the results of operations for the related activities and operations of the Company’s syndicated radio shows.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(iii) Digital includes the results of the Company’s online business, including the operations of Interactive One, as well as the digital components of the Company’s other reportable segments.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(iv) Cable Television includes the results of operations of TV One and CLEO TV.</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reportable segments above, the Company has a “Corporate/Eliminations/Other” category that includes business activities not directly attributable to a specific reportable segment. Each of our four reportable segments operate in the United States and are consistently aligned with the Company’s management of its businesses and its financial reporting structure.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our reportable segments may enter into transactions with one another. While intercompany transactions are treated like third-party transactions to determine segment performance, the revenues and expenses recognized by the segment that is counterparty to the transaction are eliminated in consolidation and do not affect consolidated results.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segment structure reflects the financial information and reports used by the Company’s management, specifically its CODM, who is responsible for reviewing segment performance and making decisions regarding resource allocations, performance assessments, as well as our current operating focus. Asset and asset related information are not key measures used by the CODM. The CODM does not regularly receive or review information pertaining to assets by segments or in totality.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CODM evaluates each segment’s performance based on Segment Adjusted EBITDA (defined below), guiding strategic decisions to align with company-wide goals, assessing the operating results and performance of the segments, identifying strategies to improve performance, and allocating resources to each segment. Segment Adjusted EBITDA is used to facilitate a comparison of the ordinary, ongoing and customary course of our operations on a consistent basis from period to period and provide an additional understanding of factors and trends affecting our business segments. Significant segment expenses provided to the CODM and included within Segment Adjusted EBITDA include programming and technical, sales and marketing, and general and administrative.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defines Segment Adjusted EBITDA as net revenue less (1) programming and technical, (2) sales and marketing, (3) general and administrative operating expenses, plus (4) severance-related costs, and (5) other costs (income).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Detailed segment data for the three and six months ended June 30, 2026 and 2025 is presented in the following table:</w:t>
      </w:r>
    </w:p>
    <w:tbl>
      <w:tblPr>
        <w:tblW w:w="8309" w:type="dxa"/>
        <w:jc w:val="left"/>
        <w:tblInd w:w="0" w:type="dxa"/>
        <w:tblLayout w:type="fixed"/>
        <w:tblCellMar>
          <w:top w:w="28" w:type="dxa"/>
          <w:left w:w="28" w:type="dxa"/>
          <w:bottom w:w="28" w:type="dxa"/>
          <w:right w:w="28" w:type="dxa"/>
        </w:tblCellMar>
      </w:tblPr>
      <w:tblGrid>
        <w:gridCol w:w="870"/>
        <w:gridCol w:w="763"/>
        <w:gridCol w:w="766"/>
        <w:gridCol w:w="109"/>
        <w:gridCol w:w="109"/>
        <w:gridCol w:w="348"/>
        <w:gridCol w:w="1016"/>
        <w:gridCol w:w="181"/>
        <w:gridCol w:w="109"/>
        <w:gridCol w:w="109"/>
        <w:gridCol w:w="109"/>
        <w:gridCol w:w="219"/>
        <w:gridCol w:w="718"/>
        <w:gridCol w:w="113"/>
        <w:gridCol w:w="109"/>
        <w:gridCol w:w="109"/>
        <w:gridCol w:w="109"/>
        <w:gridCol w:w="211"/>
        <w:gridCol w:w="442"/>
        <w:gridCol w:w="129"/>
        <w:gridCol w:w="109"/>
        <w:gridCol w:w="109"/>
        <w:gridCol w:w="109"/>
        <w:gridCol w:w="259"/>
        <w:gridCol w:w="886"/>
        <w:gridCol w:w="189"/>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37,121</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12,704</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14,205 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14" w:type="dxa"/>
        <w:jc w:val="left"/>
        <w:tblInd w:w="0" w:type="dxa"/>
        <w:tblLayout w:type="fixed"/>
        <w:tblCellMar>
          <w:top w:w="28" w:type="dxa"/>
          <w:left w:w="28" w:type="dxa"/>
          <w:bottom w:w="28" w:type="dxa"/>
          <w:right w:w="28" w:type="dxa"/>
        </w:tblCellMar>
      </w:tblPr>
      <w:tblGrid>
        <w:gridCol w:w="870"/>
        <w:gridCol w:w="763"/>
        <w:gridCol w:w="766"/>
        <w:gridCol w:w="109"/>
        <w:gridCol w:w="109"/>
        <w:gridCol w:w="348"/>
        <w:gridCol w:w="1016"/>
        <w:gridCol w:w="181"/>
        <w:gridCol w:w="109"/>
        <w:gridCol w:w="109"/>
        <w:gridCol w:w="109"/>
        <w:gridCol w:w="219"/>
        <w:gridCol w:w="718"/>
        <w:gridCol w:w="113"/>
        <w:gridCol w:w="109"/>
        <w:gridCol w:w="109"/>
        <w:gridCol w:w="109"/>
        <w:gridCol w:w="211"/>
        <w:gridCol w:w="551"/>
        <w:gridCol w:w="125"/>
        <w:gridCol w:w="109"/>
        <w:gridCol w:w="109"/>
        <w:gridCol w:w="109"/>
        <w:gridCol w:w="259"/>
        <w:gridCol w:w="886"/>
        <w:gridCol w:w="189"/>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40,070</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12,372</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Sales and marketing</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3,811</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6,938 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18,056 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538" w:type="dxa"/>
        <w:jc w:val="left"/>
        <w:tblInd w:w="0" w:type="dxa"/>
        <w:tblLayout w:type="fixed"/>
        <w:tblCellMar>
          <w:top w:w="28" w:type="dxa"/>
          <w:left w:w="28" w:type="dxa"/>
          <w:bottom w:w="28" w:type="dxa"/>
          <w:right w:w="28" w:type="dxa"/>
        </w:tblCellMar>
      </w:tblPr>
      <w:tblGrid>
        <w:gridCol w:w="870"/>
        <w:gridCol w:w="763"/>
        <w:gridCol w:w="766"/>
        <w:gridCol w:w="109"/>
        <w:gridCol w:w="109"/>
        <w:gridCol w:w="348"/>
        <w:gridCol w:w="1016"/>
        <w:gridCol w:w="181"/>
        <w:gridCol w:w="109"/>
        <w:gridCol w:w="109"/>
        <w:gridCol w:w="109"/>
        <w:gridCol w:w="219"/>
        <w:gridCol w:w="718"/>
        <w:gridCol w:w="113"/>
        <w:gridCol w:w="109"/>
        <w:gridCol w:w="109"/>
        <w:gridCol w:w="109"/>
        <w:gridCol w:w="211"/>
        <w:gridCol w:w="691"/>
        <w:gridCol w:w="109"/>
        <w:gridCol w:w="109"/>
        <w:gridCol w:w="109"/>
        <w:gridCol w:w="109"/>
        <w:gridCol w:w="259"/>
        <w:gridCol w:w="886"/>
        <w:gridCol w:w="189"/>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73,154</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25,150</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13,317</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7,538</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8,107 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tbl>
      <w:tblPr>
        <w:tblW w:w="8370" w:type="dxa"/>
        <w:jc w:val="left"/>
        <w:tblInd w:w="0" w:type="dxa"/>
        <w:tblLayout w:type="fixed"/>
        <w:tblCellMar>
          <w:top w:w="28" w:type="dxa"/>
          <w:left w:w="28" w:type="dxa"/>
          <w:bottom w:w="28" w:type="dxa"/>
          <w:right w:w="28" w:type="dxa"/>
        </w:tblCellMar>
      </w:tblPr>
      <w:tblGrid>
        <w:gridCol w:w="854"/>
        <w:gridCol w:w="749"/>
        <w:gridCol w:w="752"/>
        <w:gridCol w:w="109"/>
        <w:gridCol w:w="109"/>
        <w:gridCol w:w="348"/>
        <w:gridCol w:w="1016"/>
        <w:gridCol w:w="181"/>
        <w:gridCol w:w="109"/>
        <w:gridCol w:w="109"/>
        <w:gridCol w:w="109"/>
        <w:gridCol w:w="219"/>
        <w:gridCol w:w="718"/>
        <w:gridCol w:w="113"/>
        <w:gridCol w:w="109"/>
        <w:gridCol w:w="109"/>
        <w:gridCol w:w="109"/>
        <w:gridCol w:w="211"/>
        <w:gridCol w:w="524"/>
        <w:gridCol w:w="152"/>
        <w:gridCol w:w="109"/>
        <w:gridCol w:w="109"/>
        <w:gridCol w:w="109"/>
        <w:gridCol w:w="259"/>
        <w:gridCol w:w="886"/>
        <w:gridCol w:w="189"/>
      </w:tblGrid>
      <w:tr>
        <w:trPr/>
        <w:tc>
          <w:tcPr>
            <w:tcW w:w="85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84,263</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25,281</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14,927</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7,406</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back/(deduct):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36,648 </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33"/>
        <w:gridCol w:w="1508"/>
        <w:gridCol w:w="1516"/>
        <w:gridCol w:w="211"/>
        <w:gridCol w:w="721"/>
        <w:gridCol w:w="109"/>
        <w:gridCol w:w="109"/>
        <w:gridCol w:w="109"/>
        <w:gridCol w:w="109"/>
        <w:gridCol w:w="211"/>
        <w:gridCol w:w="773"/>
        <w:gridCol w:w="109"/>
        <w:gridCol w:w="109"/>
        <w:gridCol w:w="109"/>
        <w:gridCol w:w="109"/>
        <w:gridCol w:w="211"/>
        <w:gridCol w:w="773"/>
        <w:gridCol w:w="109"/>
        <w:gridCol w:w="109"/>
        <w:gridCol w:w="109"/>
        <w:gridCol w:w="109"/>
        <w:gridCol w:w="211"/>
        <w:gridCol w:w="773"/>
        <w:gridCol w:w="156"/>
      </w:tblGrid>
      <w:tr>
        <w:trPr/>
        <w:tc>
          <w:tcPr>
            <w:tcW w:w="183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to Loss before benefit from income taxes reconciliation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Corporate/Eliminations/Other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costs</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ceased non-core business initiatives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benefit from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(99,351)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(95,432)</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3"/>
        </w:rPr>
      </w:pPr>
      <w:r>
        <w:rPr>
          <w:rFonts w:ascii="Times New Roman;serif" w:hAnsi="Times New Roman;serif"/>
          <w:b w:val="false"/>
          <w:color w:val="000000"/>
          <w:sz w:val="13"/>
        </w:rPr>
        <w:t>(a) Corporate costs primarily include professional fees related to the material weakness remediation efforts as well as legal cost related to acquisition activities.</w:t>
      </w:r>
    </w:p>
    <w:tbl>
      <w:tblPr>
        <w:tblW w:w="5426" w:type="dxa"/>
        <w:jc w:val="left"/>
        <w:tblInd w:w="0" w:type="dxa"/>
        <w:tblLayout w:type="fixed"/>
        <w:tblCellMar>
          <w:top w:w="28" w:type="dxa"/>
          <w:left w:w="28" w:type="dxa"/>
          <w:bottom w:w="28" w:type="dxa"/>
          <w:right w:w="28" w:type="dxa"/>
        </w:tblCellMar>
      </w:tblPr>
      <w:tblGrid>
        <w:gridCol w:w="1027"/>
        <w:gridCol w:w="902"/>
        <w:gridCol w:w="906"/>
        <w:gridCol w:w="396"/>
        <w:gridCol w:w="285"/>
        <w:gridCol w:w="286"/>
        <w:gridCol w:w="204"/>
        <w:gridCol w:w="204"/>
        <w:gridCol w:w="204"/>
        <w:gridCol w:w="396"/>
        <w:gridCol w:w="269"/>
        <w:gridCol w:w="347"/>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Broadcasting</w:t>
            </w:r>
          </w:p>
        </w:tc>
        <w:tc>
          <w:tcPr>
            <w:tcW w:w="3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Reach Media</w:t>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w:t>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corporate/eliminations</w:t>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07" w:type="dxa"/>
        <w:jc w:val="left"/>
        <w:tblInd w:w="0" w:type="dxa"/>
        <w:tblLayout w:type="fixed"/>
        <w:tblCellMar>
          <w:top w:w="28" w:type="dxa"/>
          <w:left w:w="28" w:type="dxa"/>
          <w:bottom w:w="28" w:type="dxa"/>
          <w:right w:w="28" w:type="dxa"/>
        </w:tblCellMar>
      </w:tblPr>
      <w:tblGrid>
        <w:gridCol w:w="1027"/>
        <w:gridCol w:w="902"/>
        <w:gridCol w:w="906"/>
        <w:gridCol w:w="362"/>
        <w:gridCol w:w="285"/>
        <w:gridCol w:w="286"/>
        <w:gridCol w:w="187"/>
        <w:gridCol w:w="187"/>
        <w:gridCol w:w="187"/>
        <w:gridCol w:w="362"/>
        <w:gridCol w:w="255"/>
        <w:gridCol w:w="36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Broadcasting</w:t>
            </w:r>
          </w:p>
        </w:tc>
        <w:tc>
          <w:tcPr>
            <w:tcW w:w="3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3,928</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Reach Media</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8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corporate/eliminations</w:t>
            </w:r>
          </w:p>
        </w:tc>
        <w:tc>
          <w:tcPr>
            <w:tcW w:w="9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5,099</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Radio Broadcasting Licenses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Company’s radio stations operates pursuant to one or more licenses issued by the FCC that have a maximum term of 8 years prior to renewal. The Company’s Radio Broadcasting licenses expire at various times beginning in October 2027 through August 2030. Although the Company may apply to renew its Radio Broadcasting licenses, third parties may challenge the Company’s renewal applications. The Company is not aware of any facts or circumstances that would prevent the Company from having its current licenses renewed. A station may continue to operate beyond the expiration date of its license if a timely filed license renewal application is filed and is pending.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Royalty Agreements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Musical works rights holders, songwriters and music publishers, have been traditionally represented by performing rights organizations, such as the American Society of Composers Authors and Publishers (“ASCAP”), Broadcast Music, Inc. (“BMI”) and SESAC, Inc. (“SESAC”). The market for rights relating to musical works is changing rapidly. Songwriters and music publishers have withdrawn from the traditional performing rights organizations (“PRO”), particularly ASCAP and BMI, and new entities, such as Global Music Rights Inc. (“GMR”), have been formed to represent rights holders. These organizations negotiate fees with copyright users, collect royalties and distribute them to the rights holders. These licenses periodically come up for renewal and the outcome of these renewal negotiations could impact, and potentially increase, the Company’s music license fees. In addition, there is no guarantee that additional PROs will not emerge, which could impact, and in some circumstances increase, the Company’s royalty rates and negotiation costs.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participating member of the Radio Music Licensing Committee (“RMLC”), the Company is a party to a settlement reached with GMR on February 7, 2022. This agreement established a 4-year license running from April 1, 2022 to March 31, 2026. The license included an optional 3-year extended term that the Company has opted into with the agreement now running through March 31, 2029. On August 19, 2025, the RMLC announced that it had settled litigation with BMI and ASCAP concerning licensing arrangements and that the settlement has led to new license agreements for members organizations. Both agreements are retroactive to January 1, 2022, and run through December 31, 2029. Each of the new BMI and ASCAP licenses maintain the same percentage-of-revenue license fee structure of the prior licensing arrangements and continue to provide for broad coverage of over-the-air programming, as well as simulcast/website transmissions of podcasts/archived content. While the percentage rates in the new licensing arrangements are higher than the old rates, they are lower than the rates sought by each of BMI and ASCAP in the now-settled litigation.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2024, RMLC announced that it had won a ruling in its rate determination proceedings with SESAC with respect to fees paid by RMLC-represented stations. The determination sets the rates for the period January 1, 2023, through December 31, 2026, and is retroactive in its application. RMLC-Represented Stations that have paid SESAC interim license fees at higher previous rates may receive a true-up adjustment in order to bring rates into conformity with the now-final rates. This ruling did not have a material impact on the Company's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Contingencies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been named as a defendant in several legal actions arising in the ordinary course of business. It is management’s opinion, after consultation with its legal counsel, that the outcome of these claims will not have a material adverse effect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0"/>
        </w:rPr>
        <w:t>Please see Note</w:t>
      </w:r>
      <w:r>
        <w:rPr>
          <w:color w:val="000000"/>
        </w:rPr>
        <w:t xml:space="preserve"> </w:t>
      </w:r>
      <w:r>
        <w:rPr>
          <w:rFonts w:ascii="Times New Roman;serif" w:hAnsi="Times New Roman;serif"/>
          <w:b w:val="false"/>
          <w:i/>
          <w:color w:val="000000"/>
          <w:sz w:val="20"/>
        </w:rPr>
        <w:t>7 - Dispositions and Acquisitions</w:t>
      </w:r>
      <w:r>
        <w:rPr>
          <w:color w:val="000000"/>
        </w:rPr>
        <w:t xml:space="preserve"> </w:t>
      </w:r>
      <w:r>
        <w:rPr>
          <w:rFonts w:ascii="Times New Roman;serif" w:hAnsi="Times New Roman;serif"/>
          <w:b w:val="false"/>
          <w:color w:val="000000"/>
          <w:sz w:val="20"/>
        </w:rPr>
        <w:t xml:space="preserve">and Note </w:t>
      </w:r>
      <w:r>
        <w:rPr>
          <w:rFonts w:ascii="Times New Roman;serif" w:hAnsi="Times New Roman;serif"/>
          <w:b w:val="false"/>
          <w:i/>
          <w:color w:val="000000"/>
          <w:sz w:val="20"/>
        </w:rPr>
        <w:t>9 - Debt</w:t>
      </w:r>
      <w:r>
        <w:rPr>
          <w:color w:val="000000"/>
        </w:rPr>
        <w:t xml:space="preserve"> </w:t>
      </w:r>
      <w:r>
        <w:rPr>
          <w:rFonts w:ascii="Times New Roman;serif" w:hAnsi="Times New Roman;serif"/>
          <w:b w:val="false"/>
          <w:color w:val="000000"/>
          <w:sz w:val="20"/>
        </w:rPr>
        <w:t xml:space="preserve">for additional information for subsequent events.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ind w:left="0" w:right="0" w:firstLine="720"/>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Within our core radio business, the Company primarily derives revenue from the sale of advertising time and program sponsorships to local and national advertisers on our radio stations. Advertising revenue is affected primarily by the advertising rates our radio stations are able to charge, as well as the overall demand for radio advertising time in a market. These rates are largely based upon a radio station’s audience share in the demographic groups targeted by advertisers, the number of radio stations in the related market, and the supply of, and demand for, radio advertising time. Advertising rates are generally highest during morning and afternoon commuting hours.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broadcasting industry, radio stations and television stations often utilize trade or barter agreements to reduce cash expenses by exchanging advertising time for goods or services. In order to maximize cash revenue for our spot inventory, the Company closely manages the use of trade and barter agreements.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revenue consists of gross revenue, net of local and national agency commissions. Agency commissions are calculated based on a stated percentage applied to gross billing.</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percentage of unaudited condensed consolidated net revenue generated by each reporting segment.</w:t>
      </w:r>
    </w:p>
    <w:tbl>
      <w:tblPr>
        <w:tblW w:w="8017" w:type="dxa"/>
        <w:jc w:val="left"/>
        <w:tblInd w:w="0" w:type="dxa"/>
        <w:tblLayout w:type="fixed"/>
        <w:tblCellMar>
          <w:top w:w="28" w:type="dxa"/>
          <w:left w:w="28" w:type="dxa"/>
          <w:bottom w:w="28" w:type="dxa"/>
          <w:right w:w="28" w:type="dxa"/>
        </w:tblCellMar>
      </w:tblPr>
      <w:tblGrid>
        <w:gridCol w:w="1027"/>
        <w:gridCol w:w="901"/>
        <w:gridCol w:w="906"/>
        <w:gridCol w:w="239"/>
        <w:gridCol w:w="241"/>
        <w:gridCol w:w="470"/>
        <w:gridCol w:w="189"/>
        <w:gridCol w:w="189"/>
        <w:gridCol w:w="189"/>
        <w:gridCol w:w="239"/>
        <w:gridCol w:w="241"/>
        <w:gridCol w:w="470"/>
        <w:gridCol w:w="109"/>
        <w:gridCol w:w="109"/>
        <w:gridCol w:w="109"/>
        <w:gridCol w:w="239"/>
        <w:gridCol w:w="241"/>
        <w:gridCol w:w="424"/>
        <w:gridCol w:w="170"/>
        <w:gridCol w:w="170"/>
        <w:gridCol w:w="170"/>
        <w:gridCol w:w="239"/>
        <w:gridCol w:w="241"/>
        <w:gridCol w:w="495"/>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Broadcasting segment</w:t>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41.1%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40.3%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37.7%</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Reach Media segment</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5.5%</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6.1%</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segment</w:t>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9.9%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11.1%</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segment</w:t>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43.3%</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44.8%</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45.8%</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corporate/eliminations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(0.9)</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(0.7)</w:t>
            </w:r>
          </w:p>
        </w:tc>
        <w:tc>
          <w:tcPr>
            <w:tcW w:w="4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(0.9)</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(0.7)</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percentages generated from local and national advertising as a subset of net revenue from our core radio business.</w:t>
      </w:r>
    </w:p>
    <w:tbl>
      <w:tblPr>
        <w:tblW w:w="10205" w:type="dxa"/>
        <w:jc w:val="left"/>
        <w:tblInd w:w="0" w:type="dxa"/>
        <w:tblLayout w:type="fixed"/>
        <w:tblCellMar>
          <w:top w:w="28" w:type="dxa"/>
          <w:left w:w="28" w:type="dxa"/>
          <w:bottom w:w="28" w:type="dxa"/>
          <w:right w:w="28" w:type="dxa"/>
        </w:tblCellMar>
      </w:tblPr>
      <w:tblGrid>
        <w:gridCol w:w="2205"/>
        <w:gridCol w:w="1928"/>
        <w:gridCol w:w="1933"/>
        <w:gridCol w:w="250"/>
        <w:gridCol w:w="207"/>
        <w:gridCol w:w="207"/>
        <w:gridCol w:w="207"/>
        <w:gridCol w:w="207"/>
        <w:gridCol w:w="207"/>
        <w:gridCol w:w="250"/>
        <w:gridCol w:w="207"/>
        <w:gridCol w:w="207"/>
        <w:gridCol w:w="109"/>
        <w:gridCol w:w="109"/>
        <w:gridCol w:w="109"/>
        <w:gridCol w:w="224"/>
        <w:gridCol w:w="195"/>
        <w:gridCol w:w="188"/>
        <w:gridCol w:w="188"/>
        <w:gridCol w:w="188"/>
        <w:gridCol w:w="188"/>
        <w:gridCol w:w="224"/>
        <w:gridCol w:w="195"/>
        <w:gridCol w:w="273"/>
      </w:tblGrid>
      <w:tr>
        <w:trPr/>
        <w:tc>
          <w:tcPr>
            <w:tcW w:w="220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core radio business generated from local advertising</w:t>
            </w:r>
          </w:p>
        </w:tc>
        <w:tc>
          <w:tcPr>
            <w:tcW w:w="6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core radio business generated from national advertising, including network advertising</w:t>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core radio business generated from other revenue</w:t>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bl>
    <w:p>
      <w:pPr>
        <w:pStyle w:val="TextBody"/>
        <w:bidi w:val="0"/>
        <w:spacing w:before="24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sources of our net revenue for the three months ended June 30, 2026 and 2025:</w:t>
      </w:r>
    </w:p>
    <w:tbl>
      <w:tblPr>
        <w:tblW w:w="8077" w:type="dxa"/>
        <w:jc w:val="left"/>
        <w:tblInd w:w="0" w:type="dxa"/>
        <w:tblLayout w:type="fixed"/>
        <w:tblCellMar>
          <w:top w:w="28" w:type="dxa"/>
          <w:left w:w="28" w:type="dxa"/>
          <w:bottom w:w="28" w:type="dxa"/>
          <w:right w:w="28" w:type="dxa"/>
        </w:tblCellMar>
      </w:tblPr>
      <w:tblGrid>
        <w:gridCol w:w="922"/>
        <w:gridCol w:w="813"/>
        <w:gridCol w:w="814"/>
        <w:gridCol w:w="403"/>
        <w:gridCol w:w="338"/>
        <w:gridCol w:w="338"/>
        <w:gridCol w:w="208"/>
        <w:gridCol w:w="208"/>
        <w:gridCol w:w="208"/>
        <w:gridCol w:w="403"/>
        <w:gridCol w:w="338"/>
        <w:gridCol w:w="338"/>
        <w:gridCol w:w="109"/>
        <w:gridCol w:w="109"/>
        <w:gridCol w:w="109"/>
        <w:gridCol w:w="211"/>
        <w:gridCol w:w="691"/>
        <w:gridCol w:w="109"/>
        <w:gridCol w:w="109"/>
        <w:gridCol w:w="109"/>
        <w:gridCol w:w="109"/>
        <w:gridCol w:w="254"/>
        <w:gridCol w:w="257"/>
        <w:gridCol w:w="570"/>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34,732</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20,773</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16,286</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4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13"/>
        </w:rPr>
      </w:pPr>
      <w:r>
        <w:rPr>
          <w:rFonts w:ascii="Times New Roman;serif" w:hAnsi="Times New Roman;serif"/>
          <w:b w:val="false"/>
          <w:color w:val="000000"/>
          <w:sz w:val="13"/>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238" w:type="dxa"/>
        <w:jc w:val="left"/>
        <w:tblInd w:w="0" w:type="dxa"/>
        <w:tblLayout w:type="fixed"/>
        <w:tblCellMar>
          <w:top w:w="28" w:type="dxa"/>
          <w:left w:w="28" w:type="dxa"/>
          <w:bottom w:w="28" w:type="dxa"/>
          <w:right w:w="28" w:type="dxa"/>
        </w:tblCellMar>
      </w:tblPr>
      <w:tblGrid>
        <w:gridCol w:w="922"/>
        <w:gridCol w:w="813"/>
        <w:gridCol w:w="814"/>
        <w:gridCol w:w="368"/>
        <w:gridCol w:w="390"/>
        <w:gridCol w:w="391"/>
        <w:gridCol w:w="190"/>
        <w:gridCol w:w="190"/>
        <w:gridCol w:w="190"/>
        <w:gridCol w:w="368"/>
        <w:gridCol w:w="390"/>
        <w:gridCol w:w="391"/>
        <w:gridCol w:w="109"/>
        <w:gridCol w:w="109"/>
        <w:gridCol w:w="109"/>
        <w:gridCol w:w="211"/>
        <w:gridCol w:w="691"/>
        <w:gridCol w:w="109"/>
        <w:gridCol w:w="109"/>
        <w:gridCol w:w="109"/>
        <w:gridCol w:w="109"/>
        <w:gridCol w:w="293"/>
        <w:gridCol w:w="293"/>
        <w:gridCol w:w="570"/>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3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66,856</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5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16,170</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39,868</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33,163</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5,208</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5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13"/>
        </w:rPr>
      </w:pPr>
      <w:r>
        <w:rPr>
          <w:rFonts w:ascii="Times New Roman;serif" w:hAnsi="Times New Roman;serif"/>
          <w:b w:val="false"/>
          <w:color w:val="000000"/>
          <w:sz w:val="13"/>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Reach Media primarily derives its revenue from the sale of advertising in connection with its syndicated radio shows, including the Rickey Smiley Morning Show and the DL Hughley Show. Reach Media also operates www.BlackAmericaWeb.com, an African-American targeted news and entertainment website, in addition to providing various other event-related activities.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Within our Digital segment, Interactive One generates the majority of the Company’s digital revenue. Our digital revenue is principally derived from advertising services on non-radio station branded, but Company-owned websites. The segment also includes the digital components of the Company’s other reportable segments. Advertising services include the sale of banner and sponsorship advertisements. As the Company runs its advertising campaigns, the customer simultaneously receives benefits as impressions are delivered, and revenue is recognized. The amount of revenue recognized each month is based on the number of impressions delivered multiplied by the effective per impression unit price and is equal to the net amount receivable from the customer.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Cable Television segment generates the Company’s cable television revenue and derives its revenue principally from advertising and affiliate revenue. Advertising revenue is derived from the sale of television airtime to advertisers and is recognized when the advertisements are run. Our Cable Television segment also derives revenue from affiliate fees under the terms of various multi-year affiliation agreements generally based on a per subscriber royalty for the right to distribute the Company’s programming under the terms of the distribution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significant expenses are: (i) employee salaries and commissions; (ii) programming expenses; (iii) marketing and promotional expenses; (iv) rental of premises for office facilities and studios; (v) rental of transmission tower space; (vi) music license royalty fees; and (vii) content amortization. The Company strives to control these expenses by centralizing certain functions such as finance, accounting, legal, human resources, and management information systems and, in certain markets, the programming management function. We also use our multiple stations, market presence and purchasing power to negotiate favorable rates with certain vendors and national representative selling agencies. In addition to salaries and commissions, major expenses for our internet business include membership traffic acquisition costs, software product design, post-application software development and maintenance, database and server support costs, the help desk function, data center expenses connected with internet service provider (“ISP”) hosting services and other internet content delivery expenses. Major expenses for our Cable Television segment include content acquisition and amortization, sales, and marketing.</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generally incurs marketing and promotional expenses to increase and maintain our audiences. However, because Nielsen reports ratings either monthly or quarterly, depending on the particular market, any changed ratings and the effect on advertising revenue tends to lag behind both the reporting of the ratings and the incurrence of advertising and promotional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historical unaudited condensed consolidated results of operations: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Three Months Ended June 30, 2026 Compared to Three Months Ended June 30, 2025 </w:t>
      </w:r>
    </w:p>
    <w:tbl>
      <w:tblPr>
        <w:tblW w:w="10205" w:type="dxa"/>
        <w:jc w:val="left"/>
        <w:tblInd w:w="0" w:type="dxa"/>
        <w:tblLayout w:type="fixed"/>
        <w:tblCellMar>
          <w:top w:w="28" w:type="dxa"/>
          <w:left w:w="28" w:type="dxa"/>
          <w:bottom w:w="28" w:type="dxa"/>
          <w:right w:w="28" w:type="dxa"/>
        </w:tblCellMar>
      </w:tblPr>
      <w:tblGrid>
        <w:gridCol w:w="1800"/>
        <w:gridCol w:w="1498"/>
        <w:gridCol w:w="1466"/>
        <w:gridCol w:w="372"/>
        <w:gridCol w:w="343"/>
        <w:gridCol w:w="343"/>
        <w:gridCol w:w="180"/>
        <w:gridCol w:w="180"/>
        <w:gridCol w:w="180"/>
        <w:gridCol w:w="422"/>
        <w:gridCol w:w="389"/>
        <w:gridCol w:w="389"/>
        <w:gridCol w:w="109"/>
        <w:gridCol w:w="109"/>
        <w:gridCol w:w="109"/>
        <w:gridCol w:w="211"/>
        <w:gridCol w:w="674"/>
        <w:gridCol w:w="109"/>
        <w:gridCol w:w="109"/>
        <w:gridCol w:w="109"/>
        <w:gridCol w:w="109"/>
        <w:gridCol w:w="334"/>
        <w:gridCol w:w="338"/>
        <w:gridCol w:w="323"/>
      </w:tblGrid>
      <w:tr>
        <w:trPr/>
        <w:tc>
          <w:tcPr>
            <w:tcW w:w="180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6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 excluding stock-based compensation</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29,774</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3.9%</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excluding stock-based compensation</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45,201</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*NM</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96,996</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(11,239)</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benefit from income taxes</w:t>
            </w:r>
          </w:p>
        </w:tc>
        <w:tc>
          <w:tcPr>
            <w:tcW w:w="7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(8,681)</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(99,351)</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21,382 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4764"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0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240" w:after="283"/>
        <w:ind w:left="0" w:right="0" w:firstLine="245"/>
        <w:jc w:val="left"/>
        <w:rPr/>
      </w:pPr>
      <w:r>
        <w:rPr/>
      </w:r>
    </w:p>
    <w:p>
      <w:pPr>
        <w:pStyle w:val="TextBody"/>
        <w:bidi w:val="0"/>
        <w:spacing w:before="24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Revenue</w:t>
      </w:r>
    </w:p>
    <w:tbl>
      <w:tblPr>
        <w:tblW w:w="5591" w:type="dxa"/>
        <w:jc w:val="left"/>
        <w:tblInd w:w="0" w:type="dxa"/>
        <w:tblLayout w:type="fixed"/>
        <w:tblCellMar>
          <w:top w:w="28" w:type="dxa"/>
          <w:left w:w="28" w:type="dxa"/>
          <w:bottom w:w="28" w:type="dxa"/>
          <w:right w:w="28" w:type="dxa"/>
        </w:tblCellMar>
      </w:tblPr>
      <w:tblGrid>
        <w:gridCol w:w="429"/>
        <w:gridCol w:w="338"/>
        <w:gridCol w:w="338"/>
        <w:gridCol w:w="207"/>
        <w:gridCol w:w="207"/>
        <w:gridCol w:w="207"/>
        <w:gridCol w:w="401"/>
        <w:gridCol w:w="338"/>
        <w:gridCol w:w="338"/>
        <w:gridCol w:w="109"/>
        <w:gridCol w:w="109"/>
        <w:gridCol w:w="109"/>
        <w:gridCol w:w="211"/>
        <w:gridCol w:w="691"/>
        <w:gridCol w:w="109"/>
        <w:gridCol w:w="109"/>
        <w:gridCol w:w="109"/>
        <w:gridCol w:w="109"/>
        <w:gridCol w:w="239"/>
        <w:gridCol w:w="241"/>
        <w:gridCol w:w="271"/>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During the three months ended June 30, 2026, we recognized approximately $85.8 million in net revenue compared to approximately $91.6 million during the three months ended June 30, 2025. These amounts are net of agency commissions. We recognized approximately </w:t>
      </w:r>
      <w:r>
        <w:rPr>
          <w:rFonts w:ascii="Times New Roman;serif" w:hAnsi="Times New Roman;serif"/>
          <w:b w:val="false"/>
          <w:color w:val="000000"/>
          <w:sz w:val="20"/>
        </w:rPr>
        <w:t>$35.3 million</w:t>
      </w:r>
      <w:r>
        <w:rPr>
          <w:color w:val="000000"/>
          <w:shd w:fill="FFFFFF" w:val="clear"/>
        </w:rPr>
        <w:t xml:space="preserve"> </w:t>
      </w:r>
      <w:r>
        <w:rPr>
          <w:rFonts w:ascii="Times New Roman;serif" w:hAnsi="Times New Roman;serif"/>
          <w:b w:val="false"/>
          <w:color w:val="000000"/>
          <w:sz w:val="20"/>
          <w:shd w:fill="FFFFFF" w:val="clear"/>
        </w:rPr>
        <w:t>of revenue from our Radio Broadcasting segment during the three months ended June 30, 2026, compared to approximately $36.7 million during the three months ended June 30, 2025, a decrease of approximate</w:t>
      </w:r>
      <w:r>
        <w:rPr>
          <w:rFonts w:ascii="Times New Roman;serif" w:hAnsi="Times New Roman;serif"/>
          <w:b w:val="false"/>
          <w:color w:val="000000"/>
          <w:sz w:val="20"/>
        </w:rPr>
        <w:t>ly $1.4 million. This decrease was primarily driven by weaker overall market demand from the national and local advertisers. W</w:t>
      </w:r>
      <w:r>
        <w:rPr>
          <w:rFonts w:ascii="Times New Roman;serif" w:hAnsi="Times New Roman;serif"/>
          <w:b w:val="false"/>
          <w:color w:val="000000"/>
          <w:sz w:val="20"/>
          <w:shd w:fill="FFFFFF" w:val="clear"/>
        </w:rPr>
        <w:t xml:space="preserve">e recognized approximately </w:t>
      </w:r>
      <w:r>
        <w:rPr>
          <w:rFonts w:ascii="Times New Roman;serif" w:hAnsi="Times New Roman;serif"/>
          <w:b w:val="false"/>
          <w:color w:val="000000"/>
          <w:sz w:val="20"/>
        </w:rPr>
        <w:t>$4.8 million</w:t>
      </w:r>
      <w:r>
        <w:rPr>
          <w:color w:val="000000"/>
          <w:shd w:fill="FFFFFF" w:val="clear"/>
        </w:rPr>
        <w:t xml:space="preserve"> </w:t>
      </w:r>
      <w:r>
        <w:rPr>
          <w:rFonts w:ascii="Times New Roman;serif" w:hAnsi="Times New Roman;serif"/>
          <w:b w:val="false"/>
          <w:color w:val="000000"/>
          <w:sz w:val="20"/>
          <w:shd w:fill="FFFFFF" w:val="clear"/>
        </w:rPr>
        <w:t>of rev</w:t>
      </w:r>
      <w:r>
        <w:rPr>
          <w:rFonts w:ascii="Times New Roman;serif" w:hAnsi="Times New Roman;serif"/>
          <w:b w:val="false"/>
          <w:color w:val="000000"/>
          <w:sz w:val="20"/>
        </w:rPr>
        <w:t>enue from our Reach Media segment during the three months ended June 30, 2026, compared to approximately $5.3 million for the three months ended June 30, 2025, a decrease of approximately $0.5 million. This decrease was primarily driven by a decrease in syndicated revenue. We reco</w:t>
      </w:r>
      <w:r>
        <w:rPr>
          <w:rFonts w:ascii="Times New Roman;serif" w:hAnsi="Times New Roman;serif"/>
          <w:b w:val="false"/>
          <w:color w:val="000000"/>
          <w:sz w:val="20"/>
          <w:shd w:fill="FFFFFF" w:val="clear"/>
        </w:rPr>
        <w:t xml:space="preserve">gnized approximately </w:t>
      </w:r>
      <w:r>
        <w:rPr>
          <w:rFonts w:ascii="Times New Roman;serif" w:hAnsi="Times New Roman;serif"/>
          <w:b w:val="false"/>
          <w:color w:val="000000"/>
          <w:sz w:val="20"/>
        </w:rPr>
        <w:t>$9.4 million</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revenue from our Digital segment during the three months ended June 30, 2026, compared to approximately $10.3 million for the three months ended June 30, 2025, a decrease of approximately $0.9 million. This decrease was primarily driven by the decrease in direct revenue streams, reflecting reduced advertising spend, diversity, equity and inclusion-focused campaigns. We recogni</w:t>
      </w:r>
      <w:r>
        <w:rPr>
          <w:rFonts w:ascii="Times New Roman;serif" w:hAnsi="Times New Roman;serif"/>
          <w:b w:val="false"/>
          <w:color w:val="000000"/>
          <w:sz w:val="20"/>
          <w:shd w:fill="FFFFFF" w:val="clear"/>
        </w:rPr>
        <w:t xml:space="preserve">zed approximately </w:t>
      </w:r>
      <w:r>
        <w:rPr>
          <w:rFonts w:ascii="Times New Roman;serif" w:hAnsi="Times New Roman;serif"/>
          <w:b w:val="false"/>
          <w:color w:val="000000"/>
          <w:sz w:val="20"/>
        </w:rPr>
        <w:t xml:space="preserve">$37.1 million of revenue from our Cable Television segment during the three months ended June 30, 2026, compared to approximately $40.1 million for the three months ended June 30, 2025, a decrease of approximately $3.0 million. This decrease was primarily driven by the churn of subscribers and lower advertising sales.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Programming And Technical, Excluding Stock-based Compensation</w:t>
      </w:r>
    </w:p>
    <w:tbl>
      <w:tblPr>
        <w:tblW w:w="5397" w:type="dxa"/>
        <w:jc w:val="left"/>
        <w:tblInd w:w="0" w:type="dxa"/>
        <w:tblLayout w:type="fixed"/>
        <w:tblCellMar>
          <w:top w:w="28" w:type="dxa"/>
          <w:left w:w="28" w:type="dxa"/>
          <w:bottom w:w="28" w:type="dxa"/>
          <w:right w:w="28" w:type="dxa"/>
        </w:tblCellMar>
      </w:tblPr>
      <w:tblGrid>
        <w:gridCol w:w="429"/>
        <w:gridCol w:w="338"/>
        <w:gridCol w:w="338"/>
        <w:gridCol w:w="207"/>
        <w:gridCol w:w="207"/>
        <w:gridCol w:w="207"/>
        <w:gridCol w:w="401"/>
        <w:gridCol w:w="338"/>
        <w:gridCol w:w="338"/>
        <w:gridCol w:w="109"/>
        <w:gridCol w:w="109"/>
        <w:gridCol w:w="109"/>
        <w:gridCol w:w="211"/>
        <w:gridCol w:w="616"/>
        <w:gridCol w:w="109"/>
        <w:gridCol w:w="109"/>
        <w:gridCol w:w="109"/>
        <w:gridCol w:w="109"/>
        <w:gridCol w:w="180"/>
        <w:gridCol w:w="181"/>
        <w:gridCol w:w="271"/>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29,774</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expenses include expenses associated with on-air talent and the management and maintenance of the systems, tower facilities, and studios used in the creation, distribution, and broadcast of programming content on our radio stations. Programming and technical expenses for the Radio Broadcasting segment also include expenses associated with our programming research activities and music royalties. For our Digital segment, programming and technical expenses include software product design, post-application software development and maintenance, database and server support costs, the help desk function, data center expenses connected with ISP hosting services and other internet content delivery expenses. For our Cable Television segment, programming and technical expenses include expenses associated with technical, programming, production, and content management. Programming and technical expenses were approximately $29.8 million for the three months ended June 30, 2026, compared to approximately $28.6 million for the three months ended June 30, 2025, respectively. The approximately $1.2 million increase is primarily due to higher royalty expenses in our Radio Broadcasting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Excluding Stock-based Compensation</w:t>
      </w:r>
    </w:p>
    <w:tbl>
      <w:tblPr>
        <w:tblW w:w="5761" w:type="dxa"/>
        <w:jc w:val="left"/>
        <w:tblInd w:w="0" w:type="dxa"/>
        <w:tblLayout w:type="fixed"/>
        <w:tblCellMar>
          <w:top w:w="28" w:type="dxa"/>
          <w:left w:w="28" w:type="dxa"/>
          <w:bottom w:w="28" w:type="dxa"/>
          <w:right w:w="28" w:type="dxa"/>
        </w:tblCellMar>
      </w:tblPr>
      <w:tblGrid>
        <w:gridCol w:w="480"/>
        <w:gridCol w:w="338"/>
        <w:gridCol w:w="338"/>
        <w:gridCol w:w="231"/>
        <w:gridCol w:w="231"/>
        <w:gridCol w:w="231"/>
        <w:gridCol w:w="448"/>
        <w:gridCol w:w="338"/>
        <w:gridCol w:w="338"/>
        <w:gridCol w:w="109"/>
        <w:gridCol w:w="109"/>
        <w:gridCol w:w="109"/>
        <w:gridCol w:w="211"/>
        <w:gridCol w:w="691"/>
        <w:gridCol w:w="109"/>
        <w:gridCol w:w="109"/>
        <w:gridCol w:w="109"/>
        <w:gridCol w:w="109"/>
        <w:gridCol w:w="239"/>
        <w:gridCol w:w="241"/>
        <w:gridCol w:w="271"/>
        <w:gridCol w:w="109"/>
        <w:gridCol w:w="109"/>
        <w:gridCol w:w="154"/>
      </w:tblGrid>
      <w:tr>
        <w:trPr/>
        <w:tc>
          <w:tcPr>
            <w:tcW w:w="48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45,201</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expenses associated with our sales departments, offices, corporate headquarters and facilities, marketing and promotional expenses, special events and sponsorships, and back-office expenses. Expenses associated with securing ratings data for our radio stations and visitors’ data for our websites, personnel, and other corporate overhead functions are also included in selling, general and administrative expenses. In addition, selling, general and administrative expenses for the Radio Broadcasting segment and Digital segment include expenses related to the advertising traffic (scheduling and insertion) functions. Selling, general and administrative expenses also include membership traffic acquisition costs for our Digital segment. Selling, general and administrative expenses were approximately $45.2 million for the three months ended June 30, 2026, compared to approximately $49.5 million for the three months ended June 30, 2025, a decrease of approximately $4.3 million. Expenses in our Digital segment decreased by approximately $0.8 million for the three months ended June 30, 2026, compared to the three months ended June 30, 2025, primarily due to a decrease in traffic acquisition costs due to lower revenue. Expenses in our Cable segment increased by approximately $0.6 million for the three months ended June 30, 2026, compared to the three months ended June 30, 2025, primarily due to the increase in executive compensation. Expenses in our Radio Broadcasting segment decreased approximately $1.4 million for the three months ended June 30, 2026, compared to the three months ended June 30, 2025, primarily due to lower bad debt reserve. Expenses in our Reach Media segment decreased approximately $1.2 million for the three months ended June 30, 2026, compared to the three months ended June 30, 2025, primarily due to lower bad debt reserve and lower affiliate station compensation expense. Expenses in corporate decreased approximately $1.5 million for the three months ended June 30, 2026, compared to the three months ended June 30, 2025, primarily due to lower professional service fees.</w:t>
      </w:r>
    </w:p>
    <w:p>
      <w:pPr>
        <w:pStyle w:val="TextBody"/>
        <w:bidi w:val="0"/>
        <w:spacing w:lineRule="auto" w:line="288" w:before="24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w:t>
      </w:r>
    </w:p>
    <w:tbl>
      <w:tblPr>
        <w:tblW w:w="4965" w:type="dxa"/>
        <w:jc w:val="left"/>
        <w:tblInd w:w="0" w:type="dxa"/>
        <w:tblLayout w:type="fixed"/>
        <w:tblCellMar>
          <w:top w:w="28" w:type="dxa"/>
          <w:left w:w="28" w:type="dxa"/>
          <w:bottom w:w="28" w:type="dxa"/>
          <w:right w:w="28" w:type="dxa"/>
        </w:tblCellMar>
      </w:tblPr>
      <w:tblGrid>
        <w:gridCol w:w="429"/>
        <w:gridCol w:w="285"/>
        <w:gridCol w:w="286"/>
        <w:gridCol w:w="207"/>
        <w:gridCol w:w="207"/>
        <w:gridCol w:w="207"/>
        <w:gridCol w:w="401"/>
        <w:gridCol w:w="210"/>
        <w:gridCol w:w="211"/>
        <w:gridCol w:w="109"/>
        <w:gridCol w:w="109"/>
        <w:gridCol w:w="109"/>
        <w:gridCol w:w="211"/>
        <w:gridCol w:w="616"/>
        <w:gridCol w:w="109"/>
        <w:gridCol w:w="109"/>
        <w:gridCol w:w="109"/>
        <w:gridCol w:w="109"/>
        <w:gridCol w:w="308"/>
        <w:gridCol w:w="308"/>
        <w:gridCol w:w="316"/>
      </w:tblGrid>
      <w:tr>
        <w:trPr/>
        <w:tc>
          <w:tcPr>
            <w:tcW w:w="4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approximately $1.7 million for the six months ended June 30, 2026, compared to approximately $0.6 million for the six months ended June 30, 2025, an increase of approximately $1.1 million. The increase in stock-based compensation was primarily due to stock awards for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5337" w:type="dxa"/>
        <w:jc w:val="left"/>
        <w:tblInd w:w="0" w:type="dxa"/>
        <w:tblLayout w:type="fixed"/>
        <w:tblCellMar>
          <w:top w:w="28" w:type="dxa"/>
          <w:left w:w="28" w:type="dxa"/>
          <w:bottom w:w="28" w:type="dxa"/>
          <w:right w:w="28" w:type="dxa"/>
        </w:tblCellMar>
      </w:tblPr>
      <w:tblGrid>
        <w:gridCol w:w="429"/>
        <w:gridCol w:w="285"/>
        <w:gridCol w:w="286"/>
        <w:gridCol w:w="207"/>
        <w:gridCol w:w="207"/>
        <w:gridCol w:w="207"/>
        <w:gridCol w:w="401"/>
        <w:gridCol w:w="285"/>
        <w:gridCol w:w="286"/>
        <w:gridCol w:w="109"/>
        <w:gridCol w:w="109"/>
        <w:gridCol w:w="109"/>
        <w:gridCol w:w="211"/>
        <w:gridCol w:w="616"/>
        <w:gridCol w:w="109"/>
        <w:gridCol w:w="109"/>
        <w:gridCol w:w="109"/>
        <w:gridCol w:w="109"/>
        <w:gridCol w:w="255"/>
        <w:gridCol w:w="256"/>
        <w:gridCol w:w="271"/>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approximately $6.2 million for the three months ended June 30, 2026, compared to approximately $3.5 million for the three months ended June 30, 2025, an increase of approximately $2.7 million. This increase is primarily driven by the Radio Broadcasting licenses amortization, which began in June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Impairment Of Goodwill, Intangible Assets And Long-Lived Assets</w:t>
      </w:r>
    </w:p>
    <w:tbl>
      <w:tblPr>
        <w:tblW w:w="6012" w:type="dxa"/>
        <w:jc w:val="left"/>
        <w:tblInd w:w="0" w:type="dxa"/>
        <w:tblLayout w:type="fixed"/>
        <w:tblCellMar>
          <w:top w:w="28" w:type="dxa"/>
          <w:left w:w="28" w:type="dxa"/>
          <w:bottom w:w="28" w:type="dxa"/>
          <w:right w:w="28" w:type="dxa"/>
        </w:tblCellMar>
      </w:tblPr>
      <w:tblGrid>
        <w:gridCol w:w="429"/>
        <w:gridCol w:w="338"/>
        <w:gridCol w:w="338"/>
        <w:gridCol w:w="207"/>
        <w:gridCol w:w="207"/>
        <w:gridCol w:w="207"/>
        <w:gridCol w:w="401"/>
        <w:gridCol w:w="390"/>
        <w:gridCol w:w="391"/>
        <w:gridCol w:w="109"/>
        <w:gridCol w:w="109"/>
        <w:gridCol w:w="109"/>
        <w:gridCol w:w="211"/>
        <w:gridCol w:w="901"/>
        <w:gridCol w:w="109"/>
        <w:gridCol w:w="109"/>
        <w:gridCol w:w="109"/>
        <w:gridCol w:w="109"/>
        <w:gridCol w:w="293"/>
        <w:gridCol w:w="293"/>
        <w:gridCol w:w="271"/>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pPr>
      <w:r>
        <w:rPr>
          <w:rFonts w:ascii="Times New Roman;serif" w:hAnsi="Times New Roman;serif"/>
          <w:b w:val="false"/>
          <w:color w:val="000000"/>
          <w:sz w:val="20"/>
        </w:rPr>
        <w:t>Impairment of goodwill, intangible assets and long-lived assets was approximately $14.2 million</w:t>
      </w:r>
      <w:r>
        <w:rPr>
          <w:color w:val="000000"/>
          <w:shd w:fill="FFFFFF" w:val="clear"/>
        </w:rPr>
        <w:t xml:space="preserve"> </w:t>
      </w:r>
      <w:r>
        <w:rPr>
          <w:rFonts w:ascii="Times New Roman;serif" w:hAnsi="Times New Roman;serif"/>
          <w:b w:val="false"/>
          <w:color w:val="000000"/>
          <w:sz w:val="20"/>
          <w:shd w:fill="FFFFFF" w:val="clear"/>
        </w:rPr>
        <w:t>during the three months ended June 30, 2026</w:t>
      </w:r>
      <w:r>
        <w:rPr>
          <w:color w:val="000000"/>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$130.1 million</w:t>
      </w:r>
      <w:r>
        <w:rPr>
          <w:color w:val="000000"/>
          <w:shd w:fill="FFFFFF" w:val="clear"/>
        </w:rPr>
        <w:t xml:space="preserve"> </w:t>
      </w:r>
      <w:r>
        <w:rPr>
          <w:rFonts w:ascii="Times New Roman;serif" w:hAnsi="Times New Roman;serif"/>
          <w:b w:val="false"/>
          <w:color w:val="000000"/>
          <w:sz w:val="20"/>
          <w:shd w:fill="FFFFFF" w:val="clear"/>
        </w:rPr>
        <w:t>during the three months ended June 30, 2025</w:t>
      </w:r>
      <w:r>
        <w:rPr>
          <w:rFonts w:ascii="Times New Roman;serif" w:hAnsi="Times New Roman;serif"/>
          <w:b w:val="false"/>
          <w:color w:val="000000"/>
          <w:sz w:val="20"/>
        </w:rPr>
        <w:t xml:space="preserve">. The Company recorded an impairment charge of $13.9 million related to the Reach Media reporting unit and $0.3 million related to the long-lived asset group in Reach Media during the three months ended June 30, 2026, compared to an impairment charge of approximately $130.1 million related to Radio FCC license impairment for the </w:t>
      </w:r>
      <w:r>
        <w:rPr>
          <w:rFonts w:ascii="Times New Roman;serif" w:hAnsi="Times New Roman;serif"/>
          <w:b w:val="false"/>
          <w:color w:val="000000"/>
          <w:sz w:val="20"/>
          <w:shd w:fill="FFFFFF" w:val="clear"/>
        </w:rPr>
        <w:t>three months ended June 30,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See Note </w:t>
      </w:r>
      <w:r>
        <w:rPr>
          <w:rFonts w:ascii="Times New Roman;serif" w:hAnsi="Times New Roman;serif"/>
          <w:b w:val="false"/>
          <w:i/>
          <w:color w:val="000000"/>
          <w:sz w:val="20"/>
        </w:rPr>
        <w:t xml:space="preserve">8 - Goodwill, Net and Intangible Assets, Net </w:t>
      </w:r>
      <w:r>
        <w:rPr>
          <w:rFonts w:ascii="Times New Roman;serif" w:hAnsi="Times New Roman;serif"/>
          <w:b w:val="false"/>
          <w:color w:val="000000"/>
          <w:sz w:val="20"/>
          <w:shd w:fill="FFFFFF" w:val="clear"/>
        </w:rPr>
        <w:t xml:space="preserve">of the Company’s unaudited condensed consolidated financial statements for </w:t>
      </w:r>
      <w:r>
        <w:rPr>
          <w:rFonts w:ascii="Times New Roman;serif" w:hAnsi="Times New Roman;serif"/>
          <w:b w:val="false"/>
          <w:color w:val="000000"/>
          <w:sz w:val="20"/>
        </w:rPr>
        <w:t>further discussion.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5650" w:type="dxa"/>
        <w:jc w:val="left"/>
        <w:tblInd w:w="0" w:type="dxa"/>
        <w:tblLayout w:type="fixed"/>
        <w:tblCellMar>
          <w:top w:w="28" w:type="dxa"/>
          <w:left w:w="28" w:type="dxa"/>
          <w:bottom w:w="28" w:type="dxa"/>
          <w:right w:w="28" w:type="dxa"/>
        </w:tblCellMar>
      </w:tblPr>
      <w:tblGrid>
        <w:gridCol w:w="429"/>
        <w:gridCol w:w="344"/>
        <w:gridCol w:w="346"/>
        <w:gridCol w:w="207"/>
        <w:gridCol w:w="207"/>
        <w:gridCol w:w="207"/>
        <w:gridCol w:w="401"/>
        <w:gridCol w:w="344"/>
        <w:gridCol w:w="346"/>
        <w:gridCol w:w="109"/>
        <w:gridCol w:w="109"/>
        <w:gridCol w:w="109"/>
        <w:gridCol w:w="211"/>
        <w:gridCol w:w="616"/>
        <w:gridCol w:w="109"/>
        <w:gridCol w:w="109"/>
        <w:gridCol w:w="109"/>
        <w:gridCol w:w="109"/>
        <w:gridCol w:w="293"/>
        <w:gridCol w:w="293"/>
        <w:gridCol w:w="271"/>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pPr>
      <w:r>
        <w:rPr>
          <w:rFonts w:ascii="Times New Roman;serif" w:hAnsi="Times New Roman;serif"/>
          <w:b w:val="false"/>
          <w:color w:val="000000"/>
          <w:sz w:val="20"/>
        </w:rPr>
        <w:t xml:space="preserve">Interest expense was approximately $2.1 million for the three months ended June 30, 2026, compared to approximately $9.7 million for the three months ended June 30, 2025, a decrease of approximately $7.6 million. This decrease was due to lower overall debt balances outstanding as well as lower effective interest rates. See Note </w:t>
      </w:r>
      <w:r>
        <w:rPr>
          <w:rFonts w:ascii="Times New Roman;serif" w:hAnsi="Times New Roman;serif"/>
          <w:b w:val="false"/>
          <w:i/>
          <w:color w:val="000000"/>
          <w:sz w:val="20"/>
        </w:rPr>
        <w:t>9 -</w:t>
      </w:r>
      <w:r>
        <w:rPr>
          <w:color w:val="000000"/>
        </w:rPr>
        <w:t xml:space="preserve">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of the Company’s unaudited condensed consolidated financial statements for further discussion.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Gain On Sale Of Business</w:t>
      </w:r>
    </w:p>
    <w:tbl>
      <w:tblPr>
        <w:tblW w:w="4958" w:type="dxa"/>
        <w:jc w:val="left"/>
        <w:tblInd w:w="0" w:type="dxa"/>
        <w:tblLayout w:type="fixed"/>
        <w:tblCellMar>
          <w:top w:w="28" w:type="dxa"/>
          <w:left w:w="28" w:type="dxa"/>
          <w:bottom w:w="28" w:type="dxa"/>
          <w:right w:w="28" w:type="dxa"/>
        </w:tblCellMar>
      </w:tblPr>
      <w:tblGrid>
        <w:gridCol w:w="429"/>
        <w:gridCol w:w="285"/>
        <w:gridCol w:w="286"/>
        <w:gridCol w:w="207"/>
        <w:gridCol w:w="207"/>
        <w:gridCol w:w="207"/>
        <w:gridCol w:w="401"/>
        <w:gridCol w:w="207"/>
        <w:gridCol w:w="207"/>
        <w:gridCol w:w="109"/>
        <w:gridCol w:w="109"/>
        <w:gridCol w:w="109"/>
        <w:gridCol w:w="211"/>
        <w:gridCol w:w="616"/>
        <w:gridCol w:w="109"/>
        <w:gridCol w:w="109"/>
        <w:gridCol w:w="109"/>
        <w:gridCol w:w="109"/>
        <w:gridCol w:w="308"/>
        <w:gridCol w:w="308"/>
        <w:gridCol w:w="316"/>
      </w:tblGrid>
      <w:tr>
        <w:trPr/>
        <w:tc>
          <w:tcPr>
            <w:tcW w:w="4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630"/>
        <w:jc w:val="both"/>
        <w:rPr/>
      </w:pPr>
      <w:r>
        <w:rPr>
          <w:rFonts w:ascii="Times New Roman;serif" w:hAnsi="Times New Roman;serif"/>
          <w:b w:val="false"/>
          <w:color w:val="000000"/>
          <w:sz w:val="20"/>
        </w:rPr>
        <w:t>In March 2026, the Company entered into agreements to sell its WMXG and WLNK-FM radio broadcasting licenses in Charlotte, North Carolina along with the associated station assets from the Radio Broadcasting segment to unrelated third parties The Company completed both sales on June 1, 2026 and recognized a gain of $4.7 million, which is included in</w:t>
      </w:r>
      <w:r>
        <w:rPr>
          <w:color w:val="000000"/>
        </w:rPr>
        <w:t xml:space="preserve"> </w:t>
      </w:r>
      <w:r>
        <w:rPr>
          <w:rFonts w:ascii="Times New Roman;serif" w:hAnsi="Times New Roman;serif"/>
          <w:b w:val="false"/>
          <w:i/>
          <w:color w:val="000000"/>
          <w:sz w:val="20"/>
        </w:rPr>
        <w:t>Gain On Sale Of Business</w:t>
      </w:r>
      <w:r>
        <w:rPr>
          <w:color w:val="000000"/>
        </w:rPr>
        <w:t xml:space="preserve"> </w:t>
      </w:r>
      <w:r>
        <w:rPr>
          <w:rFonts w:ascii="Times New Roman;serif" w:hAnsi="Times New Roman;serif"/>
          <w:b w:val="false"/>
          <w:color w:val="000000"/>
          <w:sz w:val="20"/>
        </w:rPr>
        <w:t xml:space="preserve">in the unaudited condensed consolidated statement of operations for the three and six months ended June 30, 2026. Refer to Note </w:t>
      </w:r>
      <w:r>
        <w:rPr>
          <w:rFonts w:ascii="Times New Roman;serif" w:hAnsi="Times New Roman;serif"/>
          <w:b w:val="false"/>
          <w:i/>
          <w:color w:val="000000"/>
          <w:sz w:val="20"/>
        </w:rPr>
        <w:t>7 - Dispositions and Acquisitions.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Gain On Retirement Of Debt</w:t>
      </w:r>
    </w:p>
    <w:tbl>
      <w:tblPr>
        <w:tblW w:w="5644" w:type="dxa"/>
        <w:jc w:val="left"/>
        <w:tblInd w:w="0" w:type="dxa"/>
        <w:tblLayout w:type="fixed"/>
        <w:tblCellMar>
          <w:top w:w="28" w:type="dxa"/>
          <w:left w:w="28" w:type="dxa"/>
          <w:bottom w:w="28" w:type="dxa"/>
          <w:right w:w="28" w:type="dxa"/>
        </w:tblCellMar>
      </w:tblPr>
      <w:tblGrid>
        <w:gridCol w:w="429"/>
        <w:gridCol w:w="207"/>
        <w:gridCol w:w="207"/>
        <w:gridCol w:w="207"/>
        <w:gridCol w:w="207"/>
        <w:gridCol w:w="207"/>
        <w:gridCol w:w="401"/>
        <w:gridCol w:w="338"/>
        <w:gridCol w:w="338"/>
        <w:gridCol w:w="109"/>
        <w:gridCol w:w="109"/>
        <w:gridCol w:w="109"/>
        <w:gridCol w:w="211"/>
        <w:gridCol w:w="796"/>
        <w:gridCol w:w="109"/>
        <w:gridCol w:w="109"/>
        <w:gridCol w:w="109"/>
        <w:gridCol w:w="109"/>
        <w:gridCol w:w="344"/>
        <w:gridCol w:w="346"/>
        <w:gridCol w:w="271"/>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repurchased approximately $64.0 million of its 2028 Notes at an average price of approximately 51.8% of par, resulting in a net gain on retirement of debt of approximately $30.3 million.</w:t>
      </w:r>
    </w:p>
    <w:p>
      <w:pPr>
        <w:pStyle w:val="TextBody"/>
        <w:bidi w:val="0"/>
        <w:spacing w:before="1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Benefit From Income Taxes</w:t>
      </w:r>
    </w:p>
    <w:tbl>
      <w:tblPr>
        <w:tblW w:w="5574" w:type="dxa"/>
        <w:jc w:val="left"/>
        <w:tblInd w:w="0" w:type="dxa"/>
        <w:tblLayout w:type="fixed"/>
        <w:tblCellMar>
          <w:top w:w="28" w:type="dxa"/>
          <w:left w:w="28" w:type="dxa"/>
          <w:bottom w:w="28" w:type="dxa"/>
          <w:right w:w="28" w:type="dxa"/>
        </w:tblCellMar>
      </w:tblPr>
      <w:tblGrid>
        <w:gridCol w:w="284"/>
        <w:gridCol w:w="285"/>
        <w:gridCol w:w="286"/>
        <w:gridCol w:w="137"/>
        <w:gridCol w:w="137"/>
        <w:gridCol w:w="137"/>
        <w:gridCol w:w="265"/>
        <w:gridCol w:w="907"/>
        <w:gridCol w:w="137"/>
        <w:gridCol w:w="109"/>
        <w:gridCol w:w="109"/>
        <w:gridCol w:w="109"/>
        <w:gridCol w:w="211"/>
        <w:gridCol w:w="796"/>
        <w:gridCol w:w="109"/>
        <w:gridCol w:w="109"/>
        <w:gridCol w:w="109"/>
        <w:gridCol w:w="109"/>
        <w:gridCol w:w="293"/>
        <w:gridCol w:w="293"/>
        <w:gridCol w:w="271"/>
        <w:gridCol w:w="109"/>
        <w:gridCol w:w="109"/>
        <w:gridCol w:w="154"/>
      </w:tblGrid>
      <w:tr>
        <w:trPr/>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21,382 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recorded a benefit from income taxes of approximately $1.7 million resulting in an actual effective tax rate of 19.6%. For the three months ended June 30, 2025, we recorded a benefit from income taxes of approximately $21.4 million resulting in an actual effective tax rate of 21.5%, which includes $6.4 million of discrete tax expense primarily related to the impact of the change of accounting estimate for radio broadcasting licenses that impacted our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historical unaudited condensed consolidated results of operations: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Six Months Ended June 30, 2026 Compared to Six Months Ended June 30, 2025 </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695"/>
        <w:gridCol w:w="1386"/>
        <w:gridCol w:w="1393"/>
        <w:gridCol w:w="327"/>
        <w:gridCol w:w="394"/>
        <w:gridCol w:w="395"/>
        <w:gridCol w:w="162"/>
        <w:gridCol w:w="162"/>
        <w:gridCol w:w="162"/>
        <w:gridCol w:w="327"/>
        <w:gridCol w:w="394"/>
        <w:gridCol w:w="395"/>
        <w:gridCol w:w="109"/>
        <w:gridCol w:w="109"/>
        <w:gridCol w:w="109"/>
        <w:gridCol w:w="211"/>
        <w:gridCol w:w="775"/>
        <w:gridCol w:w="109"/>
        <w:gridCol w:w="109"/>
        <w:gridCol w:w="109"/>
        <w:gridCol w:w="109"/>
        <w:gridCol w:w="308"/>
        <w:gridCol w:w="308"/>
        <w:gridCol w:w="271"/>
        <w:gridCol w:w="109"/>
        <w:gridCol w:w="109"/>
        <w:gridCol w:w="159"/>
      </w:tblGrid>
      <w:tr>
        <w:trPr/>
        <w:tc>
          <w:tcPr>
            <w:tcW w:w="169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Statements of Operations: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 excluding stock-based compensation</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59,779</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excluding stock-based compensation</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88,684</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176,862</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(13,454)</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benefit from income taxes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ind w:left="0" w:right="0" w:hanging="90"/>
        <w:jc w:val="both"/>
        <w:rPr>
          <w:rFonts w:ascii="Times New Roman;serif" w:hAnsi="Times New Roman;serif"/>
          <w:b/>
          <w:i/>
          <w:color w:val="000000"/>
          <w:sz w:val="20"/>
        </w:rPr>
      </w:pPr>
      <w:r>
        <w:rPr>
          <w:rFonts w:ascii="Times New Roman;serif" w:hAnsi="Times New Roman;serif"/>
          <w:b/>
          <w:i/>
          <w:color w:val="000000"/>
          <w:sz w:val="20"/>
        </w:rPr>
        <w:t>Net Revenue</w:t>
      </w:r>
    </w:p>
    <w:tbl>
      <w:tblPr>
        <w:tblW w:w="5886" w:type="dxa"/>
        <w:jc w:val="left"/>
        <w:tblInd w:w="0" w:type="dxa"/>
        <w:tblLayout w:type="fixed"/>
        <w:tblCellMar>
          <w:top w:w="28" w:type="dxa"/>
          <w:left w:w="28" w:type="dxa"/>
          <w:bottom w:w="28" w:type="dxa"/>
          <w:right w:w="28" w:type="dxa"/>
        </w:tblCellMar>
      </w:tblPr>
      <w:tblGrid>
        <w:gridCol w:w="392"/>
        <w:gridCol w:w="390"/>
        <w:gridCol w:w="391"/>
        <w:gridCol w:w="189"/>
        <w:gridCol w:w="189"/>
        <w:gridCol w:w="189"/>
        <w:gridCol w:w="366"/>
        <w:gridCol w:w="390"/>
        <w:gridCol w:w="391"/>
        <w:gridCol w:w="109"/>
        <w:gridCol w:w="109"/>
        <w:gridCol w:w="109"/>
        <w:gridCol w:w="211"/>
        <w:gridCol w:w="796"/>
        <w:gridCol w:w="109"/>
        <w:gridCol w:w="109"/>
        <w:gridCol w:w="109"/>
        <w:gridCol w:w="109"/>
        <w:gridCol w:w="293"/>
        <w:gridCol w:w="293"/>
        <w:gridCol w:w="271"/>
        <w:gridCol w:w="109"/>
        <w:gridCol w:w="109"/>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During the six months ended June 30, 2026, we recognized approximately $163.4 million in net revenue compared to approximately $183.9 million during the six months ended June 30, 2025. These amounts are net of agency commissions. We recognized approximately $65.8 million of revenue from our Radio Broadcasting segment during the six months ended June 30, 2026, compared to approximately $69.3 million during the six months ended June 30, 2025, a decrease of approximately $3.5 million. This decrease was primarily driven by weaker overall market demand from the national and local advertisers. </w:t>
      </w:r>
      <w:r>
        <w:rPr>
          <w:rFonts w:ascii="Times New Roman;serif" w:hAnsi="Times New Roman;serif"/>
          <w:b w:val="false"/>
          <w:color w:val="000000"/>
          <w:sz w:val="20"/>
          <w:shd w:fill="FFFFFF" w:val="clear"/>
        </w:rPr>
        <w:t>We recogni</w:t>
      </w:r>
      <w:r>
        <w:rPr>
          <w:rFonts w:ascii="Times New Roman;serif" w:hAnsi="Times New Roman;serif"/>
          <w:b w:val="false"/>
          <w:color w:val="000000"/>
          <w:sz w:val="20"/>
        </w:rPr>
        <w:t xml:space="preserve">zed approximately $9.6 million of revenue from our Reach Media segment during the six months ended June 30, 2026, compared to approximately $11.2 million for the six months ended June 30, 2025, a decrease of approximately $1.6 million. The decrease was primarily driven by the decrease in overall demand and attrition of advertisers. We recognized approximately $16.2 million of revenue from our Digital segment during the six months ended June 30, 2026, compared to approximately $20.5 million for the six months ended June 30, 2025, a decrease of approximately $4.3 million. This decrease was primarily driven by the decrease in direct revenue streams, reflecting reduced advertising spend from political campaigns, diversity, equity and inclusion-focused campaigns. We recognized approximately $73.2 million of revenue from our Cable Television segment during the six months ended June 30, 2026, compared to approximately $84.3 million for the six months ended June 30, 2025, a decrease of approximately $11.1 million. The decrease was primarily driven by a decrease in audience viewership affecting advertising sales and the continued churn in subscribers.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Program</w:t>
      </w:r>
      <w:r>
        <w:rPr>
          <w:rFonts w:ascii="Times New Roman;serif" w:hAnsi="Times New Roman;serif"/>
          <w:b w:val="false"/>
          <w:i/>
          <w:color w:val="000000"/>
          <w:sz w:val="20"/>
          <w:shd w:fill="FFFFFF" w:val="clear"/>
        </w:rPr>
        <w:t>ming and technical, excluding stoc</w:t>
      </w:r>
      <w:r>
        <w:rPr>
          <w:rFonts w:ascii="Times New Roman;serif" w:hAnsi="Times New Roman;serif"/>
          <w:b w:val="false"/>
          <w:i/>
          <w:color w:val="000000"/>
          <w:sz w:val="20"/>
        </w:rPr>
        <w:t>k-based compensation</w:t>
      </w:r>
    </w:p>
    <w:tbl>
      <w:tblPr>
        <w:tblW w:w="5166" w:type="dxa"/>
        <w:jc w:val="left"/>
        <w:tblInd w:w="0" w:type="dxa"/>
        <w:tblLayout w:type="fixed"/>
        <w:tblCellMar>
          <w:top w:w="28" w:type="dxa"/>
          <w:left w:w="28" w:type="dxa"/>
          <w:bottom w:w="28" w:type="dxa"/>
          <w:right w:w="28" w:type="dxa"/>
        </w:tblCellMar>
      </w:tblPr>
      <w:tblGrid>
        <w:gridCol w:w="392"/>
        <w:gridCol w:w="338"/>
        <w:gridCol w:w="338"/>
        <w:gridCol w:w="189"/>
        <w:gridCol w:w="189"/>
        <w:gridCol w:w="189"/>
        <w:gridCol w:w="366"/>
        <w:gridCol w:w="338"/>
        <w:gridCol w:w="338"/>
        <w:gridCol w:w="109"/>
        <w:gridCol w:w="109"/>
        <w:gridCol w:w="109"/>
        <w:gridCol w:w="211"/>
        <w:gridCol w:w="466"/>
        <w:gridCol w:w="109"/>
        <w:gridCol w:w="109"/>
        <w:gridCol w:w="109"/>
        <w:gridCol w:w="109"/>
        <w:gridCol w:w="203"/>
        <w:gridCol w:w="203"/>
        <w:gridCol w:w="271"/>
        <w:gridCol w:w="109"/>
        <w:gridCol w:w="109"/>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59,779</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630"/>
        <w:jc w:val="both"/>
        <w:rPr/>
      </w:pPr>
      <w:r>
        <w:rPr>
          <w:rFonts w:ascii="Times New Roman;serif" w:hAnsi="Times New Roman;serif"/>
          <w:b w:val="false"/>
          <w:color w:val="000000"/>
          <w:sz w:val="20"/>
        </w:rPr>
        <w:t>Programming and technical expenses include expenses associated with on-air talent and the management and maintenance of the systems, tower facilities, and studios used in the creation, distribution, and broadcast of programming content on our radio stations. Programming and technical expenses for the Radio Broadcasting segment also include expenses associated with our programming research activities and music royalties. For our Digital segment, programming and technical expenses include software product design, post-application software development and maintenance, database and server support costs, the help desk function, data center expenses connected with ISP hosting services and other internet content delivery expenses. For our Cable Television segment, programming and technical expenses include expenses associated with technical, programming, production, and content management. Programming and technical expenses were approximately $59.8 million for the six months ended June 30, 2026, compared to approximately $59.2 million for the six months ended June 30, 2025, an increase of approximately $0.5 million. Expenses in our Cable Television segment for the six months ended June 30, 2026, decreased approximately $0.1 million compared to the six months ended June 30, 2025 which</w:t>
      </w:r>
      <w:r>
        <w:rPr>
          <w:color w:val="000000"/>
          <w:shd w:fill="FFFFFF" w:val="clear"/>
        </w:rPr>
        <w:t xml:space="preserve"> </w:t>
      </w:r>
      <w:r>
        <w:rPr>
          <w:rFonts w:ascii="Times New Roman;serif" w:hAnsi="Times New Roman;serif"/>
          <w:b w:val="false"/>
          <w:color w:val="000000"/>
          <w:sz w:val="20"/>
          <w:shd w:fill="FFFFFF" w:val="clear"/>
        </w:rPr>
        <w:t>is relatively flat</w:t>
      </w:r>
      <w:r>
        <w:rPr>
          <w:rFonts w:ascii="Times New Roman;serif" w:hAnsi="Times New Roman;serif"/>
          <w:b w:val="false"/>
          <w:color w:val="000000"/>
          <w:sz w:val="20"/>
        </w:rPr>
        <w:t>. Expenses in our Reach Media segment for the six months ended June 30, 2026, decreased approximately $0.3 million compared to the six months ended June 30, 2025. The decrease was primarily driven by lower talent and contract labor expense</w:t>
      </w:r>
      <w:r>
        <w:rPr>
          <w:rFonts w:ascii="Times New Roman;serif" w:hAnsi="Times New Roman;serif"/>
          <w:b w:val="false"/>
          <w:color w:val="000000"/>
          <w:sz w:val="20"/>
          <w:shd w:fill="FFFFFF" w:val="clear"/>
        </w:rPr>
        <w:t>. E</w:t>
      </w:r>
      <w:r>
        <w:rPr>
          <w:rFonts w:ascii="Times New Roman;serif" w:hAnsi="Times New Roman;serif"/>
          <w:b w:val="false"/>
          <w:color w:val="000000"/>
          <w:sz w:val="20"/>
        </w:rPr>
        <w:t>xpenses in our Radio Broadcasting segment for the six months ended June 30, 2026, increased approximately $1.2 million, compared to the six months ended June 30, 2025. This increase was primarily driven by the royalty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firstLine="630"/>
        <w:jc w:val="both"/>
        <w:rPr/>
      </w:pPr>
      <w:r>
        <w:rPr>
          <w:rFonts w:ascii="Times New Roman;serif" w:hAnsi="Times New Roman;serif"/>
          <w:b w:val="false"/>
          <w:i/>
          <w:color w:val="000000"/>
          <w:sz w:val="20"/>
        </w:rPr>
        <w:t>Selling, general an</w:t>
      </w:r>
      <w:r>
        <w:rPr>
          <w:rFonts w:ascii="Times New Roman;serif" w:hAnsi="Times New Roman;serif"/>
          <w:b w:val="false"/>
          <w:i/>
          <w:color w:val="000000"/>
          <w:sz w:val="20"/>
          <w:shd w:fill="FFFFFF" w:val="clear"/>
        </w:rPr>
        <w:t>d administrative, excluding stock-based compensation</w:t>
      </w:r>
    </w:p>
    <w:tbl>
      <w:tblPr>
        <w:tblW w:w="5676" w:type="dxa"/>
        <w:jc w:val="left"/>
        <w:tblInd w:w="0" w:type="dxa"/>
        <w:tblLayout w:type="fixed"/>
        <w:tblCellMar>
          <w:top w:w="28" w:type="dxa"/>
          <w:left w:w="28" w:type="dxa"/>
          <w:bottom w:w="28" w:type="dxa"/>
          <w:right w:w="28" w:type="dxa"/>
        </w:tblCellMar>
      </w:tblPr>
      <w:tblGrid>
        <w:gridCol w:w="392"/>
        <w:gridCol w:w="338"/>
        <w:gridCol w:w="338"/>
        <w:gridCol w:w="189"/>
        <w:gridCol w:w="189"/>
        <w:gridCol w:w="189"/>
        <w:gridCol w:w="366"/>
        <w:gridCol w:w="338"/>
        <w:gridCol w:w="338"/>
        <w:gridCol w:w="109"/>
        <w:gridCol w:w="109"/>
        <w:gridCol w:w="109"/>
        <w:gridCol w:w="211"/>
        <w:gridCol w:w="796"/>
        <w:gridCol w:w="109"/>
        <w:gridCol w:w="109"/>
        <w:gridCol w:w="109"/>
        <w:gridCol w:w="109"/>
        <w:gridCol w:w="293"/>
        <w:gridCol w:w="293"/>
        <w:gridCol w:w="271"/>
        <w:gridCol w:w="109"/>
        <w:gridCol w:w="109"/>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88,684</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630"/>
        <w:jc w:val="both"/>
        <w:rPr/>
      </w:pPr>
      <w:r>
        <w:rPr>
          <w:rFonts w:ascii="Times New Roman;serif" w:hAnsi="Times New Roman;serif"/>
          <w:b w:val="false"/>
          <w:color w:val="000000"/>
          <w:sz w:val="20"/>
        </w:rPr>
        <w:t xml:space="preserve">Selling, general and administrative expenses include expenses associated with our sales departments, offices, facilities, and personnel (outside of our corporate headquarters), marketing and promotional expenses, special events and sponsorships and back-office expenses. Expenses to secure ratings data for our radio stations and visitors’ data for our websites are also included in selling, general and administrative expenses. In addition, selling, general and administrative expenses for the Radio Broadcasting segment and Digital segment include expenses related to the advertising traffic (scheduling and insertion) functions. Selling, general and administrative expenses also include membership traffic acquisition costs for our online business. Selling, general and administrative expenses were approximately $88.7 million for the six months ended June 30, 2026, compared to approximately $99.6 million for the six months ended June 30, 2025, a decrease of approximately $10.9 million. Expenses in our Radio Broadcasting segment decreased approximately $2.8 million for </w:t>
      </w:r>
      <w:r>
        <w:rPr>
          <w:rFonts w:ascii="Times New Roman;serif" w:hAnsi="Times New Roman;serif"/>
          <w:b w:val="false"/>
          <w:color w:val="000000"/>
          <w:sz w:val="20"/>
          <w:shd w:fill="FFFFFF" w:val="clear"/>
        </w:rPr>
        <w:t>the six months ended June 30, 2026</w:t>
      </w:r>
      <w:r>
        <w:rPr>
          <w:rFonts w:ascii="Times New Roman;serif" w:hAnsi="Times New Roman;serif"/>
          <w:b w:val="false"/>
          <w:color w:val="000000"/>
          <w:sz w:val="20"/>
        </w:rPr>
        <w:t>, compared to the six months ended June 30, 2025, primarily due to lower bad debt expense and lower payroll related expenses driven by overall lower revenue. Expenses in our Reach Media segment decreased approximately $2.0 million for the six months ended June 30, 2026, compared to the six months ended June 30, 2025, primarily due to lower affiliate station costs and bad debt expense. Expenses in our Digital segment decreased by approximately $2.6 million for the six months ended June 30, 2026, compared to six months ended June 30, 2025, primarily due to a decrease in traffic acquisition costs due to lower revenue and lower bad debt expense. Expenses in our Cable Television segment decreased approximately $1.5 million for the six months ended June 30, 2026, compared to the six months ended June 30, 2025, primarily due to favorable timing of certain campaigns and lower contract costs offset by increased bonus and traffic acquisition costs.</w:t>
      </w:r>
    </w:p>
    <w:p>
      <w:pPr>
        <w:pStyle w:val="TextBody"/>
        <w:bidi w:val="0"/>
        <w:spacing w:lineRule="auto" w:line="288" w:before="240" w:after="240"/>
        <w:ind w:left="0" w:right="0" w:firstLine="630"/>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w:t>
      </w:r>
    </w:p>
    <w:tbl>
      <w:tblPr>
        <w:tblW w:w="5061" w:type="dxa"/>
        <w:jc w:val="left"/>
        <w:tblInd w:w="0" w:type="dxa"/>
        <w:tblLayout w:type="fixed"/>
        <w:tblCellMar>
          <w:top w:w="28" w:type="dxa"/>
          <w:left w:w="28" w:type="dxa"/>
          <w:bottom w:w="28" w:type="dxa"/>
          <w:right w:w="28" w:type="dxa"/>
        </w:tblCellMar>
      </w:tblPr>
      <w:tblGrid>
        <w:gridCol w:w="392"/>
        <w:gridCol w:w="285"/>
        <w:gridCol w:w="286"/>
        <w:gridCol w:w="189"/>
        <w:gridCol w:w="189"/>
        <w:gridCol w:w="189"/>
        <w:gridCol w:w="366"/>
        <w:gridCol w:w="285"/>
        <w:gridCol w:w="286"/>
        <w:gridCol w:w="109"/>
        <w:gridCol w:w="109"/>
        <w:gridCol w:w="109"/>
        <w:gridCol w:w="211"/>
        <w:gridCol w:w="466"/>
        <w:gridCol w:w="109"/>
        <w:gridCol w:w="109"/>
        <w:gridCol w:w="109"/>
        <w:gridCol w:w="109"/>
        <w:gridCol w:w="255"/>
        <w:gridCol w:w="256"/>
        <w:gridCol w:w="271"/>
        <w:gridCol w:w="109"/>
        <w:gridCol w:w="109"/>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approximately $1.9 million for the six months ended June 30, 2026, compared to approximately $1.3 million for the six months ended June 30, 2025, an increase of approximately $0.6 million. The increase in stock-based compensation was primarily due to stock awards for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5421" w:type="dxa"/>
        <w:jc w:val="left"/>
        <w:tblInd w:w="0" w:type="dxa"/>
        <w:tblLayout w:type="fixed"/>
        <w:tblCellMar>
          <w:top w:w="28" w:type="dxa"/>
          <w:left w:w="28" w:type="dxa"/>
          <w:bottom w:w="28" w:type="dxa"/>
          <w:right w:w="28" w:type="dxa"/>
        </w:tblCellMar>
      </w:tblPr>
      <w:tblGrid>
        <w:gridCol w:w="392"/>
        <w:gridCol w:w="338"/>
        <w:gridCol w:w="338"/>
        <w:gridCol w:w="189"/>
        <w:gridCol w:w="189"/>
        <w:gridCol w:w="189"/>
        <w:gridCol w:w="366"/>
        <w:gridCol w:w="285"/>
        <w:gridCol w:w="286"/>
        <w:gridCol w:w="109"/>
        <w:gridCol w:w="109"/>
        <w:gridCol w:w="109"/>
        <w:gridCol w:w="211"/>
        <w:gridCol w:w="616"/>
        <w:gridCol w:w="109"/>
        <w:gridCol w:w="109"/>
        <w:gridCol w:w="109"/>
        <w:gridCol w:w="109"/>
        <w:gridCol w:w="308"/>
        <w:gridCol w:w="308"/>
        <w:gridCol w:w="271"/>
        <w:gridCol w:w="109"/>
        <w:gridCol w:w="109"/>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approximately $12.4 million for the six months ended June 30, 2026, compared to approximately $5.8 million for the six months ended June 30, 2025, an increase of approximately $6.5 million. This increase is primarily driven by the Radio Broadcasting licenses amortization, which began in June 2025. </w:t>
      </w:r>
    </w:p>
    <w:p>
      <w:pPr>
        <w:pStyle w:val="TextBody"/>
        <w:bidi w:val="0"/>
        <w:spacing w:before="1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Impairment Of Goodwill, Intangible Assets And Long-Lived Assets</w:t>
      </w:r>
    </w:p>
    <w:tbl>
      <w:tblPr>
        <w:tblW w:w="5886" w:type="dxa"/>
        <w:jc w:val="left"/>
        <w:tblInd w:w="0" w:type="dxa"/>
        <w:tblLayout w:type="fixed"/>
        <w:tblCellMar>
          <w:top w:w="28" w:type="dxa"/>
          <w:left w:w="28" w:type="dxa"/>
          <w:bottom w:w="28" w:type="dxa"/>
          <w:right w:w="28" w:type="dxa"/>
        </w:tblCellMar>
      </w:tblPr>
      <w:tblGrid>
        <w:gridCol w:w="392"/>
        <w:gridCol w:w="338"/>
        <w:gridCol w:w="338"/>
        <w:gridCol w:w="189"/>
        <w:gridCol w:w="189"/>
        <w:gridCol w:w="189"/>
        <w:gridCol w:w="366"/>
        <w:gridCol w:w="390"/>
        <w:gridCol w:w="391"/>
        <w:gridCol w:w="109"/>
        <w:gridCol w:w="109"/>
        <w:gridCol w:w="109"/>
        <w:gridCol w:w="211"/>
        <w:gridCol w:w="901"/>
        <w:gridCol w:w="109"/>
        <w:gridCol w:w="109"/>
        <w:gridCol w:w="109"/>
        <w:gridCol w:w="109"/>
        <w:gridCol w:w="293"/>
        <w:gridCol w:w="293"/>
        <w:gridCol w:w="271"/>
        <w:gridCol w:w="109"/>
        <w:gridCol w:w="109"/>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630"/>
        <w:jc w:val="both"/>
        <w:rPr/>
      </w:pPr>
      <w:r>
        <w:rPr>
          <w:rFonts w:ascii="Times New Roman;serif" w:hAnsi="Times New Roman;serif"/>
          <w:b w:val="false"/>
          <w:color w:val="000000"/>
          <w:sz w:val="20"/>
        </w:rPr>
        <w:t>Impairment of goodwill, intangible assets and long-lived assets was approximately $14.2 million d</w:t>
      </w:r>
      <w:r>
        <w:rPr>
          <w:rFonts w:ascii="Times New Roman;serif" w:hAnsi="Times New Roman;serif"/>
          <w:b w:val="false"/>
          <w:color w:val="000000"/>
          <w:sz w:val="20"/>
          <w:shd w:fill="FFFFFF" w:val="clear"/>
        </w:rPr>
        <w:t xml:space="preserve">uring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approximately </w:t>
      </w:r>
      <w:r>
        <w:rPr>
          <w:rFonts w:ascii="Times New Roman;serif" w:hAnsi="Times New Roman;serif"/>
          <w:b w:val="false"/>
          <w:color w:val="000000"/>
          <w:sz w:val="20"/>
        </w:rPr>
        <w:t>$136.5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 Company recorded an impairment charge of $13.9 million related to the Reach Media reporting unit and $0.3 million related to the long-lived asset group in Reach Media for the six months ended June 30, 2026, compared to an impairment charge of approximately $136.5 million related to Radio FCC license impairment for the six months ended June 30, 2025. See Note </w:t>
      </w:r>
      <w:r>
        <w:rPr>
          <w:rFonts w:ascii="Times New Roman;serif" w:hAnsi="Times New Roman;serif"/>
          <w:b w:val="false"/>
          <w:i/>
          <w:color w:val="000000"/>
          <w:sz w:val="20"/>
        </w:rPr>
        <w:t xml:space="preserve">8 - Goodwill, Net and Intangible Assets, Net </w:t>
      </w:r>
      <w:r>
        <w:rPr>
          <w:rFonts w:ascii="Times New Roman;serif" w:hAnsi="Times New Roman;serif"/>
          <w:b w:val="false"/>
          <w:color w:val="000000"/>
          <w:sz w:val="20"/>
          <w:shd w:fill="FFFFFF" w:val="clear"/>
        </w:rPr>
        <w:t>of the Company’s unaudited condensed consolidated financial statements for further discussion.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5735" w:type="dxa"/>
        <w:jc w:val="left"/>
        <w:tblInd w:w="0" w:type="dxa"/>
        <w:tblLayout w:type="fixed"/>
        <w:tblCellMar>
          <w:top w:w="28" w:type="dxa"/>
          <w:left w:w="28" w:type="dxa"/>
          <w:bottom w:w="28" w:type="dxa"/>
          <w:right w:w="28" w:type="dxa"/>
        </w:tblCellMar>
      </w:tblPr>
      <w:tblGrid>
        <w:gridCol w:w="392"/>
        <w:gridCol w:w="344"/>
        <w:gridCol w:w="346"/>
        <w:gridCol w:w="189"/>
        <w:gridCol w:w="189"/>
        <w:gridCol w:w="189"/>
        <w:gridCol w:w="366"/>
        <w:gridCol w:w="398"/>
        <w:gridCol w:w="398"/>
        <w:gridCol w:w="109"/>
        <w:gridCol w:w="109"/>
        <w:gridCol w:w="109"/>
        <w:gridCol w:w="211"/>
        <w:gridCol w:w="721"/>
        <w:gridCol w:w="109"/>
        <w:gridCol w:w="109"/>
        <w:gridCol w:w="109"/>
        <w:gridCol w:w="109"/>
        <w:gridCol w:w="293"/>
        <w:gridCol w:w="293"/>
        <w:gridCol w:w="271"/>
        <w:gridCol w:w="109"/>
        <w:gridCol w:w="109"/>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630"/>
        <w:jc w:val="both"/>
        <w:rPr/>
      </w:pPr>
      <w:r>
        <w:rPr>
          <w:rFonts w:ascii="Times New Roman;serif" w:hAnsi="Times New Roman;serif"/>
          <w:b w:val="false"/>
          <w:color w:val="000000"/>
          <w:sz w:val="20"/>
        </w:rPr>
        <w:t xml:space="preserve">Interest expense was approximately $6.5 million for the six months ended June 30, 2026, compared to approximately $20.6 million for the six months ended June 30, 2025, a decrease of approximately $14.2 million. The decrease was due to lower overall debt balances outstanding and the lower effective interest rates during the six months ended June 30, 2026. See Note </w:t>
      </w:r>
      <w:r>
        <w:rPr>
          <w:rFonts w:ascii="Times New Roman;serif" w:hAnsi="Times New Roman;serif"/>
          <w:b w:val="false"/>
          <w:i/>
          <w:color w:val="000000"/>
          <w:sz w:val="20"/>
        </w:rPr>
        <w:t>9 -</w:t>
      </w:r>
      <w:r>
        <w:rPr>
          <w:color w:val="000000"/>
        </w:rPr>
        <w:t xml:space="preserve">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of the Company’s unaudited condensed consolidated financial statements for further discussion.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Gain On Sale Of Business</w:t>
      </w:r>
    </w:p>
    <w:tbl>
      <w:tblPr>
        <w:tblW w:w="4796" w:type="dxa"/>
        <w:jc w:val="left"/>
        <w:tblInd w:w="0" w:type="dxa"/>
        <w:tblLayout w:type="fixed"/>
        <w:tblCellMar>
          <w:top w:w="28" w:type="dxa"/>
          <w:left w:w="28" w:type="dxa"/>
          <w:bottom w:w="28" w:type="dxa"/>
          <w:right w:w="28" w:type="dxa"/>
        </w:tblCellMar>
      </w:tblPr>
      <w:tblGrid>
        <w:gridCol w:w="392"/>
        <w:gridCol w:w="285"/>
        <w:gridCol w:w="286"/>
        <w:gridCol w:w="189"/>
        <w:gridCol w:w="189"/>
        <w:gridCol w:w="189"/>
        <w:gridCol w:w="366"/>
        <w:gridCol w:w="189"/>
        <w:gridCol w:w="189"/>
        <w:gridCol w:w="109"/>
        <w:gridCol w:w="109"/>
        <w:gridCol w:w="109"/>
        <w:gridCol w:w="211"/>
        <w:gridCol w:w="616"/>
        <w:gridCol w:w="109"/>
        <w:gridCol w:w="109"/>
        <w:gridCol w:w="109"/>
        <w:gridCol w:w="109"/>
        <w:gridCol w:w="308"/>
        <w:gridCol w:w="308"/>
        <w:gridCol w:w="316"/>
      </w:tblGrid>
      <w:tr>
        <w:trPr/>
        <w:tc>
          <w:tcPr>
            <w:tcW w:w="3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630"/>
        <w:jc w:val="both"/>
        <w:rPr/>
      </w:pPr>
      <w:r>
        <w:rPr>
          <w:rFonts w:ascii="Times New Roman;serif" w:hAnsi="Times New Roman;serif"/>
          <w:b w:val="false"/>
          <w:color w:val="000000"/>
          <w:sz w:val="20"/>
        </w:rPr>
        <w:t>In March 2026, the Company entered into agreements to sell its WMXG and WLNK-FM radio broadcasting licenses in Charlotte, North Carolina along with the associated station assets from the Radio Broadcasting segment to unrelated third parties. The Company completed both sales on June 1, 2026 and recognized a gain of $4.7 million, which is included in</w:t>
      </w:r>
      <w:r>
        <w:rPr>
          <w:color w:val="000000"/>
        </w:rPr>
        <w:t xml:space="preserve"> </w:t>
      </w:r>
      <w:r>
        <w:rPr>
          <w:rFonts w:ascii="Times New Roman;serif" w:hAnsi="Times New Roman;serif"/>
          <w:b w:val="false"/>
          <w:i/>
          <w:color w:val="000000"/>
          <w:sz w:val="20"/>
        </w:rPr>
        <w:t>Gain On Sale Of Business</w:t>
      </w:r>
      <w:r>
        <w:rPr>
          <w:color w:val="000000"/>
        </w:rPr>
        <w:t xml:space="preserve"> </w:t>
      </w:r>
      <w:r>
        <w:rPr>
          <w:rFonts w:ascii="Times New Roman;serif" w:hAnsi="Times New Roman;serif"/>
          <w:b w:val="false"/>
          <w:color w:val="000000"/>
          <w:sz w:val="20"/>
        </w:rPr>
        <w:t xml:space="preserve">in the unaudited condensed consolidated statement of operations for the three and six months ended June 30, 2026. Refer to Note </w:t>
      </w:r>
      <w:r>
        <w:rPr>
          <w:rFonts w:ascii="Times New Roman;serif" w:hAnsi="Times New Roman;serif"/>
          <w:b w:val="false"/>
          <w:i/>
          <w:color w:val="000000"/>
          <w:sz w:val="20"/>
        </w:rPr>
        <w:t>7 - Dispositions and Acquisitions.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Gain On Retirement Of Debt</w:t>
      </w:r>
    </w:p>
    <w:tbl>
      <w:tblPr>
        <w:tblW w:w="5571" w:type="dxa"/>
        <w:jc w:val="left"/>
        <w:tblInd w:w="0" w:type="dxa"/>
        <w:tblLayout w:type="fixed"/>
        <w:tblCellMar>
          <w:top w:w="28" w:type="dxa"/>
          <w:left w:w="28" w:type="dxa"/>
          <w:bottom w:w="28" w:type="dxa"/>
          <w:right w:w="28" w:type="dxa"/>
        </w:tblCellMar>
      </w:tblPr>
      <w:tblGrid>
        <w:gridCol w:w="392"/>
        <w:gridCol w:w="285"/>
        <w:gridCol w:w="286"/>
        <w:gridCol w:w="189"/>
        <w:gridCol w:w="189"/>
        <w:gridCol w:w="189"/>
        <w:gridCol w:w="366"/>
        <w:gridCol w:w="338"/>
        <w:gridCol w:w="338"/>
        <w:gridCol w:w="109"/>
        <w:gridCol w:w="109"/>
        <w:gridCol w:w="109"/>
        <w:gridCol w:w="211"/>
        <w:gridCol w:w="796"/>
        <w:gridCol w:w="109"/>
        <w:gridCol w:w="109"/>
        <w:gridCol w:w="109"/>
        <w:gridCol w:w="109"/>
        <w:gridCol w:w="293"/>
        <w:gridCol w:w="293"/>
        <w:gridCol w:w="271"/>
        <w:gridCol w:w="109"/>
        <w:gridCol w:w="109"/>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pPr>
      <w:r>
        <w:rPr>
          <w:rFonts w:ascii="Times New Roman;serif" w:hAnsi="Times New Roman;serif"/>
          <w:b w:val="false"/>
          <w:color w:val="000000"/>
          <w:sz w:val="20"/>
        </w:rPr>
        <w:t>There was approximately a $2.1 million gain on reti</w:t>
      </w:r>
      <w:r>
        <w:rPr>
          <w:rFonts w:ascii="Times New Roman;serif" w:hAnsi="Times New Roman;serif"/>
          <w:b w:val="false"/>
          <w:color w:val="000000"/>
          <w:sz w:val="20"/>
          <w:shd w:fill="FFFFFF" w:val="clear"/>
        </w:rPr>
        <w:t>remen</w:t>
      </w:r>
      <w:r>
        <w:rPr>
          <w:rFonts w:ascii="Times New Roman;serif" w:hAnsi="Times New Roman;serif"/>
          <w:b w:val="false"/>
          <w:color w:val="000000"/>
          <w:sz w:val="20"/>
        </w:rPr>
        <w:t>t of debt for the six months ended June 30, 2026, compared to approximately $41.9 million for the six months ended June 30, 2025.</w:t>
      </w:r>
    </w:p>
    <w:p>
      <w:pPr>
        <w:pStyle w:val="TextBody"/>
        <w:bidi w:val="0"/>
        <w:spacing w:lineRule="auto" w:line="288" w:before="140" w:after="283"/>
        <w:ind w:left="0" w:right="0" w:firstLine="720"/>
        <w:jc w:val="both"/>
        <w:rPr/>
      </w:pPr>
      <w:r>
        <w:rPr>
          <w:rFonts w:ascii="Times New Roman;serif" w:hAnsi="Times New Roman;serif"/>
          <w:b w:val="false"/>
          <w:color w:val="000000"/>
          <w:sz w:val="20"/>
        </w:rPr>
        <w:t>During the six months ended June 30, 2026, the Company repurchased approximately $</w:t>
      </w:r>
      <w:r>
        <w:rPr>
          <w:rFonts w:ascii="Times New Roman;serif" w:hAnsi="Times New Roman;serif"/>
          <w:b w:val="false"/>
          <w:color w:val="000000"/>
          <w:sz w:val="20"/>
          <w:shd w:fill="FFFFFF" w:val="clear"/>
        </w:rPr>
        <w:t xml:space="preserve">4.3 million of its 2028 Notes at a weighted average price of approximately </w:t>
      </w:r>
      <w:r>
        <w:rPr>
          <w:rFonts w:ascii="Times New Roman;serif" w:hAnsi="Times New Roman;serif"/>
          <w:b w:val="false"/>
          <w:color w:val="000000"/>
          <w:sz w:val="20"/>
        </w:rPr>
        <w:t>51.0%</w:t>
      </w:r>
      <w:r>
        <w:rPr>
          <w:color w:val="000000"/>
          <w:shd w:fill="FFFFFF" w:val="clear"/>
        </w:rPr>
        <w:t xml:space="preserve"> </w:t>
      </w:r>
      <w:r>
        <w:rPr>
          <w:rFonts w:ascii="Times New Roman;serif" w:hAnsi="Times New Roman;serif"/>
          <w:b w:val="false"/>
          <w:color w:val="000000"/>
          <w:sz w:val="20"/>
          <w:shd w:fill="FFFFFF" w:val="clear"/>
        </w:rPr>
        <w:t>of par, resulting in a net gain on retirement of debt of approximately $2.1 million</w:t>
      </w:r>
      <w:r>
        <w:rPr>
          <w:rFonts w:ascii="Times New Roman;serif" w:hAnsi="Times New Roman;serif"/>
          <w:b w:val="false"/>
          <w:color w:val="000000"/>
          <w:sz w:val="20"/>
        </w:rPr>
        <w:t>. During the six months ended June 30, 2025, the Company repurchased approximately $92.2 million of its 2028 Notes at an average price of approximately 53.7% of par, resulting in a net gain on retirement of debt of approximately $41.9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Benefit From Income Taxes</w:t>
      </w:r>
    </w:p>
    <w:tbl>
      <w:tblPr>
        <w:tblW w:w="5361" w:type="dxa"/>
        <w:jc w:val="left"/>
        <w:tblInd w:w="0" w:type="dxa"/>
        <w:tblLayout w:type="fixed"/>
        <w:tblCellMar>
          <w:top w:w="28" w:type="dxa"/>
          <w:left w:w="28" w:type="dxa"/>
          <w:bottom w:w="28" w:type="dxa"/>
          <w:right w:w="28" w:type="dxa"/>
        </w:tblCellMar>
      </w:tblPr>
      <w:tblGrid>
        <w:gridCol w:w="392"/>
        <w:gridCol w:w="285"/>
        <w:gridCol w:w="286"/>
        <w:gridCol w:w="189"/>
        <w:gridCol w:w="189"/>
        <w:gridCol w:w="189"/>
        <w:gridCol w:w="366"/>
        <w:gridCol w:w="285"/>
        <w:gridCol w:w="286"/>
        <w:gridCol w:w="109"/>
        <w:gridCol w:w="109"/>
        <w:gridCol w:w="109"/>
        <w:gridCol w:w="211"/>
        <w:gridCol w:w="691"/>
        <w:gridCol w:w="109"/>
        <w:gridCol w:w="109"/>
        <w:gridCol w:w="109"/>
        <w:gridCol w:w="109"/>
        <w:gridCol w:w="293"/>
        <w:gridCol w:w="293"/>
        <w:gridCol w:w="271"/>
        <w:gridCol w:w="109"/>
        <w:gridCol w:w="109"/>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pPr>
      <w:r>
        <w:rPr>
          <w:rFonts w:ascii="Times New Roman;serif" w:hAnsi="Times New Roman;serif"/>
          <w:b w:val="false"/>
          <w:color w:val="000000"/>
          <w:sz w:val="20"/>
          <w:shd w:fill="FFFFFF" w:val="clear"/>
        </w:rPr>
        <w:t>For the six months ended June 30, 2026, we recor</w:t>
      </w:r>
      <w:r>
        <w:rPr>
          <w:rFonts w:ascii="Times New Roman;serif" w:hAnsi="Times New Roman;serif"/>
          <w:b w:val="false"/>
          <w:color w:val="000000"/>
          <w:sz w:val="20"/>
        </w:rPr>
        <w:t>ded a benefit from income taxes of approximately $3.1 million resulting in an actual effective tax rate of 23.8%. For the six months ended June 30, 2025, we recorded a benefit from income taxes of approximately $5.7 million resulting in an actual effective tax rate of 6.0%. This rate includes approximately $14.6 million of discrete tax expense related to valuation allowance for net operating losses, and approximately $6.6 million of discrete tax expense related to the impact of the change of accounting estimate for radio broadcasting licenses.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Financial Measures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presentation of non-GAAP financial measures is not intended to be considered in isolation from, as a substitute for, or superior to the financial information prepared and presented in accordance with accounting principles generally accepted in the United States (“GAAP”). We use non-GAAP financial measures including broadcast and digital operating income and Adjusted EBITDA as additional means to evaluate our business and operating results through period-to-period comparisons. Reconciliations of our non-GAAP financial measures to the most directly comparable GAAP financial measures are included below for review. Reliance should not be placed on any single financial measure to evaluate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Measurement Of Performance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monitor and evaluate the growth and operational performance of our business using net loss and the following key metrics:</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i/>
          <w:color w:val="000000"/>
          <w:sz w:val="20"/>
        </w:rPr>
        <w:t>Net revenue</w:t>
      </w:r>
      <w:r>
        <w:rPr>
          <w:rFonts w:ascii="Times New Roman;serif" w:hAnsi="Times New Roman;serif"/>
          <w:b w:val="false"/>
          <w:color w:val="000000"/>
          <w:sz w:val="20"/>
        </w:rPr>
        <w:t>: The performance of an individual radio station or group of radio stations in a particular market is customarily measured by its ability to generate net revenue. Net revenue consists of gross revenue, net of local and national agency and outside sales representative commissions consistent with industry practice. Net revenue is recognized in the period in which advertisements are broadcast. Net revenue also includes advertising aired in exchange for goods and services, which is recorded at fair value, revenue from sponsored events and other revenue. Net revenue is recognized for our online business as impressions are delivered. Net revenue is recognized for our Cable Television segment as advertisements are run or impressions delivered, and during the term of the affiliation agreements at levels appropriate for the most recent subscriber counts reported by the affiliate, net of launch support.</w:t>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i/>
          <w:color w:val="000000"/>
          <w:sz w:val="20"/>
        </w:rPr>
        <w:t>Broadcast and digital operating income</w:t>
      </w:r>
      <w:r>
        <w:rPr>
          <w:rFonts w:ascii="Times New Roman;serif" w:hAnsi="Times New Roman;serif"/>
          <w:b w:val="false"/>
          <w:color w:val="000000"/>
          <w:sz w:val="20"/>
        </w:rPr>
        <w:t>: The radio broadcasting industry commonly refers to “station operating income” which consists of net loss before depreciation and amortization, income taxes, interest expense, interest and investment income, non-controlling interests in income of subsidiaries, other income, net, loss from unconsolidated joint venture, corporate selling, general and administrative expenses, stock-based compensation, impairment of goodwill and intangible assets, and (gain) loss on retirement of debt. However, given the diverse nature of our business, station operating income is not truly reflective of our multi-media operation and, therefore, we use the term “broadcast and digital operating income.” Broadcast and digital operating income is not a measure of financial performance under GAAP. Nevertheless, broadcast and digital operating income is a significant measure used by our management to evaluate the operating performance of our core operating segments. Broadcast and digital operating income provides helpful information about our results of operations, apart from expenses associated with our fixed assets and goodwill and intangible assets, income taxes, investments, impairment charges, debt financings and retirements, corporate overhead and stock-based compensation. Our measure of broadcast and digital operating income is similar to industry use of station operating income; however, it reflects our more diverse business and therefore is not completely analogous to “station operating income” or other similarly titled measures as used by other companies. Broadcast and digital operating income does not represent operating income or loss, or cash flow from operating activities, as those terms are defined under GAAP, and should not be considered as an alternative to those measurements as an indicator of our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Broadcast and digital operating income was approximately $22.2 million for the three months ended June 30, 2026, compared to approximately $25.7 million for the three months ended June 30, 2025, a decrease of approximately $3.5 million or 13.7%. This decrease was primarily due to lower broadcast and digital operating income at our Radio Broadcasting and Cable Television segments and lower broadcast and digital operating loss at our Reach Media segment. Broadcast and digital operating loss at our Digital segment remained flat during the three months ended June 30, 2026, compared to the three months ended June 30, 2025. Our Radio Broadcasting segment generated approximately $6.0 million of broadcast and digital operating income during the three months ended June 30, 2026, compared to approximately $6.9 million during the three months ended June 30, 2025, primarily due to lower revenues. Our Cable Television segment generated approximately $16.7 million of broadcast and digital operating income during the three months ended June 30, 2026, compared to approximately $19.8 million during the three months ended June 30, 2025. The decrease in our Cable Television segment’s broadcast and digital operating income was primarily due to lower revenues. Reach Media segment generated broadcast and digital operating loss of approximately $0.4 million of during the three months ended June 30, 2026, compared to approximately $0.9 million during the three months ended June 30, 2025, primarily due to lower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Broadcast and digital operating income was approximately $37.0 million for the six months ended June 30, 2026, compared to approximately $48.7 million for the six months ended June 30, 2025, a decrease of approximately $11.7 million or 24.0%.The decrease was primarily due to lower broadcast and digital operating income at our Radio Broadcasting and Cable Television segments, higher broadcast and digital operating loss at our Digital segment, and lower broadcast and digital operating loss at our Reach Media segment. Our Digital segment generated broadcast and digital operating loss of approximately $1.5 million during the six months ended June 30, 2026, compared to approximately $0.1 million during the six months ended June 30, 2025, primarily due to lower revenue offset by lower operating expenses. Reach Media generated broadcast and digital operating loss of approximately $0.3 million during the six months ended June 30, 2026, compared to approximately $0.7 million during the six months ended June 30, 2025, primarily due to lower revenue offset by lower operating expenses. Cable Television generated approximately $31.1 million of broadcast and digital operating income during the six months ended June 30, 2026, compared to approximately $39.8 million during the six months ended June 30, 2025. The decrease in the Cable Television segment’s broadcast and digital operating income was primarily from lower revenue offset by lower operating expenses. Our Radio Broadcasting segment generated approximately $7.8 million of broadcast and digital operating income during the six months ended June 30, 2026, compared to approximately $9.7 million during the six months ended June 30, 2025, primarily due to lower revenue offset by lower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both"/>
        <w:rPr/>
      </w:pPr>
      <w:r>
        <w:rPr>
          <w:rFonts w:ascii="Times New Roman;serif" w:hAnsi="Times New Roman;serif"/>
          <w:b w:val="false"/>
          <w:color w:val="000000"/>
          <w:sz w:val="20"/>
          <w:shd w:fill="FFFFFF" w:val="clear"/>
        </w:rPr>
        <w:t>(c)</w:t>
      </w:r>
      <w:r>
        <w:rPr>
          <w:rFonts w:ascii="Times New Roman;serif" w:hAnsi="Times New Roman;serif"/>
          <w:b w:val="false"/>
          <w:i/>
          <w:color w:val="000000"/>
          <w:sz w:val="20"/>
          <w:shd w:fill="FFFFFF" w:val="clear"/>
        </w:rPr>
        <w:t>Adjusted EBITDA</w:t>
      </w:r>
      <w:r>
        <w:rPr>
          <w:rFonts w:ascii="Times New Roman;serif" w:hAnsi="Times New Roman;serif"/>
          <w:b w:val="false"/>
          <w:color w:val="000000"/>
          <w:sz w:val="20"/>
          <w:shd w:fill="FFFFFF" w:val="clear"/>
        </w:rPr>
        <w:t xml:space="preserve">: Adjusted EBITDA consists of net (loss) income plus (1) depreciation and amortization, income taxes, interest expense, net income attributable to non-controlling interests, </w:t>
      </w:r>
      <w:r>
        <w:rPr>
          <w:rFonts w:ascii="Times New Roman;serif" w:hAnsi="Times New Roman;serif"/>
          <w:b w:val="false"/>
          <w:color w:val="000000"/>
          <w:sz w:val="20"/>
        </w:rPr>
        <w:t>impairment of goodwill, intangible assets and long-lived assets</w:t>
      </w:r>
      <w:r>
        <w:rPr>
          <w:rFonts w:ascii="Times New Roman;serif" w:hAnsi="Times New Roman;serif"/>
          <w:b w:val="false"/>
          <w:color w:val="000000"/>
          <w:sz w:val="20"/>
          <w:shd w:fill="FFFFFF" w:val="clear"/>
        </w:rPr>
        <w:t>, stock-based compensation, gain on sale of business, (gain) loss on retirement of debt, corporate costs, non-recurring litigation settlement costs, non-recurring debt refinancing costs, severance-related costs, investment income, loss from ceased non-core business initiatives less (2) other income, net and interest and investment income. Net (loss) income before interest income, interest expense, income taxes, depreciation and amortization is commonly referred to in our business as “EBITDA.” Adjusted EBITDA and EBITDA are not measures of financial performance under GAAP. We believe Adjusted EBITDA is often a useful measure of a company’s operating performance and is a significant measure used by our management to evaluate the operating performance of our business. Accordingly, based on the previous description of Adjusted EBITDA, we believe that it provides useful information about the operating performance of our business, apart from the expenses associated with our fixed assets and goodwill and intangible assets, or capital structure. Adjusted EBITDA is frequently used as one of the measures for comparing businesses in the broadcasting industry, although our measure of Adjusted EBITDA may not be comparable to similarly titled measures of other companies, including, but not limited to the fact that our definition includes the results of all four of our operating segments (Radio Broadcasting, Reach Media, Digital, and Cable Television). Business activities unrelated to these four segments are included in an “all other” category which the Company refers to as “All other - corporate/eliminations.” Adjusted EBITDA and EBITDA do not purport to represent operating income or cash flow from operating activities, as those terms are defined under GAAP, and should not be considered as alternatives to those measurements as an indicator of our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Summary Of Performance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provide a summary of our performance based on the metrics described above:</w:t>
      </w:r>
    </w:p>
    <w:tbl>
      <w:tblPr>
        <w:tblW w:w="9345" w:type="dxa"/>
        <w:jc w:val="left"/>
        <w:tblInd w:w="0" w:type="dxa"/>
        <w:tblLayout w:type="fixed"/>
        <w:tblCellMar>
          <w:top w:w="28" w:type="dxa"/>
          <w:left w:w="28" w:type="dxa"/>
          <w:bottom w:w="28" w:type="dxa"/>
          <w:right w:w="28" w:type="dxa"/>
        </w:tblCellMar>
      </w:tblPr>
      <w:tblGrid>
        <w:gridCol w:w="1427"/>
        <w:gridCol w:w="1257"/>
        <w:gridCol w:w="1261"/>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Broadcast and digital operating income margin</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reconciliation of net loss attributable to common stockholders to Broadcast and digital operating income is as follows:</w:t>
      </w:r>
    </w:p>
    <w:tbl>
      <w:tblPr>
        <w:tblW w:w="10205" w:type="dxa"/>
        <w:jc w:val="left"/>
        <w:tblInd w:w="0" w:type="dxa"/>
        <w:tblLayout w:type="fixed"/>
        <w:tblCellMar>
          <w:top w:w="28" w:type="dxa"/>
          <w:left w:w="28" w:type="dxa"/>
          <w:bottom w:w="28" w:type="dxa"/>
          <w:right w:w="28" w:type="dxa"/>
        </w:tblCellMar>
      </w:tblPr>
      <w:tblGrid>
        <w:gridCol w:w="1844"/>
        <w:gridCol w:w="1513"/>
        <w:gridCol w:w="1517"/>
        <w:gridCol w:w="211"/>
        <w:gridCol w:w="721"/>
        <w:gridCol w:w="109"/>
        <w:gridCol w:w="109"/>
        <w:gridCol w:w="109"/>
        <w:gridCol w:w="109"/>
        <w:gridCol w:w="211"/>
        <w:gridCol w:w="767"/>
        <w:gridCol w:w="109"/>
        <w:gridCol w:w="109"/>
        <w:gridCol w:w="109"/>
        <w:gridCol w:w="109"/>
        <w:gridCol w:w="211"/>
        <w:gridCol w:w="767"/>
        <w:gridCol w:w="109"/>
        <w:gridCol w:w="109"/>
        <w:gridCol w:w="109"/>
        <w:gridCol w:w="109"/>
        <w:gridCol w:w="211"/>
        <w:gridCol w:w="767"/>
        <w:gridCol w:w="157"/>
      </w:tblGrid>
      <w:tr>
        <w:trPr/>
        <w:tc>
          <w:tcPr>
            <w:tcW w:w="184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 back/(deduct) certain non-broadcast and digital operating income items included in net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Corporate selling, general and administrative, excluding stock-based compensation </w:t>
            </w:r>
            <w:r>
              <w:rPr>
                <w:rFonts w:ascii="Times New Roman;serif" w:hAnsi="Times New Roman;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Broadcast and digital operating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48,680 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Corporate selling, general and administrative expenses consist of expenses associated with our corporate headquarters and facilities, including personnel as well as other corporate overhead functions.</w:t>
      </w:r>
    </w:p>
    <w:p>
      <w:pPr>
        <w:pStyle w:val="TextBody"/>
        <w:bidi w:val="0"/>
        <w:spacing w:before="16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reconciliation of net loss attributable to common stockholders to Adjusted EBITDA is as follows:</w:t>
      </w:r>
    </w:p>
    <w:tbl>
      <w:tblPr>
        <w:tblW w:w="10205" w:type="dxa"/>
        <w:jc w:val="left"/>
        <w:tblInd w:w="0" w:type="dxa"/>
        <w:tblLayout w:type="fixed"/>
        <w:tblCellMar>
          <w:top w:w="28" w:type="dxa"/>
          <w:left w:w="28" w:type="dxa"/>
          <w:bottom w:w="28" w:type="dxa"/>
          <w:right w:w="28" w:type="dxa"/>
        </w:tblCellMar>
      </w:tblPr>
      <w:tblGrid>
        <w:gridCol w:w="1690"/>
        <w:gridCol w:w="1361"/>
        <w:gridCol w:w="1364"/>
        <w:gridCol w:w="211"/>
        <w:gridCol w:w="721"/>
        <w:gridCol w:w="109"/>
        <w:gridCol w:w="109"/>
        <w:gridCol w:w="109"/>
        <w:gridCol w:w="109"/>
        <w:gridCol w:w="211"/>
        <w:gridCol w:w="775"/>
        <w:gridCol w:w="109"/>
        <w:gridCol w:w="109"/>
        <w:gridCol w:w="109"/>
        <w:gridCol w:w="109"/>
        <w:gridCol w:w="211"/>
        <w:gridCol w:w="775"/>
        <w:gridCol w:w="109"/>
        <w:gridCol w:w="109"/>
        <w:gridCol w:w="109"/>
        <w:gridCol w:w="109"/>
        <w:gridCol w:w="211"/>
        <w:gridCol w:w="775"/>
        <w:gridCol w:w="109"/>
        <w:gridCol w:w="109"/>
        <w:gridCol w:w="109"/>
        <w:gridCol w:w="109"/>
        <w:gridCol w:w="156"/>
      </w:tblGrid>
      <w:tr>
        <w:trPr/>
        <w:tc>
          <w:tcPr>
            <w:tcW w:w="1690"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back/(deduct) certain Adjusted EBITDA items included in net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costs</w:t>
            </w:r>
            <w:r>
              <w:rPr>
                <w:rFonts w:ascii="Times New Roman;serif" w:hAnsi="Times New Roman;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ceased non-core business initiatives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Corporate costs primarily include professional fees related to the material weakness remediation efforts as well as legal cost related to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liquidity is cash provided by operations and, to the extent necessary, borrowings available under our asset-backed credit facility. Our cash, cash equivalents and restricted cash balance was approximately $16.2 million as of June 30, 2026. As of June 30, 2026, there were $20.0 million borrowings outstanding on the Current ABL Facility (as defined below) which has $75.0 million in overall capacity.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regularly considers the impact of macroeconomic conditions on our business. Uncertainty in the macroeconomic environment with newly implemented tariffs, continued increases in inflation and interest rates, along with banking volatility, may have an adverse effect on our revenues.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repurchase its outstanding debt and/or equity securities in open market purchases. Under open authorizations, repurchases of our outstanding debt and/or equity securities may be made from time to time in the open market or in privately negotiated transactions in accordance with applicable laws and regulations. Repurchased debt and equity securities are retired when repurchased. The timing and extent of any repurchases will depend upon prevailing market conditions, the trading price of the Company’s outstanding debt and/or equity securities and other factors, and subject to restrictions under the Company's indentures, credit agreement and applicable law. All repurchase amounts reflected in this quarterly report (both the number of shares repurchased and repurchase prices) are reflective of the reverse stock split effective January 22, 2026. </w:t>
      </w:r>
    </w:p>
    <w:p>
      <w:pPr>
        <w:pStyle w:val="TextBody"/>
        <w:bidi w:val="0"/>
        <w:spacing w:before="24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18, 2026, the Company held its 2026 Annual Shareholder's meeting. At that meeting, the shareholders approved the 2026 Equity and Performance Incentive Plan ( the "2026 Incentive Plan"). The 2026 Incentive Plan is intended to be a successor to the Urban One, Inc. 2019 Second Amended and Restated Equity and Performance Incentive Plan. The 2019 Plan expires by its terms on April 10, 2029. As the 2026 Incentive Plan was approved and adopted, no further awards of any kind will be granted pursuant to the 2019 Equity Plan, although outstanding stock options and restricted stock awards under the 2019 Equity Plan will remain outstanding pursuant to the terms of that plan. Subject to the conditions outlined below, the total number of shares of Common Stock which may be issued pursuant to Awards granted under the 2026 Incentive Plan are 1,000,000 shares of Class A Common Stock and 1,000,000 shares of Class D Common Stock plus any shares not subject to outstanding awards under any prior plan as of the Effective Date and any shares subject to outstanding awards under any prior plan as of the Effective Date that, on or after the Effective Date, cease for any reason to be subject to such awards (other than by reason of exercise or settlement of the awards to the extent they are exercised for or settled in vested and nonforfeitable shares of Class A Common Stock or Class D Common Stock). There were 200,000 shares of Class A Common Stock and 300,000 shares of Class D Common Stock available under the 2019 Plan at the time of adoption of the 2026 Incentive Plan and, therefore, the total and aggregate number of shares subject to the 2026 Incentive Plan are 1,200,000 shares of Class A Common Stock and 1,300,000 shares of Class D Common Stock. As of June 30, 2026, the Company had 1,200,000 shares of Class A Common Stock and 1,131,326 shares of Class D Common Stock available to grant under the 2026 Incentive Plan after taking into account available shares rolled into the 2026 Incentive Plan from the 2019 Equity Plan.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10, 2024, after exhaustion of the earlier programs except the Stock Grant Authorization, the Company’s Board of Directors approved a share repurchase authorization to repurchase up to $20.0 million of the Company's outstanding Class A and/or Class D Common Stock (collectively, the “Stock Repurchase Program”). The 2024 Stock Repurchase Program has been cancelled in connection with our debt refinancing in December 2025.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repurchased 67,529 shares of Class A Common Stock under the 2024 Stock Repurchase Program of approximately $1.0 million at an average price of $15.30 per share. During the six months ended June 30, 2025, the Company repurchased 40,520 shares of Class D Common Stock for approximately $0.3 million at an average price of $7.00 per share.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June 17, 2026, the Company’s Board of Directors approved an employee share repurchase program to repurchase up to $1.0 million of the Company's outstanding Class A and/or Class D Common Stock during any single calendar year with unused amounts carrying over into subsequent years up to a maximum of $1.0 million in any single calendar year (collectively, the “2026 Annual Repurchase Program”). The Annual Repurchase Program is executed in strict compliance with the terms, conditions, and restrictive covenants set forth in the Indenture as noted in Note </w:t>
      </w:r>
      <w:r>
        <w:rPr>
          <w:rFonts w:ascii="Times New Roman;serif" w:hAnsi="Times New Roman;serif"/>
          <w:b w:val="false"/>
          <w:i/>
          <w:color w:val="000000"/>
          <w:sz w:val="20"/>
        </w:rPr>
        <w:t>9 - Debt</w:t>
      </w:r>
      <w:r>
        <w:rPr>
          <w:rFonts w:ascii="Times New Roman;serif" w:hAnsi="Times New Roman;serif"/>
          <w:b w:val="false"/>
          <w:color w:val="000000"/>
          <w:sz w:val="20"/>
        </w:rPr>
        <w:t xml:space="preserve">, as well as all applicable federal and state securities laws and regulations. During the six months ended June 30, 2026, the Company repurchased 129,543 shares of Class D Common Stock at an average price of $4.50 per share for $0.6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giving effect to the above transaction and prior activity, the 2026 Annual Repurchase Program has approximately $0.4 million remaining under the authorization.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limited but ongoing authority to purchase shares of Class D Common Stock (in one or more transactions at any time there remain outstanding grants) under the 2026 and 2019 Equity and Performance Incentive Plans (as defined below). This limited authority is used to satisfy any employee or other recipient tax obligations in connection with the exercise of an option or a share grant under the 2026 or 2019 Equity and Performance Incentive Plans, to the extent that the Company has capacity under its financing agreements (i.e., its current credit facilities and indentures) (each a “stock vest tax repurchase”).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executed stock vest tax repurchases of 145,513 shares of Class D Common Stock for approximately $0.7 million at an average price of $4.52, and 147,701 shares of Class D Common Stock for approximately $0.7 million at an average price of $4.54 per share,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the Company executed stock vest tax repurchases of 11,067 shares of Class D Common Stock for approximately $0.1 million at an average price of $6.40 per share and 39,444 shares of Class D Common Stock for approximately $0.3 million at an average price of $7.80 per share, respectively. </w:t>
      </w:r>
    </w:p>
    <w:p>
      <w:pPr>
        <w:pStyle w:val="TextBody"/>
        <w:bidi w:val="0"/>
        <w:spacing w:before="0" w:after="0"/>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repurchased approximately $4.3 million of its 2028 Notes at a weighted average price of approximately 51.0% of par, resulting in a net gain on retirement of debt of approximately $2.1 million, included in the unaudited condensed consolidated statement of operations, and an outstanding balance of approximately $7.5 million as of June 30, 2026.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repurchased approximately $64.0 million of its 2028 Notes at an average price of approximately 51.8% of par, resulting in a net gain on retirement of debt of approximately $30.3 million. During the six months ended June 30, 2025, the Company repurchased approximately $92.2 million of its 2028 Notes at an average price of approximately 53.7% of par, resulting in a net gain on retirement of debt of approximately $41.9 million.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repurchased approximately $32.4 million of its 2031 Second Lien Notes at a weighted average price of approximately 40.7% of par. During the three months ended June 30, 2026, the Company repurchased approximately $23.5 million of its 2031 Second Lien Notes at a weighted average price of approximately 42.0% of par.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As the 2031 Second Lien Notes are accounted under Accounting Standards Codification No. 470-60,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rPr>
        <w:t xml:space="preserve">, no gain was recorded. Instead, the Company recorded additional premiums of $19.3 and $13.6 million during the three months ended March 31, 2026, and June 30, 2026, respectively, which is included in long-term debt, net on the Company's condensed consolidated balance sheets.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Asset-Backed Line of Credit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On December 18, 2025, the Company entered into an amended and restated ABL facility (the “Current ABL Facility”) as a part of the 2025 Refinancing pursuant to an Amended and Restated Credit Agreement, among the Company, as the administrative borrower, together with the other borrowers party thereto, the lenders party thereto and Bank of America, N.A., as administrative agent (the “Current ABL Facility”), which amends and restates the 2021 ABL Facility in order to facilitate the issuance of new notes in connection with the 2025 Refinancing. The Current ABL Facility provides for, among other things, commitments in the aggregate principal amount of up to </w:t>
      </w:r>
      <w:r>
        <w:rPr>
          <w:rFonts w:ascii="Times New Roman;serif" w:hAnsi="Times New Roman;serif"/>
          <w:b w:val="false"/>
          <w:color w:val="000000"/>
          <w:sz w:val="20"/>
          <w:shd w:fill="FFFFFF" w:val="clear"/>
        </w:rPr>
        <w:t>$</w:t>
      </w:r>
      <w:r>
        <w:rPr>
          <w:rFonts w:ascii="Times New Roman;serif" w:hAnsi="Times New Roman;serif"/>
          <w:b w:val="false"/>
          <w:color w:val="000000"/>
          <w:sz w:val="20"/>
        </w:rPr>
        <w:t>75.0</w:t>
      </w:r>
      <w:r>
        <w:rPr>
          <w:color w:val="000000"/>
          <w:shd w:fill="FFFFFF" w:val="clear"/>
        </w:rPr>
        <w:t xml:space="preserve"> </w:t>
      </w:r>
      <w:r>
        <w:rPr>
          <w:rFonts w:ascii="Times New Roman;serif" w:hAnsi="Times New Roman;serif"/>
          <w:b w:val="false"/>
          <w:color w:val="000000"/>
          <w:sz w:val="20"/>
          <w:shd w:fill="FFFFFF" w:val="clear"/>
        </w:rPr>
        <w:t>million (subject to determination with reference to the “Borrowing Base”, as defined in the Current ABL Credit Facility)</w:t>
      </w:r>
      <w:r>
        <w:rPr>
          <w:color w:val="000000"/>
        </w:rPr>
        <w:t xml:space="preserve"> </w:t>
      </w:r>
      <w:r>
        <w:rPr>
          <w:rFonts w:ascii="Times New Roman;serif" w:hAnsi="Times New Roman;serif"/>
          <w:b w:val="false"/>
          <w:color w:val="000000"/>
          <w:sz w:val="20"/>
        </w:rPr>
        <w:t>with incremental capacity to incur an additional principal amount of up to $25.0</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thereunder, with the proceeds thereof to be used primarily for working capital and general corporate purposes, including capital expenditures, permitted acquisitions, permitted investments and permitted dividends, in each case, in accordance with the terms of the Current ABL Facility.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Current ABL Facility provides that interest on Base Rate Loans accrues at a per</w:t>
        <w:noBreakHyphen/>
        <w:t>annum rate equal to the applicable margin plus the Base Rate, and interest on Term SOFR Loans accrues at a per</w:t>
        <w:noBreakHyphen/>
        <w:t>annum rate equal to the applicable margin plus Term SOFR for the applicable interest period. In addition, upon the occurrence and during the continuance of an event of default, overdue principal, interest, and other amounts bear interest at rates generally 2.0% per annum above the rates otherwise applicable under the Current ABL Facility.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Current ABL Facility matures on the earlier to occur of (a) December 18, 2030, (b) the date that is ninety-one (91) days prior to the maturity or expiration date applicable to any Material Indebtedness (other than the 2028 Notes) and (c) the date on which the 2028 Notes Non-Springing Maturity Condition fails to be true.</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drew $10.0 million on the Current ABL Facility, which was repaid in the first quarter of 2026. In March 2026, the Company drew another $10.0 million on the Current ABL Facility with a six-month maturity at an interest rate of approximately 6.09%. The Company further made two separate draws of $5.0 million each for a total of $10.0 million in the second quarter of 2026, payable at an interest rate of approximately 6.75% and 6.01%. After giving effect to the outstanding $20.0 million drawdown and adjustments to account for the Borrowing Base, the Company's borrowing capacity was approximately $26.1 million as of June 30, 2026.</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further made an additional draw of $7.0 million in the third quarter of 2026, payable at an interest rate of approximately 6.12%. The Company repaid the May 2026 draw of $5.0 million on August 2, 2026. After giving effect to the additional draw of $7.0 million, the $5.0 million repayment, and adjustments to account for the Borrowing Base, the Company's borrowing capacity was approximately $24.1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statements of cash flows for the six months ended June 30, 2026, and 2025, respectively:</w:t>
      </w:r>
    </w:p>
    <w:tbl>
      <w:tblPr>
        <w:tblW w:w="6594" w:type="dxa"/>
        <w:jc w:val="left"/>
        <w:tblInd w:w="0" w:type="dxa"/>
        <w:tblLayout w:type="fixed"/>
        <w:tblCellMar>
          <w:top w:w="28" w:type="dxa"/>
          <w:left w:w="28" w:type="dxa"/>
          <w:bottom w:w="28" w:type="dxa"/>
          <w:right w:w="28" w:type="dxa"/>
        </w:tblCellMar>
      </w:tblPr>
      <w:tblGrid>
        <w:gridCol w:w="1444"/>
        <w:gridCol w:w="1271"/>
        <w:gridCol w:w="1275"/>
        <w:gridCol w:w="211"/>
        <w:gridCol w:w="796"/>
        <w:gridCol w:w="109"/>
        <w:gridCol w:w="109"/>
        <w:gridCol w:w="109"/>
        <w:gridCol w:w="109"/>
        <w:gridCol w:w="211"/>
        <w:gridCol w:w="796"/>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flows provided by operating activities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by investing activities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Net cash flows provided by operating activities </w:t>
      </w:r>
      <w:r>
        <w:rPr>
          <w:rFonts w:ascii="Times New Roman;serif" w:hAnsi="Times New Roman;serif"/>
          <w:b w:val="false"/>
          <w:color w:val="000000"/>
          <w:sz w:val="20"/>
          <w:shd w:fill="FFFFFF" w:val="clear"/>
        </w:rPr>
        <w:t>were approximately $14.8 million and $8.3 million for the six months ended June 30, 2026, and 2025, respectively. Net cash flow from operating activities for the six months ended June 30, 2026</w:t>
      </w:r>
      <w:r>
        <w:rPr>
          <w:color w:val="000000"/>
        </w:rPr>
        <w:t xml:space="preserve"> </w:t>
      </w:r>
      <w:r>
        <w:rPr>
          <w:rFonts w:ascii="Times New Roman;serif" w:hAnsi="Times New Roman;serif"/>
          <w:b w:val="false"/>
          <w:color w:val="000000"/>
          <w:sz w:val="20"/>
        </w:rPr>
        <w:t>increased primarily due to the lower spent in accounts payable, content assets and payables, offset by lower accounts receivable balance.</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flows from operations, cash and cash equivalents, and other sources of liquidity are expected to be available and sufficient to meet foreseeable cash requirements. </w:t>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Net cash flows used in investing activities were approximately $3.5 million and $4.2 million for the six months ended June 30, 2026, and 2025, res</w:t>
      </w:r>
      <w:r>
        <w:rPr>
          <w:rFonts w:ascii="Times New Roman;serif" w:hAnsi="Times New Roman;serif"/>
          <w:b w:val="false"/>
          <w:color w:val="000000"/>
          <w:sz w:val="20"/>
        </w:rPr>
        <w:t xml:space="preserve">pectively. Net cash flows used in investing activities decreased from the prior year primarily due to the cash received from the disposition of radio station KZMJ from the Radio Broadcasting segment to Fuzion Dallas, LLC, offset by the escrow deposit related to the Service Broadcasting Group, LLC acquisition described in Note </w:t>
      </w:r>
      <w:r>
        <w:rPr>
          <w:rFonts w:ascii="Times New Roman;serif" w:hAnsi="Times New Roman;serif"/>
          <w:b w:val="false"/>
          <w:i/>
          <w:color w:val="000000"/>
          <w:sz w:val="20"/>
        </w:rPr>
        <w:t>7 - Dispositions and Acquisitions</w:t>
      </w:r>
      <w:r>
        <w:rPr>
          <w:color w:val="000000"/>
        </w:rPr>
        <w:t xml:space="preserve"> </w:t>
      </w:r>
      <w:r>
        <w:rPr>
          <w:rFonts w:ascii="Times New Roman;serif" w:hAnsi="Times New Roman;serif"/>
          <w:b w:val="false"/>
          <w:color w:val="000000"/>
          <w:sz w:val="20"/>
        </w:rPr>
        <w:t xml:space="preserve">and higher capital expenditures. </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Net cash flows used in financing activities were approximately $21.5 million and $55.4 million for the six months ended June 30, 2026, and 2025, respectively</w:t>
      </w:r>
      <w:r>
        <w:rPr>
          <w:rFonts w:ascii="Times New Roman;serif" w:hAnsi="Times New Roman;serif"/>
          <w:b w:val="false"/>
          <w:color w:val="000000"/>
          <w:sz w:val="20"/>
        </w:rPr>
        <w:t xml:space="preserve">. The change was primarily driven by the debt repurchase activity of the 2031 Second Lien Notes and 2028 Notes as described in Note </w:t>
      </w:r>
      <w:r>
        <w:rPr>
          <w:rFonts w:ascii="Times New Roman;serif" w:hAnsi="Times New Roman;serif"/>
          <w:b w:val="false"/>
          <w:i/>
          <w:color w:val="000000"/>
          <w:sz w:val="20"/>
        </w:rPr>
        <w:t xml:space="preserve">9 - Debt </w:t>
      </w:r>
      <w:r>
        <w:rPr>
          <w:rFonts w:ascii="Times New Roman;serif" w:hAnsi="Times New Roman;serif"/>
          <w:b w:val="false"/>
          <w:color w:val="000000"/>
          <w:sz w:val="20"/>
        </w:rPr>
        <w:t>and a net cash inflow of $10.0 million from the Current ABL Facility.</w:t>
      </w:r>
    </w:p>
    <w:p>
      <w:pPr>
        <w:pStyle w:val="TextBody"/>
        <w:bidi w:val="0"/>
        <w:spacing w:lineRule="auto" w:line="288" w:before="240" w:after="240"/>
        <w:ind w:left="0" w:right="0" w:firstLine="720"/>
        <w:jc w:val="both"/>
        <w:rPr/>
      </w:pPr>
      <w:r>
        <w:rPr>
          <w:rFonts w:ascii="Times New Roman;serif" w:hAnsi="Times New Roman;serif"/>
          <w:b w:val="false"/>
          <w:color w:val="000000"/>
          <w:sz w:val="20"/>
          <w:shd w:fill="FFFFFF" w:val="clear"/>
        </w:rPr>
        <w:t xml:space="preserve">On a continuing basis, Standard and Poor’s, Moody’s Investor Services, and other rating agencies may evaluate our indebtedness in order to assign a credit rating. </w:t>
      </w:r>
      <w:r>
        <w:rPr>
          <w:rFonts w:ascii="Times New Roman;serif" w:hAnsi="Times New Roman;serif"/>
          <w:b w:val="false"/>
          <w:color w:val="000000"/>
          <w:sz w:val="20"/>
        </w:rPr>
        <w:t>Our corporate credit ratings by Standard &amp; Poor's Rating Services and Moody's Investors Service are speculative-grade and have been downgraded and upgraded at various times during the last several years. Any reductions in our credit ratings could increase our borrowing costs, reduce the availability of financing to us or increase our cost of doing business or otherwise negatively impact our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Our significant accounting policies are described in Note </w:t>
      </w:r>
      <w:r>
        <w:rPr>
          <w:rFonts w:ascii="Times New Roman;serif" w:hAnsi="Times New Roman;serif"/>
          <w:b w:val="false"/>
          <w:i/>
          <w:color w:val="000000"/>
          <w:sz w:val="20"/>
        </w:rPr>
        <w:t>2 – Summary of Significant Accounting Policies</w:t>
      </w:r>
      <w:r>
        <w:rPr>
          <w:color w:val="000000"/>
        </w:rPr>
        <w:t xml:space="preserve"> </w:t>
      </w:r>
      <w:r>
        <w:rPr>
          <w:rFonts w:ascii="Times New Roman;serif" w:hAnsi="Times New Roman;serif"/>
          <w:b w:val="false"/>
          <w:color w:val="000000"/>
          <w:sz w:val="20"/>
        </w:rPr>
        <w:t xml:space="preserve">of the consolidated financial statements in our 2025 Form 10-K. There have been no significant changes in our critical accounting policies from those presented in our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ESTIMATES</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Our critical accounting estimates are described in our Form 10-K for the year ended December 31, 2025, under the </w:t>
      </w:r>
      <w:r>
        <w:rPr>
          <w:rFonts w:ascii="Times New Roman;serif" w:hAnsi="Times New Roman;serif"/>
          <w:b w:val="false"/>
          <w:color w:val="000000"/>
          <w:sz w:val="20"/>
        </w:rPr>
        <w:t>heading Part II - Item 7. Management’s Discussion and Analysis of Financial Condition and Results of Operations. There have been no significant changes in our critical accounting estimates from those presented in our Form 10-K, other than the impairment of goodwill of the Reach Media reporting unit (see further discussion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Reach Media Reporting Unit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due to the additional decline in revenue, further decrease in forecasted revenue and operating profit margin brought on by declining industry and macro-economic conditions created a triggering event indicating the fair value of the Reach Media reporting unit was more likely than not to be less than its carrying value. As a result, the Company performed an interim quantitative impairment assessment for the Reach Media reporting unit to determine whether it was impaired. The Company estimated the fair value of the reporting unit by utilizing a discounted cash flow model. The key assumptions used in the discounted cash flow model for goodwill include projected revenues, operating profit margins, terminal rate and discount rate. Based on this assessment, the Company recognized impairment losses of approximately $13.9 million, to reduce the carrying value of the Reach Media goodwill balances for the three and six months ended June 30, 2026, included in impairment of goodwill, intangible assets and long-lived assets, on the unaudited condensed consolidated statement of operations.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Company recorded a $0.3 million impairment charge related to the long-lived assets of Reach Media as the assets of the long-lived asset group were not deemed recoverable as of May 31, 2026.</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Below are the key assumptions used in the income approach model for estimating the fair value of the Reach Media reporting unit in the most recent interim impairment assessment performed as of May 31, 2026.</w:t>
      </w:r>
    </w:p>
    <w:tbl>
      <w:tblPr>
        <w:tblW w:w="5038" w:type="dxa"/>
        <w:jc w:val="left"/>
        <w:tblInd w:w="0" w:type="dxa"/>
        <w:tblLayout w:type="fixed"/>
        <w:tblCellMar>
          <w:top w:w="28" w:type="dxa"/>
          <w:left w:w="28" w:type="dxa"/>
          <w:bottom w:w="28" w:type="dxa"/>
          <w:right w:w="28" w:type="dxa"/>
        </w:tblCellMar>
      </w:tblPr>
      <w:tblGrid>
        <w:gridCol w:w="1254"/>
        <w:gridCol w:w="1101"/>
        <w:gridCol w:w="1109"/>
        <w:gridCol w:w="321"/>
        <w:gridCol w:w="321"/>
        <w:gridCol w:w="932"/>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Goodwill (Reach Media Reporting Unit)</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May 31, 2026</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revenues assumption rate range</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(11.4)% - 0.1%</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 range</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(5.7)% - 5.0%</w:t>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See Note </w:t>
      </w:r>
      <w:r>
        <w:rPr>
          <w:rFonts w:ascii="Times New Roman;serif" w:hAnsi="Times New Roman;serif"/>
          <w:b w:val="false"/>
          <w:i/>
          <w:color w:val="000000"/>
          <w:sz w:val="20"/>
        </w:rPr>
        <w:t>8 – Goodwill, Net and Intangible Assets, Net</w:t>
      </w:r>
      <w:r>
        <w:rPr>
          <w:rFonts w:ascii="Times New Roman;serif" w:hAnsi="Times New Roman;serif"/>
          <w:b w:val="false"/>
          <w:color w:val="000000"/>
          <w:sz w:val="20"/>
        </w:rPr>
        <w:t>, of our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See Note </w:t>
      </w:r>
      <w:r>
        <w:rPr>
          <w:rFonts w:ascii="Times New Roman;serif" w:hAnsi="Times New Roman;serif"/>
          <w:b w:val="false"/>
          <w:i/>
          <w:color w:val="000000"/>
          <w:sz w:val="20"/>
        </w:rPr>
        <w:t xml:space="preserve">2 – Summary of Significant Accounting Policies </w:t>
      </w:r>
      <w:r>
        <w:rPr>
          <w:rFonts w:ascii="Times New Roman;serif" w:hAnsi="Times New Roman;serif"/>
          <w:b w:val="false"/>
          <w:color w:val="000000"/>
          <w:sz w:val="20"/>
        </w:rPr>
        <w:t>of our unaudited condensed consolidated financial statements for a summary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CAPITAL AND COMMERCIAL COMMITMENTS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Radio Broadcasting Licenses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Company’s radio stations operates pursuant to one or more licenses issued by the Federal Communications Commission that have a maximum term of 8 years prior to renewal. The Company’s Radio Broadcasting licenses expire at various times beginning in October 2027 through August 1, 2030. Although the Company may apply to renew its Radio Broadcasting licenses, third parties may challenge the Company’s renewal applications. The Company is not aware of any facts or circumstances that would prevent the Company from having its current licenses renewed. A station may continue to operate beyond the expiration date of its license if a timely filed license renewal application was filed and is pending.</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As of June 30, 2026, we had approximately $235.1 million of our 2031 Second Lien Notes, $60.6 million of our 2030 First Lien Notes and $7.5 million of our 2028 Notes outstanding within our corporate structure. In addition, the Company entered into an amended and restated ABL facility (the “Current ABL Facility”) as a part of the 2025 Refinancing pursuant to an Amended and Restated Credit Agreement. The ABL Credit Facility provides for, among other things, commitments in the aggregate principal amount of up to $75 million (subject to determination with reference to the “Borrowing Base”, as defined in the Current ABL Credit Facility), with incremental capacity to incur an additional principal amount of up to $25.0 million. As of June 30, 2026, there were $20.0 million borrowings outstanding on the Current ABL Facility. After giving effect to the outstanding $20.0 million drawdown and adjustments to account for the Borrowing Base, the Company's borrowing capacity was approximately $26.1 million as of June 30, 2026. See Note </w:t>
      </w:r>
      <w:r>
        <w:rPr>
          <w:rFonts w:ascii="Times New Roman;serif" w:hAnsi="Times New Roman;serif"/>
          <w:b w:val="false"/>
          <w:i/>
          <w:color w:val="000000"/>
          <w:sz w:val="20"/>
        </w:rPr>
        <w:t>9 -</w:t>
      </w:r>
      <w:r>
        <w:rPr>
          <w:color w:val="000000"/>
        </w:rPr>
        <w:t xml:space="preserve">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of our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Royalty Agreements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Musical works rights holders, songwriters and music publishers, have been traditionally represented by performing rights organizations, such as the American Society of Composers Authors and Publishers (“ASCAP”), Broadcast Music, Inc. (“BMI”) and SESAC, Inc. (“SESAC”). The market for rights relating to musical works is changing rapidly. Songwriters and music publishers have withdrawn from the traditional performing rights organizations, particularly ASCAP and BMI, and new entities, such as Global Music Rights Inc. (“GMR”), have been formed to represent rights holders. These organizations negotiate fees with copyright users, collect royalties and distribute them to the rights holders. These licenses periodically come up for renewal and, as a result, certain of our performing rights organizations (“PRO”) licenses are currently the subject of renewal negotiations. The outcome of these renewal negotiations could impact, and potentially increase, our music license fees. In addition, there is no guarantee that additional PRO's will not emerge, which could impact, and in some circumstances increase, our royalty rates and negotiation costs.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participating member of the Radio Music Licensing Committee (“RMLC”), the Company is a party to a settlement reached with GMR on February 7, 2022. This agreement established a 4-year license running from April 1, 2022 to March 31, 2026. The license includes an optional 3-year extended term that the Company has opted into with the agreement now running through March 31, 2029. On August 19, 2025, the RMLC announced that it had settled litigation with BMI and ASCAP concerning licensing arrangements and that the settlement has led to new license agreements for members organizations. Both agreements are retroactive to January 1, 2022, and run through December 31, 2029. Each of the new BMI and ASCAP licenses maintain the same percentage-of-revenue license fee structure of the prior licensing arrangements and continue to provide for broad coverage of over-the-air programming, as well as simulcast/website transmissions of podcasts/archived content. While the percentage rates in the new licensing arrangements are higher than the old rates, they are lower than the rates sought by each of BMI and ASCAP in the now-settled litigation.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2024, RMLC announced that it had won a ruling in its rate determination proceedings with SESAC with respect to fees paid by RMLC-represented stations. The determination sets the rates for the period January 1, 2023, through December 31, 2026, and is retroactive in its application. RMLC-Represented Stations that have paid SESAC interim license fees at higher previous rates may receive a true-up adjustment in order to bring rates into conformity with the now-final rates. This ruling did not have a material impact on the Company's operations.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Lease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have non-cancelable operating leases for office space, studio space, broadcast towers and transmitter facilities that expire over the next forty-eight years. See Note </w:t>
      </w:r>
      <w:r>
        <w:rPr>
          <w:rFonts w:ascii="Times New Roman;serif" w:hAnsi="Times New Roman;serif"/>
          <w:b w:val="false"/>
          <w:i/>
          <w:color w:val="000000"/>
          <w:sz w:val="20"/>
        </w:rPr>
        <w:t>13</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shd w:fill="FFFFFF" w:val="clear"/>
        </w:rPr>
        <w:t>of the Company’s unaudited condensed consolidated financial statements for further discussion.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Operating Contracts And Agreements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other operating contracts and agreements including employment contracts, on-air talent contracts, severance obligations, retention bonuses, consulting agreements, equipment rental agreements, programming-related agreements, and other general operating agreements that expire over the next 6 years.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Reach Media Non-controlling Interest</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on January 1, 2018, the non-controlling interest shareholders of Reach Media have had an annual right to require Reach Media to purchase all or a portion of their shares at the then current fair market value for such shares (the “Put Right”). This annual right is exercisable for a 30-day period beginning January 1 of each year. The purchase price for such shares may be paid in cash and/or registered Class D Common Stock of Urban One, at the discretion of Urban One. On February 14, 2025, certain non-controlling interest shareholders of Reach Media exercised their annual Put Right for approximately $3.2 million, increasing the Company’s interest in Reach Media to approximately 94.6% and decreasing the interest of the non-controlling interest shareholders from approximately 10% to approximately 5.4%. On January 13, 2026, the last of the non-controlling interest shareholders of Reach Media exercised their annual right to require Reach Media to purchase the remaining portion of their shares at the current fair market value for such shares (the “Put Right”). On February 25, 2026, Reach Media closed on the Put Interest increasing the Company’s interest in Reach Media to 100%. Reach Media paid the last of the non-controlling interest shareholders approximately $1.3 million for the 5.4%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Contractual Obligations Schedule</w:t>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following table represents our sc</w:t>
      </w:r>
      <w:r>
        <w:rPr>
          <w:rFonts w:ascii="Times New Roman;serif" w:hAnsi="Times New Roman;serif"/>
          <w:b w:val="false"/>
          <w:color w:val="000000"/>
          <w:sz w:val="20"/>
        </w:rPr>
        <w:t xml:space="preserve">heduled contractual obligations as of June 30, 2026: </w:t>
      </w:r>
    </w:p>
    <w:tbl>
      <w:tblPr>
        <w:tblW w:w="10496" w:type="dxa"/>
        <w:jc w:val="left"/>
        <w:tblInd w:w="0" w:type="dxa"/>
        <w:tblLayout w:type="fixed"/>
        <w:tblCellMar>
          <w:top w:w="28" w:type="dxa"/>
          <w:left w:w="28" w:type="dxa"/>
          <w:bottom w:w="28" w:type="dxa"/>
          <w:right w:w="28" w:type="dxa"/>
        </w:tblCellMar>
      </w:tblPr>
      <w:tblGrid>
        <w:gridCol w:w="439"/>
        <w:gridCol w:w="320"/>
        <w:gridCol w:w="322"/>
        <w:gridCol w:w="109"/>
        <w:gridCol w:w="109"/>
        <w:gridCol w:w="109"/>
        <w:gridCol w:w="443"/>
        <w:gridCol w:w="393"/>
        <w:gridCol w:w="388"/>
        <w:gridCol w:w="109"/>
        <w:gridCol w:w="109"/>
        <w:gridCol w:w="109"/>
        <w:gridCol w:w="229"/>
        <w:gridCol w:w="336"/>
        <w:gridCol w:w="340"/>
        <w:gridCol w:w="109"/>
        <w:gridCol w:w="109"/>
        <w:gridCol w:w="109"/>
        <w:gridCol w:w="229"/>
        <w:gridCol w:w="336"/>
        <w:gridCol w:w="340"/>
        <w:gridCol w:w="109"/>
        <w:gridCol w:w="109"/>
        <w:gridCol w:w="109"/>
        <w:gridCol w:w="229"/>
        <w:gridCol w:w="336"/>
        <w:gridCol w:w="340"/>
        <w:gridCol w:w="109"/>
        <w:gridCol w:w="109"/>
        <w:gridCol w:w="109"/>
        <w:gridCol w:w="229"/>
        <w:gridCol w:w="336"/>
        <w:gridCol w:w="340"/>
        <w:gridCol w:w="109"/>
        <w:gridCol w:w="109"/>
        <w:gridCol w:w="109"/>
        <w:gridCol w:w="435"/>
        <w:gridCol w:w="408"/>
        <w:gridCol w:w="373"/>
        <w:gridCol w:w="109"/>
        <w:gridCol w:w="109"/>
        <w:gridCol w:w="109"/>
        <w:gridCol w:w="240"/>
        <w:gridCol w:w="340"/>
        <w:gridCol w:w="486"/>
      </w:tblGrid>
      <w:tr>
        <w:trPr/>
        <w:tc>
          <w:tcPr>
            <w:tcW w:w="43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Remainder of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2031 and Beyond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10.500% First Lien Senior Secured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86,052</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7.625% Second Lien Secured Notes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324,750</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Current ABL facility</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20,378</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7.375% Subordinated Notes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Remaining acquisition purchase price</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18,700</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operating contracts/agreements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135,101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64,415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658,021</w:t>
            </w:r>
          </w:p>
        </w:tc>
      </w:tr>
    </w:tbl>
    <w:p>
      <w:pPr>
        <w:pStyle w:val="TextBody"/>
        <w:bidi w:val="0"/>
        <w:spacing w:lineRule="auto" w:line="288" w:before="20" w:after="4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interest obligations based on contractual interest rates on senior secured notes outstanding as of June 30, 2026. Interest is payable semi-annually in arrears on April 1 and October 1 of each year.</w:t>
      </w:r>
    </w:p>
    <w:p>
      <w:pPr>
        <w:pStyle w:val="TextBody"/>
        <w:bidi w:val="0"/>
        <w:spacing w:lineRule="auto" w:line="288" w:before="20" w:after="4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interest obligations. Interest is payable quarterly or upon maturity of the applicable draw.</w:t>
      </w:r>
    </w:p>
    <w:p>
      <w:pPr>
        <w:pStyle w:val="TextBody"/>
        <w:bidi w:val="0"/>
        <w:spacing w:lineRule="auto" w:line="288" w:before="20" w:after="4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interest obligations based on contractual interest rates on senior secured notes outstanding as of June 30, 2026. Interest is payable semi-annually in arrears on February 1 and August 1 of each year.</w:t>
      </w:r>
    </w:p>
    <w:p>
      <w:pPr>
        <w:pStyle w:val="TextBody"/>
        <w:bidi w:val="0"/>
        <w:spacing w:lineRule="auto" w:line="288" w:before="20" w:after="4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Relates to the acquisition of Service Broadcasting Group, LLC. Refer to Note</w:t>
      </w:r>
      <w:r>
        <w:rPr>
          <w:color w:val="000000"/>
        </w:rPr>
        <w:t xml:space="preserve"> </w:t>
      </w:r>
      <w:r>
        <w:rPr>
          <w:rFonts w:ascii="Times New Roman;serif" w:hAnsi="Times New Roman;serif"/>
          <w:b w:val="false"/>
          <w:i/>
          <w:color w:val="000000"/>
          <w:sz w:val="16"/>
        </w:rPr>
        <w:t xml:space="preserve">7 - Dispositions and Acquisitions </w:t>
      </w:r>
      <w:r>
        <w:rPr>
          <w:rFonts w:ascii="Times New Roman;serif" w:hAnsi="Times New Roman;serif"/>
          <w:b w:val="false"/>
          <w:color w:val="000000"/>
          <w:sz w:val="16"/>
        </w:rPr>
        <w:t>for more detail.</w:t>
      </w:r>
    </w:p>
    <w:p>
      <w:pPr>
        <w:pStyle w:val="TextBody"/>
        <w:bidi w:val="0"/>
        <w:spacing w:lineRule="auto" w:line="288" w:before="20" w:after="4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Includes employment contracts (including the Employment Agreement Award), severance obligations, on-air talent contracts, consulting agreements, equipment rental agreements, programming and programming measurement and analytics agreements, launch liability payments, and other general operating agreements. Also includes contracts that our Cable Television segment has entered into to acquire entertainment programming rights and programs from distributors and producers. These contracts relate to their content assets as well as prepaid programming related agreements.</w:t>
      </w:r>
    </w:p>
    <w:p>
      <w:pPr>
        <w:pStyle w:val="TextBody"/>
        <w:bidi w:val="0"/>
        <w:spacing w:lineRule="auto" w:line="288" w:before="240" w:after="240"/>
        <w:ind w:left="0" w:right="0" w:firstLine="720"/>
        <w:jc w:val="both"/>
        <w:rPr/>
      </w:pPr>
      <w:r>
        <w:rPr>
          <w:rFonts w:ascii="Times New Roman;serif" w:hAnsi="Times New Roman;serif"/>
          <w:b w:val="false"/>
          <w:color w:val="000000"/>
          <w:sz w:val="20"/>
        </w:rPr>
        <w:t>Of the tota</w:t>
      </w:r>
      <w:r>
        <w:rPr>
          <w:rFonts w:ascii="Times New Roman;serif" w:hAnsi="Times New Roman;serif"/>
          <w:b w:val="false"/>
          <w:color w:val="000000"/>
          <w:sz w:val="20"/>
          <w:shd w:fill="FFFFFF" w:val="clear"/>
        </w:rPr>
        <w:t xml:space="preserve">l amount of other operating contracts and agreements included in the table above, approximately </w:t>
      </w:r>
      <w:r>
        <w:rPr>
          <w:rFonts w:ascii="Times New Roman;serif" w:hAnsi="Times New Roman;serif"/>
          <w:b w:val="false"/>
          <w:color w:val="000000"/>
          <w:sz w:val="20"/>
        </w:rPr>
        <w:t>$114.6 million</w:t>
      </w:r>
      <w:r>
        <w:rPr>
          <w:color w:val="000000"/>
          <w:shd w:fill="FFFFFF" w:val="clear"/>
        </w:rPr>
        <w:t xml:space="preserve"> </w:t>
      </w:r>
      <w:r>
        <w:rPr>
          <w:rFonts w:ascii="Times New Roman;serif" w:hAnsi="Times New Roman;serif"/>
          <w:b w:val="false"/>
          <w:color w:val="000000"/>
          <w:sz w:val="20"/>
          <w:shd w:fill="FFFFFF" w:val="clear"/>
        </w:rPr>
        <w:t xml:space="preserve">has not been recorded on the unaudited condensed consolidated balance sheet as of June 30, 2026, as it does not </w:t>
      </w:r>
      <w:r>
        <w:rPr>
          <w:rFonts w:ascii="Times New Roman;serif" w:hAnsi="Times New Roman;serif"/>
          <w:b w:val="false"/>
          <w:color w:val="000000"/>
          <w:sz w:val="20"/>
        </w:rPr>
        <w:t>meet</w:t>
      </w:r>
      <w:r>
        <w:rPr>
          <w:color w:val="000000"/>
          <w:shd w:fill="FFFFFF" w:val="clear"/>
        </w:rPr>
        <w:t xml:space="preserve"> </w:t>
      </w:r>
      <w:r>
        <w:rPr>
          <w:rFonts w:ascii="Times New Roman;serif" w:hAnsi="Times New Roman;serif"/>
          <w:b w:val="false"/>
          <w:color w:val="000000"/>
          <w:sz w:val="20"/>
          <w:shd w:fill="FFFFFF" w:val="clear"/>
        </w:rPr>
        <w:t xml:space="preserve">recognition criteria. Approximately </w:t>
      </w:r>
      <w:r>
        <w:rPr>
          <w:rFonts w:ascii="Times New Roman;serif" w:hAnsi="Times New Roman;serif"/>
          <w:b w:val="false"/>
          <w:color w:val="000000"/>
          <w:sz w:val="20"/>
        </w:rPr>
        <w:t>$14.1 million</w:t>
      </w:r>
      <w:r>
        <w:rPr>
          <w:color w:val="000000"/>
          <w:shd w:fill="FFFFFF" w:val="clear"/>
        </w:rPr>
        <w:t xml:space="preserve"> </w:t>
      </w:r>
      <w:r>
        <w:rPr>
          <w:rFonts w:ascii="Times New Roman;serif" w:hAnsi="Times New Roman;serif"/>
          <w:b w:val="false"/>
          <w:color w:val="000000"/>
          <w:sz w:val="20"/>
          <w:shd w:fill="FFFFFF" w:val="clear"/>
        </w:rPr>
        <w:t xml:space="preserve">relates to certain commitments for content agreements for our Cable Television segment, approximately </w:t>
      </w:r>
      <w:r>
        <w:rPr>
          <w:rFonts w:ascii="Times New Roman;serif" w:hAnsi="Times New Roman;serif"/>
          <w:b w:val="false"/>
          <w:color w:val="000000"/>
          <w:sz w:val="20"/>
        </w:rPr>
        <w:t xml:space="preserve">$46.9 million </w:t>
      </w:r>
      <w:r>
        <w:rPr>
          <w:rFonts w:ascii="Times New Roman;serif" w:hAnsi="Times New Roman;serif"/>
          <w:b w:val="false"/>
          <w:color w:val="000000"/>
          <w:sz w:val="20"/>
          <w:shd w:fill="FFFFFF" w:val="clear"/>
        </w:rPr>
        <w:t xml:space="preserve">commitments for certain programming related and measurement and analytics agreements, approximately </w:t>
      </w:r>
      <w:r>
        <w:rPr>
          <w:rFonts w:ascii="Times New Roman;serif" w:hAnsi="Times New Roman;serif"/>
          <w:b w:val="false"/>
          <w:color w:val="000000"/>
          <w:sz w:val="20"/>
        </w:rPr>
        <w:t>$32.8 million</w:t>
      </w:r>
      <w:r>
        <w:rPr>
          <w:color w:val="000000"/>
          <w:shd w:fill="FFFFFF" w:val="clear"/>
        </w:rPr>
        <w:t xml:space="preserve"> </w:t>
      </w:r>
      <w:r>
        <w:rPr>
          <w:rFonts w:ascii="Times New Roman;serif" w:hAnsi="Times New Roman;serif"/>
          <w:b w:val="false"/>
          <w:color w:val="000000"/>
          <w:sz w:val="20"/>
          <w:shd w:fill="FFFFFF" w:val="clear"/>
        </w:rPr>
        <w:t xml:space="preserve">relates to employment and talent agreements, and the remainder relates to other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ABL Credit Facility provides for, among other things, commitments in the aggregate principal amount of up to $75.0 million (subject to determination with reference to the “Borrowing Base”, as defined in the Current ABL Credit Facility), with incremental capacity to incur an additional principal amount of up to $25.0 million thereunder, with the proceeds thereof to be used primarily for working capital and general corporate purposes, including capital expenditures, permitted acquisitions, permitted investments and permitted dividends, in each case, in accordance with the terms of the Current ABL Facility.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$20.0 million borrowings outstanding on the Current ABL Facility. After giving effect to the outstanding $20.0 million drawdown and adjustments to account for the Borrowing Base, the Company's borrowing capacity was approximately $26.1 million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further made an additional draw of $7.0 million in the third quarter of 2026, payable at an interest rate of approximately 6.12%. The Company repaid the May 2026 draw of $5.0 million on August 2, 2026. After giving effect to the additional draw of $7.0 million, the $5.0 million repayment, and adjustments to account for the Borrowing Base, the Company's borrowing capacity was approximately $24.1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0" w:after="240"/>
        <w:ind w:left="0" w:right="0" w:hanging="270"/>
        <w:jc w:val="both"/>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have carried out an evaluation, under the supervision and with the participation of our Chief Executive Officer (“CEO”) and the Chief Financial Officer (“CFO”), of the effectiveness of the design and operation of our disclosure controls and procedures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Disclosure controls and procedures, as defined in Rules 13a-15(e) and 15d-15(e) under the Exchange Act, are controls and other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designing and evaluating the disclosure controls and procedures, our management recognized that any controls and procedures, no matter how well designed and operated, can only provide reasonable assurance of achieving the desired control objectives and management necessarily was required to apply its judgment in evaluating the cost-benefit relationship of possible controls and procedures. Our disclosure controls and procedures are designed to provide a reasonable level of assurance of reaching our desired disclosure controls objectives. Based on this evaluation, our CEO and CFO concluded that the Company’s disclosure controls and procedures were not effective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as a result of material weaknesses as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Considering the material weaknesses in the Company’s internal control over financial reporting, we performed additional procedures to ensure that our unaudited condensed consolidated financial statements included in this quarterly report on Form 10-Q were prepared in accordance with GAAP. Following such additional procedures, our management, including our CEO and CFO, has concluded that our unaudited condensed consolidated financial statements present fairly, in all material respects, our financial position, results of operations, and cash flows for the periods presented in the quarterly report on Form 10-Q, in conformity with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 Material weaknesses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Management identified the following material weaknesses in internal control over financial reporting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A material weakness is a deficiency, or a combination of deficiencies, in internal control over financial reporting such that there is a reasonable possibility that a material misstatement of our consolidated annual or interim financial statements will not be prevented or detected on a timely basis.</w:t>
      </w:r>
    </w:p>
    <w:p>
      <w:pPr>
        <w:pStyle w:val="TextBody"/>
        <w:bidi w:val="0"/>
        <w:spacing w:before="0" w:after="0"/>
        <w:ind w:left="0" w:right="0" w:firstLine="36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Control Environment, Information and Communication, and Monitoring – We did not design and maintain effective entity-level controls impacting the (1) control environment, (2) identification of control activities, and (3) monitoring activities to prevent or detect material misstatements to the consolidated financial statements and assess whether the components of internal control were present and functioning. We did not adequately communicate the relevant information, including objectives and responsibilities, necessary to support the functioning of internal control over financial reporting. We did not develop and perform sufficient ongoing evaluations to ascertain whether the components of internal control were present and functioning.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Control Activities and Information and Communication – We did not have adequate selection and development of effective control activities resulting in the following material weaknesses: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did not design and maintain effective controls over our financial statement close process. This includes an inadequate level of precision in management’s review during the financial statement close process, an inadequate evaluation and review of the accounting for significant and non-recurring transactions, ineffective design and operating effectiveness of controls to support proper segregation of duties related to the review of manual journal entries and account reconciliations and an inadequate review as part of its reporting and disclosure process.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did not design and maintain management review controls over transactions that require significant judgment. Specifically, controls are not designed to sufficiently evaluate the completeness and accuracy of data used in account analyses related to judgmental areas. Additionally, the Company’s management review controls are not operating effectively, as sufficient evidence was not maintained to demonstrate that reviews occurred with a sufficient level of precision to detect a material misstatement.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material weaknesses resulted in immaterial errors primarily related to stock-based compensation and the Company’s investment in the operations of RVA Entertainment Holdings, LLC (“RVAEH”) and related income tax accounts, which resulted in the revision of the Company’s financial statements for the fiscal year ended December 31, 2022. The Company, in the process of correcting these immaterial errors, recorded other immaterial adjustments previously identified during fiscal year 2022. The adjustments, in aggregate, impacted trade accounts receivable, net, accounts payable, other long-term liabilities, and accumulated deficit in the consolidated balance sheets and selling, general and administrative expenses, and related tax effect in the consolidated statements of operations. Also, these material weaknesses resulted in immaterial errors to the Company’s annual year ended December 31, 2025 annual financial statements, primarily related to selling, general and administrative expenses and accrued liabilities. Additionally, the material weaknesses could result in a misstatement of substantially all account balances or disclosures that would result in a material misstatement of the annual or interim consolidated financial statements that would not be prevented or detected.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IT General Control Activities – We did not design and maintain information technology ("IT") general controls in the areas of user access, program change management, and IT operations for information technology systems that support the Company’s internal control over financial reporting. Specifically, we did not design and maintain (1) user access controls that adequately restrict privileged and end-user access to financial applications, system infrastructure including intrusion detection and incident response capability, programs, and data to appropriate company personnel, including consideration of segregation of incompatible duties; (2) change management controls for financial applications and related system infrastructure to provide reasonable assurance that IT program and data changes are authorized, sufficiently tested, approved, and implemented appropriately; and (3) IT operations controls for certain financial applications to monitor that scheduled financial programs have run and were operating as intended and data backups and recovery are monitored.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IT deficiencies did not result in a material misstatement to the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deficiencies in the aggregate constitute material weaknesses.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Remediation plan related to the material weaknesses in internal control over financial reporting</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response to the material weaknesses identified, management has made significant progress to remediate the control deficiencies contributing to the material weaknesses. Management is committed to the planning and implementation of remediation efforts to address the material weaknesses. These remediation efforts, summarized below, which have been implemented, or are in the process of implementation, are intended to both address the identified material weaknesses and to enhance our overall control environment. Our initiatives include the following:</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address the material weakness in the control environment, information and communication, and monitoring, management continues to enhance entity-level controls by improving policies, enhancing the organizational structure, and engaging external expertise to strengthen internal control over financial reporting. Specifically, we: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Expanded the accounting department by hiring senior leaders with expertise in U.S. GAAP, SEC reporting, public company SOX and associated internal controls. We also hired additional IT personnel with relevant expertise to support and oversee the execution of IT General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Continued to assess personnel needs and will continue efforts to hire and retain additional qualified staff, as necessary.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Continued to centralize functions under Corporate and shared-services model to ensure consistent execution of controls across the entire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Conducted a financial risk assessment, engaging external resources to implement a controls evaluation strategy to establish a robust financial controls governance structure.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Engaged expert SOX consultants to assist in the coordination, development, and testing of our control environment and material weakness remediation efforts.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Management continues to take several measures to address the material weaknesses in IT general controls,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and standardizing policies and procedures to support consistent application of controls IT processes.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Redesigning access controls and enforcing segregation of duties for certain key financial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IT change management controls, including monitoring of changes, for relevant financial applications and related system infrastructure.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Developing IT operations controls to monitor that scheduled financial programs are operating as intended.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Assessing the design of enhanced IT General Controls and initiated ongoing monitoring activities to address deficiencies.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and continue to prioritize efforts to strengthen the controls related to the identified material weaknesses related to control activities and information and communication. Progress toward remediation includes: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controls over the financial statement close process: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Developing formal documentation and communication of accounting policies, journal entry approval policies, management review checklists, and procedures to support the financial statement close process.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Conducting trainings with control owners on executing enhanced controls, focusing on evidencing key control procedures, precision of review, review documentation and validation of the completeness and accuracy of data used in analyses.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Improving documentation of the completeness and accuracy of source data, and timeliness of account reconciliations.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Redesigning of the financial statement close process and controls by enhancing the review of account reconciliations, consolidated financial statements, and disclosures, and implementing financial reporting software to enhance automation and workflows.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Assessing the design of related business processes and initiated ongoing monitoring activities to address deficiencies.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Implementing the general ledger of a cloud-based ERP system, which will help prevent and detect errors, enforce segregation of duties, and automate manual review controls and workflow regarding the review of manual journal entries.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Improving management review controls over non-recurring transactions and significant judgments: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Strengthening and enhancement of the precision of review of non-recurring transactions and significant estimates through improved communication, technical analysis, and expert consultation.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Establishment of oversight controls for non-recurring transactions and judgmental areas to ensure accuracy and completeness of data used in analysis and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not be able to fully remediate these material weaknesses until all of these steps have been completed and have been operating effectively for a sufficient period of time. The actions that we are taking are subject to ongoing senior management review, as well as oversight by the audit committee of our Board of Directors. Additionally, we may also conclude that additional measures may be required to remediate the material weaknesses. We will continue to monitor the design and effectiveness of these and other processes, procedures, and controls and make any further changes management deems appropriate.</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 Changes in internal control over financial reporting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There were no changes in our internal control over financial reporting during the three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Legal Proceedings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Urban One is involved from time to time in various routine legal and administrative proceedings and threatened legal and administrative proceedings incidental to the ordinary course of our business. Urban One believes the resolution of such matters will not have a material adverse effect on its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 xml:space="preserve">Risk Factors </w:t>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Our risk factors are described in our Form 10-K for the year ended December 31, 2025, under the heading Part I, "Item 1A. Risk Factors"</w:t>
      </w:r>
      <w:r>
        <w:rPr>
          <w:rFonts w:ascii="Times New Roman;serif" w:hAnsi="Times New Roman;serif"/>
          <w:b w:val="false"/>
          <w:color w:val="000000"/>
          <w:sz w:val="20"/>
        </w:rPr>
        <w:t>. The below risk has evolved since the filing of our Form 10-K on March 20,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If Nasdaq’s proposed $5 million minimum Market Value of Listed Securities continued listing requirement becomes effective, or if we fail to maintain compliance with other exchange listing standards, our Class A Common Stock may be delisted, which would materially and adversely affect its liquidity, market price, and our access to capital.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Class A Common Stock (UONE) and Class D Common Stock (UONEK) are each separately listed on The Nasdaq Stock Market LLC (“Nasdaq”). Under Nasdaq Listing Rules, where an issuer maintains multiple distinct classes of listed securities, each class must independently satisfy all applicable continued listing requirements. On July 22, 2026, the Securities and Exchange Commission (SEC) approved a new Nasdaq continued listing rule requiring all listed issuers to maintain a minimum Market Value of Listed Securities (“MVLS”) of at least $5.0 million for each listed class, calculated as the consolidated closing bid price multiplied by the total listed securities outstanding of that class. Unlike other Nasdaq continued listing standards, the new $5.0 million MVLS standard carries no compliance or cure period. If a listed class remains below $5.0 million MVLS for 30 consecutive business days, Nasdaq will immediately issue a Staff Delisting Determination, resulting in the immediate suspension of trading without an automatic stay upon appeal.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implementation of this rule was automatically stayed on July 29, 2026, pursuant to SEC Rule of Practice 431(e) pending full Commission review, there can be no assurance that the SEC will modify or reverse the approval order, or that the rule will not become effective in its current form. Because our Class A Common Stock has a smaller publicly traded float and lower total share count than our Class D Common Stock, its MVLS has historically fluctuated near or below the $5.0 million threshold. If the proposed rule becomes enforceable upon the lifting or resolution of the SEC stay, and the market price or share count of our Class A Common Stock does not sustain an MVLS above $5.0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 Cure Window: We will not be granted a 180-day cure period to regain compliance, and trading in our Class A Common Stock will be immediately suspended by Nasdaq.</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Appeal Standards: The Nasdaq Hearings Panel’s discretion to grant an exception upon appeal is strictly limited to instances of factual calculation errors or our ability to demonstrate compliance with all initial (rather than continued) listing standards across our equity tiers.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Remedial Structural Actions: To maintain or restore compliance, we may be required to pursue corporate restructurings, such as reclassifying or consolidating our stock classes, converting unlisted shares held by insiders into listed Class A shares, or executing equity issuances. Such actions may require charter amendments, board or shareholder approvals, or cause dilution or market volatility.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Class A Common Stock is delisted from Nasdaq, trading would likely be conducted on an over-the-counter (“OTC”) market. OTC trading generally involves significantly reduced liquidity, wider bid-ask spreads, decreased institutional investor coverage, and heightened price volatility.</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40"/>
        <w:jc w:val="both"/>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24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Purchases Of Equity Securities By The Issuer And Affiliated Purchasers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purchases of our ordinary shares by the Company during the three months ended June 30, 2026:</w:t>
      </w:r>
    </w:p>
    <w:tbl>
      <w:tblPr>
        <w:tblW w:w="10205" w:type="dxa"/>
        <w:jc w:val="left"/>
        <w:tblInd w:w="0" w:type="dxa"/>
        <w:tblLayout w:type="fixed"/>
        <w:tblCellMar>
          <w:top w:w="28" w:type="dxa"/>
          <w:left w:w="28" w:type="dxa"/>
          <w:bottom w:w="28" w:type="dxa"/>
          <w:right w:w="28" w:type="dxa"/>
        </w:tblCellMar>
      </w:tblPr>
      <w:tblGrid>
        <w:gridCol w:w="349"/>
        <w:gridCol w:w="306"/>
        <w:gridCol w:w="308"/>
        <w:gridCol w:w="728"/>
        <w:gridCol w:w="440"/>
        <w:gridCol w:w="442"/>
        <w:gridCol w:w="109"/>
        <w:gridCol w:w="109"/>
        <w:gridCol w:w="109"/>
        <w:gridCol w:w="344"/>
        <w:gridCol w:w="834"/>
        <w:gridCol w:w="178"/>
        <w:gridCol w:w="109"/>
        <w:gridCol w:w="109"/>
        <w:gridCol w:w="109"/>
        <w:gridCol w:w="886"/>
        <w:gridCol w:w="716"/>
        <w:gridCol w:w="718"/>
        <w:gridCol w:w="109"/>
        <w:gridCol w:w="109"/>
        <w:gridCol w:w="109"/>
        <w:gridCol w:w="750"/>
        <w:gridCol w:w="1663"/>
        <w:gridCol w:w="562"/>
      </w:tblGrid>
      <w:tr>
        <w:trPr/>
        <w:tc>
          <w:tcPr>
            <w:tcW w:w="3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Period and Class</w:t>
            </w:r>
          </w:p>
        </w:tc>
        <w:tc>
          <w:tcPr>
            <w:tcW w:w="1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 Total Number of Shares (or Units)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 Average Price Paid Per Share (or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(c) Total number of Shares Purchased as Part of Publicly Announced Plans or Programs </w:t>
            </w:r>
            <w:r>
              <w:rPr>
                <w:rFonts w:ascii="Times New Roman;serif" w:hAnsi="Times New Roman;serif"/>
                <w:b/>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 Maximum Number (or approved Dollar Value) of Shares (or Units) that May Yet be Purchased Under the plans or Programs (in thousands)</w:t>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Class D</w:t>
            </w:r>
          </w:p>
        </w:tc>
        <w:tc>
          <w:tcPr>
            <w:tcW w:w="16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129,543 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129,543 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129,543 </w:t>
            </w:r>
          </w:p>
        </w:tc>
        <w:tc>
          <w:tcPr>
            <w:tcW w:w="4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129,543 </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6"/>
        </w:rPr>
        <w:t xml:space="preserve">On June 17, 2026, the Company’s Board of Directors approved an employee share repurchase program to repurchase up to $1.0 million of the Company's outstanding Class A and/or Class D Common Stock during any single calendar year (collectively, the “2026 Annual Repurchase Program”). </w:t>
      </w:r>
      <w:r>
        <w:rPr>
          <w:rFonts w:ascii="Times New Roman;serif" w:hAnsi="Times New Roman;serif"/>
          <w:b w:val="false"/>
          <w:color w:val="000000"/>
          <w:sz w:val="16"/>
          <w:shd w:fill="FFFFFF" w:val="clear"/>
        </w:rPr>
        <w:t xml:space="preserve">See Note </w:t>
      </w:r>
      <w:r>
        <w:rPr>
          <w:rFonts w:ascii="Times New Roman;serif" w:hAnsi="Times New Roman;serif"/>
          <w:b w:val="false"/>
          <w:i/>
          <w:color w:val="000000"/>
          <w:sz w:val="16"/>
        </w:rPr>
        <w:t>11</w:t>
      </w:r>
      <w:r>
        <w:rPr>
          <w:color w:val="000000"/>
          <w:shd w:fill="FFFFFF" w:val="clear"/>
        </w:rPr>
        <w:t xml:space="preserve"> – </w:t>
      </w:r>
      <w:r>
        <w:rPr>
          <w:rFonts w:ascii="Times New Roman;serif" w:hAnsi="Times New Roman;serif"/>
          <w:b w:val="false"/>
          <w:i/>
          <w:color w:val="000000"/>
          <w:sz w:val="16"/>
        </w:rPr>
        <w:t>Stockholders Equity</w:t>
      </w:r>
      <w:r>
        <w:rPr>
          <w:color w:val="000000"/>
          <w:shd w:fill="FFFFFF" w:val="clear"/>
        </w:rPr>
        <w:t xml:space="preserve"> </w:t>
      </w:r>
      <w:r>
        <w:rPr>
          <w:rFonts w:ascii="Times New Roman;serif" w:hAnsi="Times New Roman;serif"/>
          <w:b w:val="false"/>
          <w:color w:val="000000"/>
          <w:sz w:val="16"/>
          <w:shd w:fill="FFFFFF" w:val="clear"/>
        </w:rPr>
        <w:t>of the Company’s unaudited condensed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Defaults Upon Senior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0" w:after="0"/>
        <w:ind w:left="0" w:right="0" w:firstLine="720"/>
        <w:jc w:val="both"/>
        <w:rPr/>
      </w:pPr>
      <w:r>
        <w:rPr>
          <w:rFonts w:ascii="Times New Roman;serif" w:hAnsi="Times New Roman;serif"/>
          <w:b w:val="false"/>
          <w:color w:val="242424"/>
          <w:sz w:val="20"/>
          <w:shd w:fill="FFFFFF" w:val="clear"/>
        </w:rPr>
        <w:t xml:space="preserve">During the </w:t>
      </w:r>
      <w:r>
        <w:rPr>
          <w:rFonts w:ascii="Times New Roman;serif" w:hAnsi="Times New Roman;serif"/>
          <w:b w:val="false"/>
          <w:color w:val="000000"/>
          <w:sz w:val="20"/>
        </w:rPr>
        <w:t>three months ended June 30, 2026</w:t>
      </w:r>
      <w:r>
        <w:rPr>
          <w:rFonts w:ascii="Times New Roman;serif" w:hAnsi="Times New Roman;serif"/>
          <w:b w:val="false"/>
          <w:color w:val="242424"/>
          <w:sz w:val="20"/>
          <w:shd w:fill="FFFFFF" w:val="clear"/>
        </w:rPr>
        <w:t>, none of our directors or officers (as defined in Rule 16a-1(f) under the Exchange Act) adopted or terminated a Rule 10b5-1 trading arrangement intended to satisfy the affirmative defenses of Rule 10b5-1 under the Securities Exchange Act of 1934 or a “non-Rule 10b5-1 trading arrangement,”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5"/>
        <w:gridCol w:w="2645"/>
        <w:gridCol w:w="37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uone-20260630xexx311.htm">
              <w:r>
                <w:rPr>
                  <w:rStyle w:val="InternetLink"/>
                  <w:rFonts w:ascii="Times New Roman;serif" w:hAnsi="Times New Roman;serif"/>
                  <w:b w:val="false"/>
                  <w:color w:val="0000EE"/>
                  <w:sz w:val="20"/>
                  <w:u w:val="single"/>
                </w:rPr>
                <w:t>Certification of Chief Executive Officer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uone-20260630xexx312.htm">
              <w:r>
                <w:rPr>
                  <w:rStyle w:val="InternetLink"/>
                  <w:rFonts w:ascii="Times New Roman;serif" w:hAnsi="Times New Roman;serif"/>
                  <w:b w:val="false"/>
                  <w:color w:val="0000EE"/>
                  <w:sz w:val="20"/>
                  <w:u w:val="single"/>
                </w:rPr>
                <w:t>Certification of Chief Financial Officer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uone-20260630xexx321.htm">
              <w:r>
                <w:rPr>
                  <w:rStyle w:val="InternetLink"/>
                  <w:rFonts w:ascii="Times New Roman;serif" w:hAnsi="Times New Roman;serif"/>
                  <w:b w:val="false"/>
                  <w:color w:val="0000EE"/>
                  <w:sz w:val="20"/>
                  <w:u w:val="single"/>
                </w:rPr>
                <w:t>Certification of Chief Executive Officer pursuant to 18 U.S.C. §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uone-20260630xexx322.htm">
              <w:r>
                <w:rPr>
                  <w:rStyle w:val="InternetLink"/>
                  <w:rFonts w:ascii="Times New Roman;serif" w:hAnsi="Times New Roman;serif"/>
                  <w:b w:val="false"/>
                  <w:color w:val="0000EE"/>
                  <w:sz w:val="20"/>
                  <w:u w:val="single"/>
                </w:rPr>
                <w:t>Certification of Chief Financial Officer pursuant to 18 U.S.C. §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information from the Quarterly Report on Form 10-Q for the quarter ended June 30, 2026, formatted in Inline XBRL.</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or 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96288400dc849bb930a6b2e1aea9fbb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057" w:type="dxa"/>
        <w:jc w:val="left"/>
        <w:tblInd w:w="0" w:type="dxa"/>
        <w:tblLayout w:type="fixed"/>
        <w:tblCellMar>
          <w:top w:w="28" w:type="dxa"/>
          <w:left w:w="28" w:type="dxa"/>
          <w:bottom w:w="28" w:type="dxa"/>
          <w:right w:w="28" w:type="dxa"/>
        </w:tblCellMar>
      </w:tblPr>
      <w:tblGrid>
        <w:gridCol w:w="124"/>
        <w:gridCol w:w="109"/>
        <w:gridCol w:w="109"/>
        <w:gridCol w:w="795"/>
        <w:gridCol w:w="795"/>
        <w:gridCol w:w="11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URBAN ONE,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 THOMPSON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Peter D. Thompson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Executive Vice President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August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60" w:after="283"/>
        <w:jc w:val="both"/>
        <w:rPr>
          <w:rFonts w:ascii="Times New Roman;serif" w:hAnsi="Times New Roman;serif"/>
          <w:b w:val="false"/>
          <w:color w:val="000000"/>
          <w:sz w:val="20"/>
        </w:rPr>
      </w:pPr>
      <w:r>
        <w:rPr>
          <w:rFonts w:ascii="Times New Roman;serif" w:hAnsi="Times New Roman;serif"/>
          <w:b w:val="false"/>
          <w:color w:val="000000"/>
          <w:sz w:val="20"/>
        </w:rPr>
        <w:t>I, Alfred C. Liggins, III, Chief Executive Officer and President of Urban One, Inc., certify that:</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Urban One, Inc.;</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first quarter in the case of this report) that has materially affected, or is reasonably likely to materially affect, the registrant’s internal control over financial reporting; and</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8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49"/>
        <w:gridCol w:w="949"/>
        <w:gridCol w:w="13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Alfred C. Liggins,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Alfred C. Liggins,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60" w:after="283"/>
        <w:jc w:val="both"/>
        <w:rPr>
          <w:rFonts w:ascii="Times New Roman;serif" w:hAnsi="Times New Roman;serif"/>
          <w:b w:val="false"/>
          <w:color w:val="000000"/>
          <w:sz w:val="20"/>
        </w:rPr>
      </w:pPr>
      <w:r>
        <w:rPr>
          <w:rFonts w:ascii="Times New Roman;serif" w:hAnsi="Times New Roman;serif"/>
          <w:b w:val="false"/>
          <w:color w:val="000000"/>
          <w:sz w:val="20"/>
        </w:rPr>
        <w:t>I, Peter D. Thompson, Executive Vice President, Chief Financial Officer and Principal Accounting Officer of Urban One, Inc., certify that:</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Urban One, Inc.;</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first quarter in the case of this report) that has materially affected, or is reasonably likely to materially affect, the registrant’s internal control over financial reporting; and</w:t>
      </w:r>
    </w:p>
    <w:p>
      <w:pPr>
        <w:pStyle w:val="TextBody"/>
        <w:bidi w:val="0"/>
        <w:spacing w:lineRule="auto" w:line="288" w:before="2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60" w:after="283"/>
        <w:ind w:left="0" w:right="0" w:hanging="418"/>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10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421"/>
        <w:gridCol w:w="1421"/>
        <w:gridCol w:w="201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 Thompson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D. Thompson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Principal Accounting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2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Urban One, Inc. (the “Company”) hereby certifies, to such officer’s knowledge, that:</w:t>
      </w:r>
    </w:p>
    <w:p>
      <w:pPr>
        <w:pStyle w:val="TextBody"/>
        <w:bidi w:val="0"/>
        <w:spacing w:lineRule="auto" w:line="288" w:before="2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three months ended June 30, 2026 (the “Report”) fully complies with the requirements of Section 13(a) or Section 15(d), as applicable, of the Securities Exchange Act of 1934, as amended; and</w:t>
      </w:r>
    </w:p>
    <w:p>
      <w:pPr>
        <w:pStyle w:val="TextBody"/>
        <w:bidi w:val="0"/>
        <w:spacing w:lineRule="auto" w:line="288" w:before="2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641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320"/>
        <w:gridCol w:w="320"/>
        <w:gridCol w:w="320"/>
        <w:gridCol w:w="928"/>
        <w:gridCol w:w="928"/>
        <w:gridCol w:w="135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416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Alfred C. Liggins,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Alfred C. Liggins, III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 signed original of this written statement required by Section 906 has been provided to Urban One, Inc. and will be retained by Urban One,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2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Urban One, Inc. (the “Company”) hereby certifies, to such officer’s knowledge, that:</w:t>
      </w:r>
    </w:p>
    <w:p>
      <w:pPr>
        <w:pStyle w:val="TextBody"/>
        <w:bidi w:val="0"/>
        <w:spacing w:lineRule="auto" w:line="288" w:before="2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three months ended June 30, 2026 (the “Report”) fully complies with the requirements of Section 13(a) or Section 15(d), as applicable, of the Securities Exchange Act of 1934, as amended; and</w:t>
      </w:r>
    </w:p>
    <w:p>
      <w:pPr>
        <w:pStyle w:val="TextBody"/>
        <w:bidi w:val="0"/>
        <w:spacing w:lineRule="auto" w:line="288" w:before="2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7590"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301"/>
        <w:gridCol w:w="301"/>
        <w:gridCol w:w="301"/>
        <w:gridCol w:w="1297"/>
        <w:gridCol w:w="1297"/>
        <w:gridCol w:w="184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534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 Thompson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D. Thompson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 signed original of this written statement required by Section 906 has been provided to Urban One, Inc. and will be retained by Urban One,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28559</Words>
  <Characters>160087</Characters>
  <CharactersWithSpaces>186049</CharactersWithSpaces>
  <Paragraphs>3840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