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June 17, 2026</w:t>
      </w:r>
    </w:p>
    <w:p>
      <w:pPr>
        <w:spacing w:after="0" w:line="264" w:lineRule="exact"/>
        <w:rPr>
          <w:sz w:val="24"/>
          <w:szCs w:val="24"/>
          <w:color w:val="auto"/>
        </w:rPr>
      </w:pPr>
    </w:p>
    <w:p>
      <w:pPr>
        <w:ind w:left="6560"/>
        <w:spacing w:after="0"/>
        <w:rPr>
          <w:sz w:val="20"/>
          <w:szCs w:val="20"/>
          <w:color w:val="auto"/>
        </w:rPr>
      </w:pPr>
      <w:r>
        <w:rPr>
          <w:rFonts w:ascii="Times New Roman" w:cs="Times New Roman" w:eastAsia="Times New Roman" w:hAnsi="Times New Roman"/>
          <w:sz w:val="17"/>
          <w:szCs w:val="17"/>
          <w:b w:val="1"/>
          <w:bCs w:val="1"/>
          <w:color w:val="auto"/>
        </w:rPr>
        <w:t>Registration No. 333-_______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-345440</wp:posOffset>
            </wp:positionH>
            <wp:positionV relativeFrom="paragraph">
              <wp:posOffset>27305</wp:posOffset>
            </wp:positionV>
            <wp:extent cx="64122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2019935</wp:posOffset>
            </wp:positionH>
            <wp:positionV relativeFrom="paragraph">
              <wp:posOffset>440055</wp:posOffset>
            </wp:positionV>
            <wp:extent cx="1680210" cy="488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8021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URBAN ONE, INC.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Company as specified in its charter)</w:t>
      </w:r>
    </w:p>
    <w:p>
      <w:pPr>
        <w:sectPr>
          <w:pgSz w:w="11900" w:h="16838" w:orient="portrait"/>
          <w:cols w:equalWidth="0" w:num="1">
            <w:col w:w="9019"/>
          </w:cols>
          <w:pgMar w:left="1440" w:top="860" w:right="1440" w:bottom="49" w:gutter="0" w:footer="0" w:header="0"/>
        </w:sectPr>
      </w:pPr>
    </w:p>
    <w:p>
      <w:pPr>
        <w:spacing w:after="0" w:line="200" w:lineRule="exact"/>
        <w:rPr>
          <w:sz w:val="24"/>
          <w:szCs w:val="24"/>
          <w:color w:val="auto"/>
        </w:rPr>
      </w:pPr>
    </w:p>
    <w:p>
      <w:pPr>
        <w:spacing w:after="0" w:line="271" w:lineRule="exact"/>
        <w:rPr>
          <w:sz w:val="24"/>
          <w:szCs w:val="24"/>
          <w:color w:val="auto"/>
        </w:rPr>
      </w:pPr>
    </w:p>
    <w:p>
      <w:pPr>
        <w:jc w:val="center"/>
        <w:ind w:right="3280"/>
        <w:spacing w:after="0"/>
        <w:rPr>
          <w:sz w:val="20"/>
          <w:szCs w:val="20"/>
          <w:color w:val="auto"/>
        </w:rPr>
      </w:pPr>
      <w:r>
        <w:rPr>
          <w:rFonts w:ascii="Times New Roman" w:cs="Times New Roman" w:eastAsia="Times New Roman" w:hAnsi="Times New Roman"/>
          <w:sz w:val="18"/>
          <w:szCs w:val="18"/>
          <w:b w:val="1"/>
          <w:bCs w:val="1"/>
          <w:color w:val="auto"/>
        </w:rPr>
        <w:t>Delaware</w:t>
      </w:r>
    </w:p>
    <w:p>
      <w:pPr>
        <w:ind w:left="180"/>
        <w:spacing w:after="0" w:line="226" w:lineRule="auto"/>
        <w:rPr>
          <w:sz w:val="20"/>
          <w:szCs w:val="20"/>
          <w:color w:val="auto"/>
        </w:rPr>
      </w:pPr>
      <w:r>
        <w:rPr>
          <w:rFonts w:ascii="Times New Roman" w:cs="Times New Roman" w:eastAsia="Times New Roman" w:hAnsi="Times New Roman"/>
          <w:sz w:val="18"/>
          <w:szCs w:val="18"/>
          <w:b w:val="1"/>
          <w:bCs w:val="1"/>
          <w:color w:val="auto"/>
        </w:rPr>
        <w:t>(State or other jurisdiction of</w:t>
      </w:r>
    </w:p>
    <w:p>
      <w:pPr>
        <w:ind w:left="1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1010 Wayne Avenue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52-1166660</w:t>
      </w:r>
    </w:p>
    <w:p>
      <w:pPr>
        <w:ind w:left="40"/>
        <w:spacing w:after="0" w:line="226" w:lineRule="auto"/>
        <w:rPr>
          <w:sz w:val="20"/>
          <w:szCs w:val="20"/>
          <w:color w:val="auto"/>
        </w:rPr>
      </w:pPr>
      <w:r>
        <w:rPr>
          <w:rFonts w:ascii="Times New Roman" w:cs="Times New Roman" w:eastAsia="Times New Roman" w:hAnsi="Times New Roman"/>
          <w:sz w:val="18"/>
          <w:szCs w:val="18"/>
          <w:b w:val="1"/>
          <w:bCs w:val="1"/>
          <w:color w:val="auto"/>
        </w:rPr>
        <w:t>(I.R.S. Employer</w:t>
      </w:r>
    </w:p>
    <w:p>
      <w:pPr>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876" w:lineRule="exact"/>
        <w:rPr>
          <w:sz w:val="24"/>
          <w:szCs w:val="24"/>
          <w:color w:val="auto"/>
        </w:rPr>
      </w:pPr>
    </w:p>
    <w:p>
      <w:pPr>
        <w:sectPr>
          <w:pgSz w:w="11900" w:h="16838" w:orient="portrait"/>
          <w:cols w:equalWidth="0" w:num="2">
            <w:col w:w="5960" w:space="720"/>
            <w:col w:w="2339"/>
          </w:cols>
          <w:pgMar w:left="1440" w:top="860" w:right="1440" w:bottom="49" w:gutter="0" w:footer="0" w:header="0"/>
          <w:type w:val="continuous"/>
        </w:sectPr>
      </w:pPr>
    </w:p>
    <w:p>
      <w:pPr>
        <w:spacing w:after="0" w:line="52"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14th Floor</w:t>
      </w:r>
    </w:p>
    <w:p>
      <w:pPr>
        <w:spacing w:after="0" w:line="2"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Silver Spring, Maryland 20910</w:t>
      </w:r>
    </w:p>
    <w:p>
      <w:pPr>
        <w:jc w:val="center"/>
        <w:ind w:right="19"/>
        <w:spacing w:after="0" w:line="234" w:lineRule="auto"/>
        <w:rPr>
          <w:sz w:val="20"/>
          <w:szCs w:val="20"/>
          <w:color w:val="auto"/>
        </w:rPr>
      </w:pPr>
      <w:r>
        <w:rPr>
          <w:rFonts w:ascii="Times New Roman" w:cs="Times New Roman" w:eastAsia="Times New Roman" w:hAnsi="Times New Roman"/>
          <w:sz w:val="18"/>
          <w:szCs w:val="18"/>
          <w:b w:val="1"/>
          <w:bCs w:val="1"/>
          <w:color w:val="auto"/>
        </w:rPr>
        <w:t>(Address, including zip code of Company’s principal executive offices)</w:t>
      </w:r>
    </w:p>
    <w:p>
      <w:pPr>
        <w:spacing w:after="0" w:line="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Urban One, Inc. 2026 Equity and Performance Incentive Plan</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219"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Peter D. Thompson, Chief Financial Officer</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Urban One, Inc.</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1010 Wayne Avenue</w:t>
      </w:r>
    </w:p>
    <w:p>
      <w:pPr>
        <w:jc w:val="center"/>
        <w:ind w:right="19"/>
        <w:spacing w:after="0" w:line="234" w:lineRule="auto"/>
        <w:rPr>
          <w:sz w:val="20"/>
          <w:szCs w:val="20"/>
          <w:color w:val="auto"/>
        </w:rPr>
      </w:pPr>
      <w:r>
        <w:rPr>
          <w:rFonts w:ascii="Times New Roman" w:cs="Times New Roman" w:eastAsia="Times New Roman" w:hAnsi="Times New Roman"/>
          <w:sz w:val="18"/>
          <w:szCs w:val="18"/>
          <w:b w:val="1"/>
          <w:bCs w:val="1"/>
          <w:color w:val="auto"/>
        </w:rPr>
        <w:t>14th Floor</w:t>
      </w:r>
    </w:p>
    <w:p>
      <w:pPr>
        <w:jc w:val="center"/>
        <w:ind w:right="19"/>
        <w:spacing w:after="0" w:line="235" w:lineRule="auto"/>
        <w:rPr>
          <w:sz w:val="20"/>
          <w:szCs w:val="20"/>
          <w:color w:val="auto"/>
        </w:rPr>
      </w:pPr>
      <w:r>
        <w:rPr>
          <w:rFonts w:ascii="Times New Roman" w:cs="Times New Roman" w:eastAsia="Times New Roman" w:hAnsi="Times New Roman"/>
          <w:sz w:val="18"/>
          <w:szCs w:val="18"/>
          <w:b w:val="1"/>
          <w:bCs w:val="1"/>
          <w:color w:val="auto"/>
        </w:rPr>
        <w:t>Silver Spring, Maryland 20910</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(301) 429-3200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(Name, address, including zip code, and telephone number, including area code, of agent for service)</w:t>
      </w:r>
    </w:p>
    <w:p>
      <w:pPr>
        <w:spacing w:after="0" w:line="232"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 Kristopher Simpson, Chief Legal Officer</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Urban One, Inc.</w:t>
      </w:r>
    </w:p>
    <w:p>
      <w:pPr>
        <w:jc w:val="center"/>
        <w:ind w:right="19"/>
        <w:spacing w:after="0" w:line="234" w:lineRule="auto"/>
        <w:rPr>
          <w:sz w:val="20"/>
          <w:szCs w:val="20"/>
          <w:color w:val="auto"/>
        </w:rPr>
      </w:pPr>
      <w:r>
        <w:rPr>
          <w:rFonts w:ascii="Times New Roman" w:cs="Times New Roman" w:eastAsia="Times New Roman" w:hAnsi="Times New Roman"/>
          <w:sz w:val="18"/>
          <w:szCs w:val="18"/>
          <w:b w:val="1"/>
          <w:bCs w:val="1"/>
          <w:color w:val="auto"/>
        </w:rPr>
        <w:t>1010 Wayne Avenue</w:t>
      </w:r>
    </w:p>
    <w:p>
      <w:pPr>
        <w:jc w:val="center"/>
        <w:ind w:right="19"/>
        <w:spacing w:after="0" w:line="235" w:lineRule="auto"/>
        <w:rPr>
          <w:sz w:val="20"/>
          <w:szCs w:val="20"/>
          <w:color w:val="auto"/>
        </w:rPr>
      </w:pPr>
      <w:r>
        <w:rPr>
          <w:rFonts w:ascii="Times New Roman" w:cs="Times New Roman" w:eastAsia="Times New Roman" w:hAnsi="Times New Roman"/>
          <w:sz w:val="18"/>
          <w:szCs w:val="18"/>
          <w:b w:val="1"/>
          <w:bCs w:val="1"/>
          <w:color w:val="auto"/>
        </w:rPr>
        <w:t>4th Floor</w:t>
      </w:r>
    </w:p>
    <w:p>
      <w:pPr>
        <w:jc w:val="center"/>
        <w:ind w:right="19"/>
        <w:spacing w:after="0" w:line="235" w:lineRule="auto"/>
        <w:rPr>
          <w:sz w:val="20"/>
          <w:szCs w:val="20"/>
          <w:color w:val="auto"/>
        </w:rPr>
      </w:pPr>
      <w:r>
        <w:rPr>
          <w:rFonts w:ascii="Times New Roman" w:cs="Times New Roman" w:eastAsia="Times New Roman" w:hAnsi="Times New Roman"/>
          <w:sz w:val="18"/>
          <w:szCs w:val="18"/>
          <w:b w:val="1"/>
          <w:bCs w:val="1"/>
          <w:color w:val="auto"/>
        </w:rPr>
        <w:t>Silver Spring, Maryland 20910</w:t>
      </w:r>
    </w:p>
    <w:p>
      <w:pPr>
        <w:ind w:left="4300" w:hanging="432"/>
        <w:spacing w:after="0" w:line="235" w:lineRule="auto"/>
        <w:tabs>
          <w:tab w:leader="none" w:pos="43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429-3200</w:t>
      </w:r>
    </w:p>
    <w:p>
      <w:pPr>
        <w:ind w:left="30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________________________________</w:t>
      </w:r>
    </w:p>
    <w:p>
      <w:pPr>
        <w:sectPr>
          <w:pgSz w:w="11900" w:h="16838" w:orient="portrait"/>
          <w:cols w:equalWidth="0" w:num="1">
            <w:col w:w="9019"/>
          </w:cols>
          <w:pgMar w:left="1440" w:top="860" w:right="1440" w:bottom="49" w:gutter="0" w:footer="0" w:header="0"/>
          <w:type w:val="continuous"/>
        </w:sectPr>
      </w:pPr>
    </w:p>
    <w:bookmarkStart w:id="1" w:name="page2"/>
    <w:bookmarkEnd w:id="1"/>
    <w:p>
      <w:pPr>
        <w:jc w:val="both"/>
        <w:spacing w:after="0" w:line="32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13"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220" w:type="dxa"/>
            <w:vAlign w:val="bottom"/>
          </w:tcPr>
          <w:p>
            <w:pPr>
              <w:ind w:left="140"/>
              <w:spacing w:after="0"/>
              <w:rPr>
                <w:sz w:val="20"/>
                <w:szCs w:val="20"/>
                <w:color w:val="auto"/>
              </w:rPr>
            </w:pPr>
            <w:r>
              <w:rPr>
                <w:rFonts w:ascii="Wingdings" w:cs="Wingdings" w:eastAsia="Wingdings" w:hAnsi="Wingdings"/>
                <w:sz w:val="16"/>
                <w:szCs w:val="16"/>
                <w:b w:val="1"/>
                <w:bCs w:val="1"/>
                <w:color w:val="auto"/>
              </w:rPr>
              <w:t>o</w:t>
            </w:r>
          </w:p>
        </w:tc>
        <w:tc>
          <w:tcPr>
            <w:tcW w:w="386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Accelerated filer</w:t>
            </w:r>
          </w:p>
        </w:tc>
        <w:tc>
          <w:tcPr>
            <w:tcW w:w="320" w:type="dxa"/>
            <w:vAlign w:val="bottom"/>
          </w:tcPr>
          <w:p>
            <w:pPr>
              <w:ind w:left="160"/>
              <w:spacing w:after="0"/>
              <w:rPr>
                <w:sz w:val="20"/>
                <w:szCs w:val="20"/>
                <w:color w:val="auto"/>
              </w:rPr>
            </w:pPr>
            <w:r>
              <w:rPr>
                <w:rFonts w:ascii="Wingdings" w:cs="Wingdings" w:eastAsia="Wingdings" w:hAnsi="Wingdings"/>
                <w:sz w:val="16"/>
                <w:szCs w:val="16"/>
                <w:b w:val="1"/>
                <w:bCs w:val="1"/>
                <w:color w:val="auto"/>
                <w:w w:val="97"/>
              </w:rPr>
              <w:t>o</w:t>
            </w:r>
          </w:p>
        </w:tc>
      </w:tr>
      <w:tr>
        <w:trPr>
          <w:trHeight w:val="243"/>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220" w:type="dxa"/>
            <w:vAlign w:val="bottom"/>
          </w:tcPr>
          <w:p>
            <w:pPr>
              <w:ind w:left="140"/>
              <w:spacing w:after="0"/>
              <w:rPr>
                <w:sz w:val="20"/>
                <w:szCs w:val="20"/>
                <w:color w:val="auto"/>
              </w:rPr>
            </w:pPr>
            <w:r>
              <w:rPr>
                <w:rFonts w:ascii="Wingdings" w:cs="Wingdings" w:eastAsia="Wingdings" w:hAnsi="Wingdings"/>
                <w:sz w:val="16"/>
                <w:szCs w:val="16"/>
                <w:b w:val="1"/>
                <w:bCs w:val="1"/>
                <w:color w:val="auto"/>
              </w:rPr>
              <w:t>x</w:t>
            </w:r>
          </w:p>
        </w:tc>
        <w:tc>
          <w:tcPr>
            <w:tcW w:w="386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20" w:type="dxa"/>
            <w:vAlign w:val="bottom"/>
          </w:tcPr>
          <w:p>
            <w:pPr>
              <w:ind w:left="160"/>
              <w:spacing w:after="0"/>
              <w:rPr>
                <w:sz w:val="20"/>
                <w:szCs w:val="20"/>
                <w:color w:val="auto"/>
              </w:rPr>
            </w:pPr>
            <w:r>
              <w:rPr>
                <w:rFonts w:ascii="Wingdings" w:cs="Wingdings" w:eastAsia="Wingdings" w:hAnsi="Wingdings"/>
                <w:sz w:val="16"/>
                <w:szCs w:val="16"/>
                <w:b w:val="1"/>
                <w:bCs w:val="1"/>
                <w:color w:val="auto"/>
                <w:w w:val="82"/>
              </w:rPr>
              <w:t>x</w:t>
            </w:r>
          </w:p>
        </w:tc>
      </w:tr>
      <w:tr>
        <w:trPr>
          <w:trHeight w:val="243"/>
        </w:trPr>
        <w:tc>
          <w:tcPr>
            <w:tcW w:w="15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86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Emerging growth company</w:t>
            </w:r>
          </w:p>
        </w:tc>
        <w:tc>
          <w:tcPr>
            <w:tcW w:w="320" w:type="dxa"/>
            <w:vAlign w:val="bottom"/>
          </w:tcPr>
          <w:p>
            <w:pPr>
              <w:ind w:left="160"/>
              <w:spacing w:after="0"/>
              <w:rPr>
                <w:sz w:val="20"/>
                <w:szCs w:val="20"/>
                <w:color w:val="auto"/>
              </w:rPr>
            </w:pPr>
            <w:r>
              <w:rPr>
                <w:rFonts w:ascii="Wingdings" w:cs="Wingdings" w:eastAsia="Wingdings" w:hAnsi="Wingdings"/>
                <w:sz w:val="16"/>
                <w:szCs w:val="16"/>
                <w:b w:val="1"/>
                <w:bCs w:val="1"/>
                <w:color w:val="auto"/>
                <w:w w:val="97"/>
              </w:rPr>
              <w:t>o</w:t>
            </w:r>
          </w:p>
        </w:tc>
      </w:tr>
    </w:tbl>
    <w:p>
      <w:pPr>
        <w:spacing w:after="0" w:line="10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cs="Wingdings" w:eastAsia="Wingdings" w:hAnsi="Wingdings"/>
          <w:sz w:val="16"/>
          <w:szCs w:val="16"/>
          <w:b w:val="1"/>
          <w:bCs w:val="1"/>
          <w:color w:val="auto"/>
        </w:rPr>
        <w:t>o</w:t>
      </w:r>
    </w:p>
    <w:p>
      <w:pPr>
        <w:sectPr>
          <w:pgSz w:w="11900" w:h="16838" w:orient="portrait"/>
          <w:cols w:equalWidth="0" w:num="1">
            <w:col w:w="11240"/>
          </w:cols>
          <w:pgMar w:left="320" w:top="14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INFORMATION REQUIRED IN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10(a) PROSPECTUS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General Instruction E of Form S-8, Urban One, Inc. (the “Company”) is filing this Registration Statement with the Securities and Exchange Commission (the “SEC”) to register (i) 1,000,000 shares of Class A Common Stock, par value $0.001 per share and (ii) 1,000,000 shares of Class D Common Stock, par value $0.001 per share (collectively, the “Common Stock”) under the Company’s 2026 Equity and Performance Incentive Plan. This Registration Statement hereby incorporates by reference the contents of the Company’s registration statements on Form S-8 filed with the SEC on November 12, 2024 (File No. 333-283176). Pursuant to General Instruction E to Form S-8, this Registration Statement hereby incorporates by reference the contents of the Registration Statements referenced above.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3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of the Company filed with the Commission are incorporated herein by reference:</w:t>
      </w:r>
    </w:p>
    <w:p>
      <w:pPr>
        <w:spacing w:after="0" w:line="117" w:lineRule="exact"/>
        <w:rPr>
          <w:sz w:val="20"/>
          <w:szCs w:val="20"/>
          <w:color w:val="auto"/>
        </w:rPr>
      </w:pPr>
    </w:p>
    <w:p>
      <w:pPr>
        <w:ind w:firstLine="656"/>
        <w:spacing w:after="0" w:line="282" w:lineRule="auto"/>
        <w:tabs>
          <w:tab w:leader="none" w:pos="129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descriptions of our Class A and Class D Common Stock, par value $.001 per share, contained in a registration statement on Form 8-A under the Exchange Act filed by the Company on May 17, 2000 and any amendments or reports filed for the purpose of updating such description;</w:t>
      </w:r>
    </w:p>
    <w:p>
      <w:pPr>
        <w:spacing w:after="0" w:line="53" w:lineRule="exact"/>
        <w:rPr>
          <w:rFonts w:ascii="Times New Roman" w:cs="Times New Roman" w:eastAsia="Times New Roman" w:hAnsi="Times New Roman"/>
          <w:sz w:val="18"/>
          <w:szCs w:val="18"/>
          <w:color w:val="auto"/>
        </w:rPr>
      </w:pPr>
    </w:p>
    <w:p>
      <w:pPr>
        <w:ind w:right="620" w:firstLine="656"/>
        <w:spacing w:after="0" w:line="282" w:lineRule="auto"/>
        <w:tabs>
          <w:tab w:leader="none" w:pos="129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Urban One’s Annual Report on Form 10-K for the year ended December 31, 2025, filed with the Commission on March 20, 2026 (Commission File No. 000-25969);</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Urban One’s quarterly report on Form 10-Q for the period ended March 31, 2026, filed with the Commission on May 14, 2026;</w:t>
      </w:r>
    </w:p>
    <w:p>
      <w:pPr>
        <w:spacing w:after="0" w:line="117" w:lineRule="exact"/>
        <w:rPr>
          <w:rFonts w:ascii="Times New Roman" w:cs="Times New Roman" w:eastAsia="Times New Roman" w:hAnsi="Times New Roman"/>
          <w:sz w:val="18"/>
          <w:szCs w:val="18"/>
          <w:color w:val="auto"/>
        </w:rPr>
      </w:pPr>
    </w:p>
    <w:p>
      <w:pPr>
        <w:ind w:right="180" w:firstLine="656"/>
        <w:spacing w:after="0" w:line="282" w:lineRule="auto"/>
        <w:tabs>
          <w:tab w:leader="none" w:pos="129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Urban One’s current reports on Form 8-K, filed with the Commission on each of January 20, 2026, February 11, 2026, March 17, 2026, May 4, 2026, May 14, 2026, and June 16, 2026; and</w:t>
      </w:r>
    </w:p>
    <w:p>
      <w:pPr>
        <w:spacing w:after="0" w:line="53" w:lineRule="exact"/>
        <w:rPr>
          <w:rFonts w:ascii="Times New Roman" w:cs="Times New Roman" w:eastAsia="Times New Roman" w:hAnsi="Times New Roman"/>
          <w:sz w:val="18"/>
          <w:szCs w:val="18"/>
          <w:color w:val="auto"/>
        </w:rPr>
      </w:pPr>
    </w:p>
    <w:p>
      <w:pPr>
        <w:ind w:firstLine="656"/>
        <w:spacing w:after="0" w:line="282" w:lineRule="auto"/>
        <w:tabs>
          <w:tab w:leader="none" w:pos="129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of the Company filed with the Commission pursuant to Section 13(a) or 15(d) of the Securities Exchange Act of 1934, as amended (the “Exchange Act”“) since the end of the fiscal year covered by the Company’s Annual Report referred to in (b) above.</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the extent that any information contained in any current report on Form 8-K, or any exhibit thereto, was furnished to, rather than filed with, the SEC, such information or exhibit is specifically not incorporated by reference in this prospectus.</w:t>
      </w:r>
    </w:p>
    <w:p>
      <w:pPr>
        <w:spacing w:after="0" w:line="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documents filed by Urban One or any of the plans listed on the cover page of this Registration Statement pursuant to Sections 13(a), 13(c), 14 and 15(d) of the Securities Exchange Act of 1934, as amended (“Exchange Act”) subsequent to the filing of this registration statement, and prior to the filing of a post-effective amendment that indicates that all securities offered hereby have been sold or which deregisters all securities remaining unsold, shall be deemed to be incorporated by reference in this registration statement and to be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that also is or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240"/>
          </w:cols>
          <w:pgMar w:left="320" w:top="141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56"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Unless otherwise indicated below as being incorporated by reference to another filing of the Company with the Commission, each of the following exhibits is filed herewith:</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102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Opinion of C. Kristopher Simpson, Chief Legal Officer.</w:t>
            </w:r>
          </w:p>
        </w:tc>
        <w:tc>
          <w:tcPr>
            <w:tcW w:w="6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Consent of C. Kristopher Simpson, Chief Legal Officer (included in Exhibit 5.1).</w:t>
            </w:r>
          </w:p>
        </w:tc>
        <w:tc>
          <w:tcPr>
            <w:tcW w:w="444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Consent of PricewaterhouseCoopers LLP, Independent Registered Public Accounting Firm.</w:t>
            </w:r>
          </w:p>
        </w:tc>
        <w:tc>
          <w:tcPr>
            <w:tcW w:w="37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Consent of Ernst &amp; Young LLP, Independent Registered Public Accounting Firm.</w:t>
            </w:r>
          </w:p>
        </w:tc>
        <w:tc>
          <w:tcPr>
            <w:tcW w:w="0" w:type="dxa"/>
            <w:vAlign w:val="bottom"/>
          </w:tcPr>
          <w:p>
            <w:pPr>
              <w:spacing w:after="0"/>
              <w:rPr>
                <w:sz w:val="1"/>
                <w:szCs w:val="1"/>
                <w:color w:val="auto"/>
              </w:rPr>
            </w:pPr>
          </w:p>
        </w:tc>
      </w:tr>
      <w:tr>
        <w:trPr>
          <w:trHeight w:val="210"/>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Power of Attorney (included on the signature page).</w:t>
            </w:r>
          </w:p>
        </w:tc>
        <w:tc>
          <w:tcPr>
            <w:tcW w:w="2120" w:type="dxa"/>
            <w:vAlign w:val="bottom"/>
            <w:tcBorders>
              <w:top w:val="single" w:sz="8" w:color="0000FF"/>
            </w:tcBorders>
            <w:gridSpan w:val="4"/>
          </w:tcPr>
          <w:p>
            <w:pPr>
              <w:spacing w:after="0"/>
              <w:rPr>
                <w:sz w:val="18"/>
                <w:szCs w:val="18"/>
                <w:color w:val="auto"/>
              </w:rPr>
            </w:pPr>
          </w:p>
        </w:tc>
        <w:tc>
          <w:tcPr>
            <w:tcW w:w="44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gridSpan w:val="9"/>
          </w:tcPr>
          <w:p>
            <w:pPr>
              <w:spacing w:after="0"/>
              <w:rPr>
                <w:rFonts w:ascii="Times New Roman" w:cs="Times New Roman" w:eastAsia="Times New Roman" w:hAnsi="Times New Roman"/>
                <w:sz w:val="18"/>
                <w:szCs w:val="18"/>
                <w:color w:val="0000FF"/>
              </w:rPr>
            </w:pPr>
            <w:hyperlink r:id="rId10">
              <w:r>
                <w:rPr>
                  <w:rFonts w:ascii="Times New Roman" w:cs="Times New Roman" w:eastAsia="Times New Roman" w:hAnsi="Times New Roman"/>
                  <w:sz w:val="18"/>
                  <w:szCs w:val="18"/>
                  <w:color w:val="0000FF"/>
                </w:rPr>
                <w:t>Urban One 2026 Equity and Performance Incentive Plan (incorporated by reference from the Registrant’s Definitive Proxy Statement on</w:t>
              </w:r>
            </w:hyperlink>
          </w:p>
        </w:tc>
        <w:tc>
          <w:tcPr>
            <w:tcW w:w="0" w:type="dxa"/>
            <w:vAlign w:val="bottom"/>
          </w:tcPr>
          <w:p>
            <w:pPr>
              <w:spacing w:after="0"/>
              <w:rPr>
                <w:sz w:val="1"/>
                <w:szCs w:val="1"/>
                <w:color w:val="auto"/>
              </w:rPr>
            </w:pPr>
          </w:p>
        </w:tc>
      </w:tr>
      <w:tr>
        <w:trPr>
          <w:trHeight w:val="156"/>
        </w:trPr>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10">
              <w:r>
                <w:rPr>
                  <w:rFonts w:ascii="Times New Roman" w:cs="Times New Roman" w:eastAsia="Times New Roman" w:hAnsi="Times New Roman"/>
                  <w:sz w:val="16"/>
                  <w:szCs w:val="16"/>
                  <w:color w:val="0000FF"/>
                </w:rPr>
                <w:t>Schedule 14A filed with the Commission on May 8, 2026)</w:t>
              </w:r>
            </w:hyperlink>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Filing Fee Table</w:t>
            </w:r>
          </w:p>
        </w:tc>
        <w:tc>
          <w:tcPr>
            <w:tcW w:w="608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1220"/>
          </w:cols>
          <w:pgMar w:left="320" w:top="1413"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jc w:val="both"/>
        <w:ind w:firstLine="642"/>
        <w:spacing w:after="0" w:line="25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Company certifies that it has reasonable grounds to believe that it meets all of the requirements for filing on Form S-8 and has duly caused this Registration Statement to be signed on its behalf by the undersigned, thereunto duly authorized, in the City of Silver Spring, State of Maryland on this 17th day of June, 2026.</w:t>
      </w:r>
    </w:p>
    <w:p>
      <w:pPr>
        <w:spacing w:after="0" w:line="200" w:lineRule="exact"/>
        <w:rPr>
          <w:sz w:val="20"/>
          <w:szCs w:val="20"/>
          <w:color w:val="auto"/>
        </w:rPr>
      </w:pPr>
    </w:p>
    <w:p>
      <w:pPr>
        <w:spacing w:after="0" w:line="28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URBAN ONE, INC.</w:t>
      </w:r>
    </w:p>
    <w:p>
      <w:pPr>
        <w:spacing w:after="0" w:line="27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By: /S/ ALFRED C. LIGGINS,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26035</wp:posOffset>
            </wp:positionV>
            <wp:extent cx="33775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3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Alfred C. Liggins, III Chief Executive Officer and President</w:t>
      </w:r>
    </w:p>
    <w:p>
      <w:pPr>
        <w:sectPr>
          <w:pgSz w:w="11900" w:h="16838" w:orient="portrait"/>
          <w:cols w:equalWidth="0" w:num="1">
            <w:col w:w="11240"/>
          </w:cols>
          <w:pgMar w:left="320" w:top="65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jc w:val="both"/>
        <w:ind w:firstLine="642"/>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Alfred C. Liggins, III and Peter D. Thompson as his true and lawful attorney-in-fact and agent, with full power of substitution and resubstitution, for such person and in his name, place and stead, in any and all capacities, to sign any or all further amendments (including post-effective amendments) to this Registration Statement,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substitute or substitutes, may lawfully do or cause to be done by virtue hereof.</w:t>
      </w:r>
    </w:p>
    <w:p>
      <w:pPr>
        <w:spacing w:after="0" w:line="214" w:lineRule="exact"/>
        <w:rPr>
          <w:sz w:val="20"/>
          <w:szCs w:val="20"/>
          <w:color w:val="auto"/>
        </w:rPr>
      </w:pPr>
    </w:p>
    <w:p>
      <w:pPr>
        <w:jc w:val="both"/>
        <w:ind w:firstLine="64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indicated.</w:t>
      </w:r>
    </w:p>
    <w:p>
      <w:pPr>
        <w:sectPr>
          <w:pgSz w:w="11900" w:h="16838" w:orient="portrait"/>
          <w:cols w:equalWidth="0" w:num="1">
            <w:col w:w="11240"/>
          </w:cols>
          <w:pgMar w:left="320" w:top="657" w:right="339" w:bottom="1440" w:gutter="0" w:footer="0" w:header="0"/>
        </w:sect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tc>
      </w:tr>
      <w:tr>
        <w:trPr>
          <w:trHeight w:val="289"/>
        </w:trPr>
        <w:tc>
          <w:tcPr>
            <w:tcW w:w="5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w:t>
            </w: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ALFRED C. LIGGINS, III</w:t>
            </w:r>
          </w:p>
        </w:tc>
      </w:tr>
      <w:tr>
        <w:trPr>
          <w:trHeight w:val="237"/>
        </w:trPr>
        <w:tc>
          <w:tcPr>
            <w:tcW w:w="54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Alfred C. Liggins, III</w:t>
            </w:r>
          </w:p>
        </w:tc>
      </w:tr>
      <w:tr>
        <w:trPr>
          <w:trHeight w:val="405"/>
        </w:trPr>
        <w:tc>
          <w:tcPr>
            <w:tcW w:w="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w:t>
            </w: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PETER D. THOMPSON</w:t>
            </w:r>
          </w:p>
        </w:tc>
      </w:tr>
      <w:tr>
        <w:trPr>
          <w:trHeight w:val="237"/>
        </w:trPr>
        <w:tc>
          <w:tcPr>
            <w:tcW w:w="54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Peter D. Thompson</w:t>
            </w:r>
          </w:p>
        </w:tc>
      </w:tr>
      <w:tr>
        <w:trPr>
          <w:trHeight w:val="297"/>
        </w:trPr>
        <w:tc>
          <w:tcPr>
            <w:tcW w:w="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w:t>
            </w: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CATHERINE H. HUGHES</w:t>
            </w:r>
          </w:p>
        </w:tc>
      </w:tr>
      <w:tr>
        <w:trPr>
          <w:trHeight w:val="237"/>
        </w:trPr>
        <w:tc>
          <w:tcPr>
            <w:tcW w:w="54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Catherine H. Hughes</w:t>
            </w:r>
          </w:p>
        </w:tc>
      </w:tr>
      <w:tr>
        <w:trPr>
          <w:trHeight w:val="297"/>
        </w:trPr>
        <w:tc>
          <w:tcPr>
            <w:tcW w:w="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w:t>
            </w: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 DOYLE MITCHELL, JR.</w:t>
            </w:r>
          </w:p>
        </w:tc>
      </w:tr>
      <w:tr>
        <w:trPr>
          <w:trHeight w:val="237"/>
        </w:trPr>
        <w:tc>
          <w:tcPr>
            <w:tcW w:w="54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 Doyle Mitchell</w:t>
            </w:r>
          </w:p>
        </w:tc>
      </w:tr>
      <w:tr>
        <w:trPr>
          <w:trHeight w:val="297"/>
        </w:trPr>
        <w:tc>
          <w:tcPr>
            <w:tcW w:w="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w:t>
            </w: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TERRY L. JONES</w:t>
            </w:r>
          </w:p>
        </w:tc>
      </w:tr>
      <w:tr>
        <w:trPr>
          <w:trHeight w:val="237"/>
        </w:trPr>
        <w:tc>
          <w:tcPr>
            <w:tcW w:w="54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Terry L. Jones</w:t>
            </w:r>
          </w:p>
        </w:tc>
      </w:tr>
      <w:tr>
        <w:trPr>
          <w:trHeight w:val="297"/>
        </w:trPr>
        <w:tc>
          <w:tcPr>
            <w:tcW w:w="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w:t>
            </w: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BRIAN W. MCNEILL</w:t>
            </w:r>
          </w:p>
        </w:tc>
      </w:tr>
      <w:tr>
        <w:trPr>
          <w:trHeight w:val="237"/>
        </w:trPr>
        <w:tc>
          <w:tcPr>
            <w:tcW w:w="54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Brian W. McNeill</w:t>
            </w:r>
          </w:p>
        </w:tc>
      </w:tr>
      <w:tr>
        <w:trPr>
          <w:trHeight w:val="297"/>
        </w:trPr>
        <w:tc>
          <w:tcPr>
            <w:tcW w:w="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w:t>
            </w: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 GEOFFREY ARMSTRONG</w:t>
            </w:r>
          </w:p>
        </w:tc>
      </w:tr>
      <w:tr>
        <w:trPr>
          <w:trHeight w:val="237"/>
        </w:trPr>
        <w:tc>
          <w:tcPr>
            <w:tcW w:w="54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 Geoffrey Armstrong</w:t>
            </w:r>
          </w:p>
        </w:tc>
      </w:tr>
    </w:tbl>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b w:val="1"/>
          <w:bCs w:val="1"/>
          <w:color w:val="auto"/>
        </w:rPr>
        <w:t>Title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Executive Officer, President and Director (Principal Executive Officer)</w:t>
      </w:r>
    </w:p>
    <w:p>
      <w:pPr>
        <w:spacing w:after="0" w:line="316" w:lineRule="exact"/>
        <w:rPr>
          <w:sz w:val="20"/>
          <w:szCs w:val="20"/>
          <w:color w:val="auto"/>
        </w:rPr>
      </w:pPr>
    </w:p>
    <w:p>
      <w:pPr>
        <w:ind w:right="340"/>
        <w:spacing w:after="0" w:line="245" w:lineRule="auto"/>
        <w:rPr>
          <w:sz w:val="20"/>
          <w:szCs w:val="20"/>
          <w:color w:val="auto"/>
        </w:rPr>
      </w:pPr>
      <w:r>
        <w:rPr>
          <w:rFonts w:ascii="Times New Roman" w:cs="Times New Roman" w:eastAsia="Times New Roman" w:hAnsi="Times New Roman"/>
          <w:sz w:val="16"/>
          <w:szCs w:val="16"/>
          <w:color w:val="auto"/>
        </w:rPr>
        <w:t>Executive Vice President and Chief Financial Officer (Principal Financial and Accounting Officer)</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Chairperson, Director</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6"/>
          <w:szCs w:val="16"/>
          <w:b w:val="1"/>
          <w:bCs w:val="1"/>
          <w:color w:val="auto"/>
        </w:rPr>
        <w:t>Date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ectPr>
          <w:pgSz w:w="11900" w:h="16838" w:orient="portrait"/>
          <w:cols w:equalWidth="0" w:num="3">
            <w:col w:w="3180" w:space="100"/>
            <w:col w:w="5400" w:space="720"/>
            <w:col w:w="1840"/>
          </w:cols>
          <w:pgMar w:left="320" w:top="657" w:right="339" w:bottom="1440" w:gutter="0" w:footer="0" w:header="0"/>
          <w:type w:val="continuous"/>
        </w:sectPr>
      </w:pPr>
    </w:p>
    <w:bookmarkStart w:id="6" w:name="page7"/>
    <w:bookmarkEnd w:id="6"/>
    <w:p>
      <w:pPr>
        <w:ind w:left="10440"/>
        <w:spacing w:after="0"/>
        <w:rPr>
          <w:sz w:val="20"/>
          <w:szCs w:val="20"/>
          <w:color w:val="auto"/>
        </w:rPr>
      </w:pPr>
      <w:r>
        <w:rPr>
          <w:rFonts w:ascii="Times New Roman" w:cs="Times New Roman" w:eastAsia="Times New Roman" w:hAnsi="Times New Roman"/>
          <w:sz w:val="17"/>
          <w:szCs w:val="17"/>
          <w:color w:val="auto"/>
        </w:rPr>
        <w:t>Exhibit 5.1</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Urban One, Inc.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1010 Wayne Avenue</w:t>
      </w:r>
    </w:p>
    <w:p>
      <w:pPr>
        <w:spacing w:after="0"/>
        <w:rPr>
          <w:sz w:val="20"/>
          <w:szCs w:val="20"/>
          <w:color w:val="auto"/>
        </w:rPr>
      </w:pPr>
      <w:r>
        <w:rPr>
          <w:rFonts w:ascii="Times New Roman" w:cs="Times New Roman" w:eastAsia="Times New Roman" w:hAnsi="Times New Roman"/>
          <w:sz w:val="18"/>
          <w:szCs w:val="18"/>
          <w:color w:val="auto"/>
        </w:rPr>
        <w:t>14th Floor</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 Spring, Maryland 20910</w:t>
      </w:r>
    </w:p>
    <w:p>
      <w:pPr>
        <w:spacing w:after="0" w:line="266" w:lineRule="exact"/>
        <w:rPr>
          <w:sz w:val="20"/>
          <w:szCs w:val="20"/>
          <w:color w:val="auto"/>
        </w:rPr>
      </w:pPr>
    </w:p>
    <w:p>
      <w:pPr>
        <w:ind w:left="360" w:right="1340" w:hanging="340"/>
        <w:spacing w:after="0" w:line="313" w:lineRule="auto"/>
        <w:tabs>
          <w:tab w:leader="none" w:pos="340" w:val="left"/>
        </w:tabs>
        <w:rPr>
          <w:sz w:val="20"/>
          <w:szCs w:val="20"/>
          <w:color w:val="auto"/>
        </w:rPr>
      </w:pPr>
      <w:r>
        <w:rPr>
          <w:rFonts w:ascii="Times New Roman" w:cs="Times New Roman" w:eastAsia="Times New Roman" w:hAnsi="Times New Roman"/>
          <w:sz w:val="18"/>
          <w:szCs w:val="18"/>
          <w:color w:val="auto"/>
        </w:rPr>
        <w:t>Re:</w:t>
        <w:tab/>
        <w:t>Registration Statement on Form S-8 for Shares of Class A and Class D Common Stock Issuable Under Urban One 2026 Equity and Performance Incentive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 am Senior Vice President and Chief Legal Officer of Urban One, Inc., a Delaware corporation (the “Company”), and I have acted as counsel in connection with the Registration Statement on Form S-8 (the “Registration Statement”) with respect to the registration under the Securities Act of 1933, as amended, of a total of 1,000,000 shares of the Company’s Class A Common Stock, par value $0.001 per share (the “Class A Common Stock”), and a total of 1,000,000 shares of the Company’s Class D Common Stock, par value $0.001 per share (the “Class D Common Stock” and, together with the Class A Common Stock, the “Shares”), issuable from time to time pursuant to awards granted under the Urban One 2026 Equity and Performance Incentive Plan (the “2026 Plan”).</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therewith, I, or attorneys under my direction, have examined, and relied upon the accuracy of factual matters contained in, the 2026 Plan and such other agreements, documents, corporate records and instruments as I have deemed necessary for the purposes of the opinion expressed below. In giving this opinion, I am assuming that the Shares will continue to be duly and validly authorized on the dates that the Shares are issued to participants pursuant to the terms of the 2026 Plan, and, upon the issuance of any of the Shares, the total number of shares of Class A Common Stock and/or Class D Common Stock issued and outstanding, after giving effect to such issuance of such Shares, will not exceed the total number of shares of Class A Common Stock and/or Class D Common Stock that the Company is then authorized to issue under its articles of incorporation.</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upon the foregoing, I am of the opinion that the Shares, when issued pursuant to awards granted in accordance with the terms of the 2026 Plan and in the manner contemplated by the 2026 Plan, will be legally issued, fully paid and non-assessable.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opinion is limited to the matters expressly stated herein. No implied opinion may be inferred to extend this opinion beyond the matters expressly stated herein. I do not undertake to advise you of any changes in the opinion expressed herein resulting from changes in law, changes in facts or any other matters that might occur or be brought to my attention after the date hereof. In addition, I consent to the attachment of this opinion to the Registration Statement and further consent to the use of my name wherever it may appear in the Registration Statement, including any prospectus constituting a part thereof, and any amendments thereto.</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 Kristopher Simpson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Kristopher Simpson</w:t>
      </w:r>
    </w:p>
    <w:p>
      <w:pPr>
        <w:spacing w:after="0"/>
        <w:rPr>
          <w:sz w:val="20"/>
          <w:szCs w:val="20"/>
          <w:color w:val="auto"/>
        </w:rPr>
      </w:pPr>
      <w:r>
        <w:rPr>
          <w:rFonts w:ascii="Times New Roman" w:cs="Times New Roman" w:eastAsia="Times New Roman" w:hAnsi="Times New Roman"/>
          <w:sz w:val="18"/>
          <w:szCs w:val="18"/>
          <w:color w:val="auto"/>
        </w:rPr>
        <w:t>Senior Vice President and Chief Legal Officer</w:t>
      </w:r>
    </w:p>
    <w:p>
      <w:pPr>
        <w:sectPr>
          <w:pgSz w:w="11900" w:h="16838" w:orient="portrait"/>
          <w:cols w:equalWidth="0" w:num="1">
            <w:col w:w="11240"/>
          </w:cols>
          <w:pgMar w:left="320" w:top="364"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Urban One, Inc.</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 Spring, Maryland</w:t>
      </w:r>
    </w:p>
    <w:p>
      <w:pPr>
        <w:spacing w:after="0" w:line="200" w:lineRule="exact"/>
        <w:rPr>
          <w:sz w:val="20"/>
          <w:szCs w:val="20"/>
          <w:color w:val="auto"/>
        </w:rPr>
      </w:pPr>
    </w:p>
    <w:p>
      <w:pPr>
        <w:spacing w:after="0" w:line="20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Urban One, Inc. of our report dated March 20, 2026 relating to the financial statements, which appears in Urban One, Inc.'s Annual Report on Form 10-K for the year ended December 31, 2025.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District Of Columbia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ectPr>
          <w:pgSz w:w="11900" w:h="16838" w:orient="portrait"/>
          <w:cols w:equalWidth="0" w:num="1">
            <w:col w:w="11240"/>
          </w:cols>
          <w:pgMar w:left="320" w:top="864"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Exhibit 23.2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Urban One,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 Spring, Maryland</w:t>
      </w:r>
    </w:p>
    <w:p>
      <w:pPr>
        <w:spacing w:after="0" w:line="342" w:lineRule="exact"/>
        <w:rPr>
          <w:sz w:val="20"/>
          <w:szCs w:val="20"/>
          <w:color w:val="auto"/>
        </w:rPr>
      </w:pPr>
    </w:p>
    <w:p>
      <w:pPr>
        <w:jc w:val="both"/>
        <w:ind w:right="280"/>
        <w:spacing w:after="0" w:line="281"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(Form S-8) pertaining to the 2026 Equity and Performance Incentive Plan of Urban One, Inc. of our report dated March 27, 2025, (except for the effects of the reverse stock split disclosed in Note 2 and the effects of the reportable segment changes disclosed in Note 18, as to which the date is March 20, 2026), with respect to the consolidated financial statements of Urban One, Inc. included in its Annual Report (Form 10-K) for the year ended December 31, 2024, filed with the Securities and Exchange Commission.</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Tysons,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ectPr>
          <w:pgSz w:w="11900" w:h="16838" w:orient="portrait"/>
          <w:cols w:equalWidth="0" w:num="1">
            <w:col w:w="11240"/>
          </w:cols>
          <w:pgMar w:left="320" w:top="756" w:right="339" w:bottom="1440" w:gutter="0" w:footer="0" w:header="0"/>
        </w:sectPr>
      </w:pPr>
    </w:p>
    <w:bookmarkStart w:id="9" w:name="page10"/>
    <w:bookmarkEnd w:id="9"/>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0D0D0D"/>
                <w:w w:val="97"/>
              </w:rPr>
              <w:t>Exhibit 107.1</w:t>
            </w:r>
          </w:p>
        </w:tc>
        <w:tc>
          <w:tcPr>
            <w:tcW w:w="0" w:type="dxa"/>
            <w:vAlign w:val="bottom"/>
          </w:tcPr>
          <w:p>
            <w:pPr>
              <w:spacing w:after="0"/>
              <w:rPr>
                <w:sz w:val="1"/>
                <w:szCs w:val="1"/>
                <w:color w:val="auto"/>
              </w:rPr>
            </w:pPr>
          </w:p>
        </w:tc>
      </w:tr>
      <w:tr>
        <w:trPr>
          <w:trHeight w:val="459"/>
        </w:trPr>
        <w:tc>
          <w:tcPr>
            <w:tcW w:w="11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4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0D0D0D"/>
                <w:w w:val="99"/>
              </w:rPr>
              <w:t>Calculation of Filing Fee Table</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0D0D0D"/>
                <w:w w:val="99"/>
              </w:rPr>
              <w:t>Form S-8</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0D0D0D"/>
                <w:w w:val="99"/>
              </w:rPr>
              <w:t>Urban One, Inc.</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6800" w:type="dxa"/>
            <w:vAlign w:val="bottom"/>
            <w:gridSpan w:val="5"/>
          </w:tcPr>
          <w:p>
            <w:pPr>
              <w:jc w:val="center"/>
              <w:ind w:left="2118"/>
              <w:spacing w:after="0"/>
              <w:rPr>
                <w:sz w:val="20"/>
                <w:szCs w:val="20"/>
                <w:color w:val="auto"/>
              </w:rPr>
            </w:pPr>
            <w:r>
              <w:rPr>
                <w:rFonts w:ascii="Times New Roman" w:cs="Times New Roman" w:eastAsia="Times New Roman" w:hAnsi="Times New Roman"/>
                <w:sz w:val="18"/>
                <w:szCs w:val="18"/>
                <w:b w:val="1"/>
                <w:bCs w:val="1"/>
                <w:color w:val="0D0D0D"/>
                <w:w w:val="99"/>
              </w:rPr>
              <w:t>Table 1: Newly Registered Securities</w:t>
            </w: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120" w:type="dxa"/>
            <w:vAlign w:val="bottom"/>
            <w:tcBorders>
              <w:bottom w:val="single" w:sz="8" w:color="auto"/>
            </w:tcBorders>
          </w:tcPr>
          <w:p>
            <w:pPr>
              <w:spacing w:after="0"/>
              <w:rPr>
                <w:sz w:val="23"/>
                <w:szCs w:val="23"/>
                <w:color w:val="auto"/>
              </w:rPr>
            </w:pPr>
          </w:p>
        </w:tc>
        <w:tc>
          <w:tcPr>
            <w:tcW w:w="32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1120" w:type="dxa"/>
            <w:vAlign w:val="bottom"/>
            <w:tcBorders>
              <w:left w:val="single" w:sz="8" w:color="auto"/>
              <w:right w:val="single" w:sz="8" w:color="auto"/>
            </w:tcBorders>
            <w:shd w:val="clear" w:color="auto" w:fill="CCEEFF"/>
          </w:tcPr>
          <w:p>
            <w:pPr>
              <w:ind w:left="80"/>
              <w:spacing w:after="0" w:line="155" w:lineRule="exact"/>
              <w:rPr>
                <w:sz w:val="20"/>
                <w:szCs w:val="20"/>
                <w:color w:val="auto"/>
              </w:rPr>
            </w:pPr>
            <w:r>
              <w:rPr>
                <w:rFonts w:ascii="Times New Roman" w:cs="Times New Roman" w:eastAsia="Times New Roman" w:hAnsi="Times New Roman"/>
                <w:sz w:val="16"/>
                <w:szCs w:val="16"/>
                <w:b w:val="1"/>
                <w:bCs w:val="1"/>
                <w:color w:val="0D0D0D"/>
              </w:rPr>
              <w:t>Security Type</w:t>
            </w:r>
          </w:p>
        </w:tc>
        <w:tc>
          <w:tcPr>
            <w:tcW w:w="3220" w:type="dxa"/>
            <w:vAlign w:val="bottom"/>
            <w:shd w:val="clear" w:color="auto" w:fill="CCEEFF"/>
          </w:tcPr>
          <w:p>
            <w:pPr>
              <w:ind w:left="1100"/>
              <w:spacing w:after="0" w:line="155" w:lineRule="exact"/>
              <w:rPr>
                <w:sz w:val="20"/>
                <w:szCs w:val="20"/>
                <w:color w:val="auto"/>
              </w:rPr>
            </w:pPr>
            <w:r>
              <w:rPr>
                <w:rFonts w:ascii="Times New Roman" w:cs="Times New Roman" w:eastAsia="Times New Roman" w:hAnsi="Times New Roman"/>
                <w:sz w:val="16"/>
                <w:szCs w:val="16"/>
                <w:b w:val="1"/>
                <w:bCs w:val="1"/>
                <w:color w:val="0D0D0D"/>
              </w:rPr>
              <w:t>Security Class Title</w:t>
            </w:r>
          </w:p>
        </w:tc>
        <w:tc>
          <w:tcPr>
            <w:tcW w:w="360" w:type="dxa"/>
            <w:vAlign w:val="bottom"/>
            <w:tcBorders>
              <w:right w:val="single" w:sz="8" w:color="auto"/>
            </w:tcBorders>
            <w:shd w:val="clear" w:color="auto" w:fill="CCEEFF"/>
          </w:tcPr>
          <w:p>
            <w:pPr>
              <w:spacing w:after="0"/>
              <w:rPr>
                <w:sz w:val="13"/>
                <w:szCs w:val="13"/>
                <w:color w:val="auto"/>
              </w:rPr>
            </w:pPr>
          </w:p>
        </w:tc>
        <w:tc>
          <w:tcPr>
            <w:tcW w:w="1020" w:type="dxa"/>
            <w:vAlign w:val="bottom"/>
            <w:tcBorders>
              <w:right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0D0D0D"/>
                <w:w w:val="99"/>
              </w:rPr>
              <w:t>Fee</w:t>
            </w:r>
          </w:p>
        </w:tc>
        <w:tc>
          <w:tcPr>
            <w:tcW w:w="1100" w:type="dxa"/>
            <w:vAlign w:val="bottom"/>
            <w:tcBorders>
              <w:right w:val="single" w:sz="8" w:color="auto"/>
            </w:tcBorders>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0D0D0D"/>
              </w:rPr>
              <w:t>Amount</w:t>
            </w:r>
          </w:p>
        </w:tc>
        <w:tc>
          <w:tcPr>
            <w:tcW w:w="11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0D0D0D"/>
                <w:w w:val="99"/>
              </w:rPr>
              <w:t>Proposed</w:t>
            </w:r>
          </w:p>
        </w:tc>
        <w:tc>
          <w:tcPr>
            <w:tcW w:w="1060" w:type="dxa"/>
            <w:vAlign w:val="bottom"/>
            <w:tcBorders>
              <w:right w:val="single" w:sz="8" w:color="auto"/>
            </w:tcBorders>
            <w:shd w:val="clear" w:color="auto" w:fill="CCEEFF"/>
          </w:tcPr>
          <w:p>
            <w:pPr>
              <w:ind w:left="160"/>
              <w:spacing w:after="0" w:line="155" w:lineRule="exact"/>
              <w:rPr>
                <w:sz w:val="20"/>
                <w:szCs w:val="20"/>
                <w:color w:val="auto"/>
              </w:rPr>
            </w:pPr>
            <w:r>
              <w:rPr>
                <w:rFonts w:ascii="Times New Roman" w:cs="Times New Roman" w:eastAsia="Times New Roman" w:hAnsi="Times New Roman"/>
                <w:sz w:val="16"/>
                <w:szCs w:val="16"/>
                <w:b w:val="1"/>
                <w:bCs w:val="1"/>
                <w:color w:val="0D0D0D"/>
              </w:rPr>
              <w:t>Maximum</w:t>
            </w:r>
          </w:p>
        </w:tc>
        <w:tc>
          <w:tcPr>
            <w:tcW w:w="1100" w:type="dxa"/>
            <w:vAlign w:val="bottom"/>
            <w:tcBorders>
              <w:right w:val="single" w:sz="8" w:color="auto"/>
            </w:tcBorders>
            <w:shd w:val="clear" w:color="auto" w:fill="CCEEFF"/>
          </w:tcPr>
          <w:p>
            <w:pPr>
              <w:jc w:val="right"/>
              <w:ind w:right="179"/>
              <w:spacing w:after="0" w:line="155" w:lineRule="exact"/>
              <w:rPr>
                <w:sz w:val="20"/>
                <w:szCs w:val="20"/>
                <w:color w:val="auto"/>
              </w:rPr>
            </w:pPr>
            <w:r>
              <w:rPr>
                <w:rFonts w:ascii="Times New Roman" w:cs="Times New Roman" w:eastAsia="Times New Roman" w:hAnsi="Times New Roman"/>
                <w:sz w:val="16"/>
                <w:szCs w:val="16"/>
                <w:b w:val="1"/>
                <w:bCs w:val="1"/>
                <w:color w:val="0D0D0D"/>
              </w:rPr>
              <w:t>Fee Rate</w:t>
            </w:r>
          </w:p>
        </w:tc>
        <w:tc>
          <w:tcPr>
            <w:tcW w:w="1180" w:type="dxa"/>
            <w:vAlign w:val="bottom"/>
            <w:tcBorders>
              <w:right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0D0D0D"/>
              </w:rPr>
              <w:t>Amount of</w:t>
            </w:r>
          </w:p>
        </w:tc>
        <w:tc>
          <w:tcPr>
            <w:tcW w:w="0" w:type="dxa"/>
            <w:vAlign w:val="bottom"/>
          </w:tcPr>
          <w:p>
            <w:pPr>
              <w:spacing w:after="0"/>
              <w:rPr>
                <w:sz w:val="1"/>
                <w:szCs w:val="1"/>
                <w:color w:val="auto"/>
              </w:rPr>
            </w:pPr>
          </w:p>
        </w:tc>
      </w:tr>
      <w:tr>
        <w:trPr>
          <w:trHeight w:val="79"/>
        </w:trPr>
        <w:tc>
          <w:tcPr>
            <w:tcW w:w="1120" w:type="dxa"/>
            <w:vAlign w:val="bottom"/>
            <w:tcBorders>
              <w:left w:val="single" w:sz="8" w:color="auto"/>
              <w:right w:val="single" w:sz="8" w:color="auto"/>
            </w:tcBorders>
            <w:shd w:val="clear" w:color="auto" w:fill="CCEEFF"/>
          </w:tcPr>
          <w:p>
            <w:pPr>
              <w:spacing w:after="0"/>
              <w:rPr>
                <w:sz w:val="6"/>
                <w:szCs w:val="6"/>
                <w:color w:val="auto"/>
              </w:rPr>
            </w:pPr>
          </w:p>
        </w:tc>
        <w:tc>
          <w:tcPr>
            <w:tcW w:w="3220" w:type="dxa"/>
            <w:vAlign w:val="bottom"/>
            <w:shd w:val="clear" w:color="auto" w:fill="CCEEFF"/>
          </w:tcPr>
          <w:p>
            <w:pPr>
              <w:spacing w:after="0"/>
              <w:rPr>
                <w:sz w:val="6"/>
                <w:szCs w:val="6"/>
                <w:color w:val="auto"/>
              </w:rPr>
            </w:pPr>
          </w:p>
        </w:tc>
        <w:tc>
          <w:tcPr>
            <w:tcW w:w="360" w:type="dxa"/>
            <w:vAlign w:val="bottom"/>
            <w:tcBorders>
              <w:right w:val="single" w:sz="8" w:color="auto"/>
            </w:tcBorders>
            <w:shd w:val="clear" w:color="auto" w:fill="CCEEFF"/>
          </w:tcPr>
          <w:p>
            <w:pPr>
              <w:spacing w:after="0"/>
              <w:rPr>
                <w:sz w:val="6"/>
                <w:szCs w:val="6"/>
                <w:color w:val="auto"/>
              </w:rPr>
            </w:pPr>
          </w:p>
        </w:tc>
        <w:tc>
          <w:tcPr>
            <w:tcW w:w="10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0D0D0D"/>
              </w:rPr>
              <w:t>Calculation</w:t>
            </w:r>
          </w:p>
        </w:tc>
        <w:tc>
          <w:tcPr>
            <w:tcW w:w="1100" w:type="dxa"/>
            <w:vAlign w:val="bottom"/>
            <w:tcBorders>
              <w:right w:val="single" w:sz="8" w:color="auto"/>
            </w:tcBorders>
            <w:vMerge w:val="continue"/>
            <w:shd w:val="clear" w:color="auto" w:fill="CCEEFF"/>
          </w:tcPr>
          <w:p>
            <w:pPr>
              <w:spacing w:after="0"/>
              <w:rPr>
                <w:sz w:val="6"/>
                <w:szCs w:val="6"/>
                <w:color w:val="auto"/>
              </w:rPr>
            </w:pPr>
          </w:p>
        </w:tc>
        <w:tc>
          <w:tcPr>
            <w:tcW w:w="1100" w:type="dxa"/>
            <w:vAlign w:val="bottom"/>
            <w:tcBorders>
              <w:right w:val="single" w:sz="8" w:color="auto"/>
            </w:tcBorders>
            <w:vMerge w:val="continue"/>
            <w:shd w:val="clear" w:color="auto" w:fill="CCEEFF"/>
          </w:tcPr>
          <w:p>
            <w:pPr>
              <w:spacing w:after="0"/>
              <w:rPr>
                <w:sz w:val="6"/>
                <w:szCs w:val="6"/>
                <w:color w:val="auto"/>
              </w:rPr>
            </w:pPr>
          </w:p>
        </w:tc>
        <w:tc>
          <w:tcPr>
            <w:tcW w:w="1060" w:type="dxa"/>
            <w:vAlign w:val="bottom"/>
            <w:tcBorders>
              <w:right w:val="single" w:sz="8" w:color="auto"/>
            </w:tcBorders>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0D0D0D"/>
              </w:rPr>
              <w:t>Aggregate</w:t>
            </w:r>
          </w:p>
        </w:tc>
        <w:tc>
          <w:tcPr>
            <w:tcW w:w="1100" w:type="dxa"/>
            <w:vAlign w:val="bottom"/>
            <w:tcBorders>
              <w:right w:val="single" w:sz="8" w:color="auto"/>
            </w:tcBorders>
            <w:shd w:val="clear" w:color="auto" w:fill="CCEEFF"/>
          </w:tcPr>
          <w:p>
            <w:pPr>
              <w:spacing w:after="0"/>
              <w:rPr>
                <w:sz w:val="6"/>
                <w:szCs w:val="6"/>
                <w:color w:val="auto"/>
              </w:rPr>
            </w:pPr>
          </w:p>
        </w:tc>
        <w:tc>
          <w:tcPr>
            <w:tcW w:w="11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0D0D0D"/>
                <w:w w:val="99"/>
              </w:rPr>
              <w:t>Registration</w:t>
            </w:r>
          </w:p>
        </w:tc>
        <w:tc>
          <w:tcPr>
            <w:tcW w:w="0" w:type="dxa"/>
            <w:vAlign w:val="bottom"/>
          </w:tcPr>
          <w:p>
            <w:pPr>
              <w:spacing w:after="0"/>
              <w:rPr>
                <w:sz w:val="1"/>
                <w:szCs w:val="1"/>
                <w:color w:val="auto"/>
              </w:rPr>
            </w:pPr>
          </w:p>
        </w:tc>
      </w:tr>
      <w:tr>
        <w:trPr>
          <w:trHeight w:val="164"/>
        </w:trPr>
        <w:tc>
          <w:tcPr>
            <w:tcW w:w="1120" w:type="dxa"/>
            <w:vAlign w:val="bottom"/>
            <w:tcBorders>
              <w:left w:val="single" w:sz="8" w:color="auto"/>
              <w:right w:val="single" w:sz="8" w:color="auto"/>
            </w:tcBorders>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360" w:type="dxa"/>
            <w:vAlign w:val="bottom"/>
            <w:tcBorders>
              <w:right w:val="single" w:sz="8" w:color="auto"/>
            </w:tcBorders>
            <w:shd w:val="clear" w:color="auto" w:fill="CCEEFF"/>
          </w:tcPr>
          <w:p>
            <w:pPr>
              <w:spacing w:after="0"/>
              <w:rPr>
                <w:sz w:val="14"/>
                <w:szCs w:val="14"/>
                <w:color w:val="auto"/>
              </w:rPr>
            </w:pPr>
          </w:p>
        </w:tc>
        <w:tc>
          <w:tcPr>
            <w:tcW w:w="1020" w:type="dxa"/>
            <w:vAlign w:val="bottom"/>
            <w:tcBorders>
              <w:right w:val="single" w:sz="8" w:color="auto"/>
            </w:tcBorders>
            <w:vMerge w:val="continue"/>
            <w:shd w:val="clear" w:color="auto" w:fill="CCEEFF"/>
          </w:tcPr>
          <w:p>
            <w:pPr>
              <w:spacing w:after="0"/>
              <w:rPr>
                <w:sz w:val="14"/>
                <w:szCs w:val="14"/>
                <w:color w:val="auto"/>
              </w:rPr>
            </w:pPr>
          </w:p>
        </w:tc>
        <w:tc>
          <w:tcPr>
            <w:tcW w:w="1100" w:type="dxa"/>
            <w:vAlign w:val="bottom"/>
            <w:tcBorders>
              <w:right w:val="single" w:sz="8" w:color="auto"/>
            </w:tcBorders>
            <w:shd w:val="clear" w:color="auto" w:fill="CCEEFF"/>
          </w:tcPr>
          <w:p>
            <w:pPr>
              <w:jc w:val="right"/>
              <w:ind w:right="40"/>
              <w:spacing w:after="0" w:line="164" w:lineRule="exact"/>
              <w:rPr>
                <w:sz w:val="20"/>
                <w:szCs w:val="20"/>
                <w:color w:val="auto"/>
              </w:rPr>
            </w:pPr>
            <w:r>
              <w:rPr>
                <w:rFonts w:ascii="Times New Roman" w:cs="Times New Roman" w:eastAsia="Times New Roman" w:hAnsi="Times New Roman"/>
                <w:sz w:val="15"/>
                <w:szCs w:val="15"/>
                <w:b w:val="1"/>
                <w:bCs w:val="1"/>
                <w:color w:val="0D0D0D"/>
              </w:rPr>
              <w:t xml:space="preserve">Registered </w:t>
            </w:r>
            <w:r>
              <w:rPr>
                <w:rFonts w:ascii="Times New Roman" w:cs="Times New Roman" w:eastAsia="Times New Roman" w:hAnsi="Times New Roman"/>
                <w:sz w:val="19"/>
                <w:szCs w:val="19"/>
                <w:b w:val="1"/>
                <w:bCs w:val="1"/>
                <w:color w:val="0D0D0D"/>
                <w:vertAlign w:val="superscript"/>
              </w:rPr>
              <w:t>(1)</w:t>
            </w:r>
          </w:p>
        </w:tc>
        <w:tc>
          <w:tcPr>
            <w:tcW w:w="1100" w:type="dxa"/>
            <w:vAlign w:val="bottom"/>
            <w:tcBorders>
              <w:right w:val="single" w:sz="8" w:color="auto"/>
            </w:tcBorders>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0D0D0D"/>
              </w:rPr>
              <w:t>Maximum</w:t>
            </w:r>
          </w:p>
        </w:tc>
        <w:tc>
          <w:tcPr>
            <w:tcW w:w="1060" w:type="dxa"/>
            <w:vAlign w:val="bottom"/>
            <w:tcBorders>
              <w:right w:val="single" w:sz="8" w:color="auto"/>
            </w:tcBorders>
            <w:vMerge w:val="continue"/>
            <w:shd w:val="clear" w:color="auto" w:fill="CCEEFF"/>
          </w:tcPr>
          <w:p>
            <w:pPr>
              <w:spacing w:after="0"/>
              <w:rPr>
                <w:sz w:val="14"/>
                <w:szCs w:val="14"/>
                <w:color w:val="auto"/>
              </w:rPr>
            </w:pPr>
          </w:p>
        </w:tc>
        <w:tc>
          <w:tcPr>
            <w:tcW w:w="1100" w:type="dxa"/>
            <w:vAlign w:val="bottom"/>
            <w:tcBorders>
              <w:right w:val="single" w:sz="8" w:color="auto"/>
            </w:tcBorders>
            <w:shd w:val="clear" w:color="auto" w:fill="CCEEFF"/>
          </w:tcPr>
          <w:p>
            <w:pPr>
              <w:spacing w:after="0"/>
              <w:rPr>
                <w:sz w:val="14"/>
                <w:szCs w:val="14"/>
                <w:color w:val="auto"/>
              </w:rPr>
            </w:pPr>
          </w:p>
        </w:tc>
        <w:tc>
          <w:tcPr>
            <w:tcW w:w="1180" w:type="dxa"/>
            <w:vAlign w:val="bottom"/>
            <w:tcBorders>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120" w:type="dxa"/>
            <w:vAlign w:val="bottom"/>
            <w:tcBorders>
              <w:left w:val="single" w:sz="8" w:color="auto"/>
              <w:right w:val="single" w:sz="8" w:color="auto"/>
            </w:tcBorders>
            <w:shd w:val="clear" w:color="auto" w:fill="CCEEFF"/>
          </w:tcPr>
          <w:p>
            <w:pPr>
              <w:spacing w:after="0"/>
              <w:rPr>
                <w:sz w:val="19"/>
                <w:szCs w:val="19"/>
                <w:color w:val="auto"/>
              </w:rPr>
            </w:pPr>
          </w:p>
        </w:tc>
        <w:tc>
          <w:tcPr>
            <w:tcW w:w="3220" w:type="dxa"/>
            <w:vAlign w:val="bottom"/>
            <w:shd w:val="clear" w:color="auto" w:fill="CCEEFF"/>
          </w:tcPr>
          <w:p>
            <w:pPr>
              <w:spacing w:after="0"/>
              <w:rPr>
                <w:sz w:val="19"/>
                <w:szCs w:val="19"/>
                <w:color w:val="auto"/>
              </w:rPr>
            </w:pPr>
          </w:p>
        </w:tc>
        <w:tc>
          <w:tcPr>
            <w:tcW w:w="360" w:type="dxa"/>
            <w:vAlign w:val="bottom"/>
            <w:tcBorders>
              <w:right w:val="single" w:sz="8" w:color="auto"/>
            </w:tcBorders>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0D0D0D"/>
                <w:w w:val="99"/>
              </w:rPr>
              <w:t>Rule</w:t>
            </w:r>
          </w:p>
        </w:tc>
        <w:tc>
          <w:tcPr>
            <w:tcW w:w="1100" w:type="dxa"/>
            <w:vAlign w:val="bottom"/>
            <w:tcBorders>
              <w:right w:val="single" w:sz="8" w:color="auto"/>
            </w:tcBorders>
            <w:shd w:val="clear" w:color="auto" w:fill="CCEEFF"/>
          </w:tcPr>
          <w:p>
            <w:pPr>
              <w:spacing w:after="0"/>
              <w:rPr>
                <w:sz w:val="19"/>
                <w:szCs w:val="19"/>
                <w:color w:val="auto"/>
              </w:rPr>
            </w:pPr>
          </w:p>
        </w:tc>
        <w:tc>
          <w:tcPr>
            <w:tcW w:w="11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0D0D0D"/>
              </w:rPr>
              <w:t>Offering Price</w:t>
            </w:r>
          </w:p>
        </w:tc>
        <w:tc>
          <w:tcPr>
            <w:tcW w:w="10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0D0D0D"/>
              </w:rPr>
              <w:t>Offering Price</w:t>
            </w:r>
          </w:p>
        </w:tc>
        <w:tc>
          <w:tcPr>
            <w:tcW w:w="1100" w:type="dxa"/>
            <w:vAlign w:val="bottom"/>
            <w:tcBorders>
              <w:right w:val="single" w:sz="8" w:color="auto"/>
            </w:tcBorders>
            <w:shd w:val="clear" w:color="auto" w:fill="CCEEFF"/>
          </w:tcPr>
          <w:p>
            <w:pPr>
              <w:spacing w:after="0"/>
              <w:rPr>
                <w:sz w:val="19"/>
                <w:szCs w:val="19"/>
                <w:color w:val="auto"/>
              </w:rPr>
            </w:pPr>
          </w:p>
        </w:tc>
        <w:tc>
          <w:tcPr>
            <w:tcW w:w="11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0D0D0D"/>
                <w:w w:val="99"/>
              </w:rPr>
              <w:t>Fee</w:t>
            </w:r>
          </w:p>
        </w:tc>
        <w:tc>
          <w:tcPr>
            <w:tcW w:w="0" w:type="dxa"/>
            <w:vAlign w:val="bottom"/>
          </w:tcPr>
          <w:p>
            <w:pPr>
              <w:spacing w:after="0"/>
              <w:rPr>
                <w:sz w:val="1"/>
                <w:szCs w:val="1"/>
                <w:color w:val="auto"/>
              </w:rPr>
            </w:pPr>
          </w:p>
        </w:tc>
      </w:tr>
      <w:tr>
        <w:trPr>
          <w:trHeight w:val="272"/>
        </w:trPr>
        <w:tc>
          <w:tcPr>
            <w:tcW w:w="1120" w:type="dxa"/>
            <w:vAlign w:val="bottom"/>
            <w:tcBorders>
              <w:left w:val="single" w:sz="8" w:color="auto"/>
              <w:bottom w:val="single" w:sz="8" w:color="auto"/>
              <w:right w:val="single" w:sz="8" w:color="auto"/>
            </w:tcBorders>
            <w:shd w:val="clear" w:color="auto" w:fill="CCEEFF"/>
          </w:tcPr>
          <w:p>
            <w:pPr>
              <w:spacing w:after="0"/>
              <w:rPr>
                <w:sz w:val="23"/>
                <w:szCs w:val="23"/>
                <w:color w:val="auto"/>
              </w:rPr>
            </w:pPr>
          </w:p>
        </w:tc>
        <w:tc>
          <w:tcPr>
            <w:tcW w:w="32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right w:val="single" w:sz="8" w:color="auto"/>
            </w:tcBorders>
            <w:shd w:val="clear" w:color="auto" w:fill="CCEEFF"/>
          </w:tcPr>
          <w:p>
            <w:pPr>
              <w:spacing w:after="0"/>
              <w:rPr>
                <w:sz w:val="23"/>
                <w:szCs w:val="23"/>
                <w:color w:val="auto"/>
              </w:rPr>
            </w:pPr>
          </w:p>
        </w:tc>
        <w:tc>
          <w:tcPr>
            <w:tcW w:w="1020" w:type="dxa"/>
            <w:vAlign w:val="bottom"/>
            <w:tcBorders>
              <w:bottom w:val="single" w:sz="8" w:color="auto"/>
              <w:right w:val="single" w:sz="8" w:color="auto"/>
            </w:tcBorders>
            <w:shd w:val="clear" w:color="auto" w:fill="CCEEFF"/>
          </w:tcPr>
          <w:p>
            <w:pPr>
              <w:spacing w:after="0"/>
              <w:rPr>
                <w:sz w:val="23"/>
                <w:szCs w:val="23"/>
                <w:color w:val="auto"/>
              </w:rPr>
            </w:pPr>
          </w:p>
        </w:tc>
        <w:tc>
          <w:tcPr>
            <w:tcW w:w="1100" w:type="dxa"/>
            <w:vAlign w:val="bottom"/>
            <w:tcBorders>
              <w:bottom w:val="single" w:sz="8" w:color="auto"/>
              <w:right w:val="single" w:sz="8" w:color="auto"/>
            </w:tcBorders>
            <w:shd w:val="clear" w:color="auto" w:fill="CCEEFF"/>
          </w:tcPr>
          <w:p>
            <w:pPr>
              <w:spacing w:after="0"/>
              <w:rPr>
                <w:sz w:val="23"/>
                <w:szCs w:val="23"/>
                <w:color w:val="auto"/>
              </w:rPr>
            </w:pP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0D0D0D"/>
                <w:w w:val="96"/>
              </w:rPr>
              <w:t>Per Unit</w:t>
            </w:r>
            <w:r>
              <w:rPr>
                <w:rFonts w:ascii="Times New Roman" w:cs="Times New Roman" w:eastAsia="Times New Roman" w:hAnsi="Times New Roman"/>
                <w:sz w:val="21"/>
                <w:szCs w:val="21"/>
                <w:b w:val="1"/>
                <w:bCs w:val="1"/>
                <w:color w:val="0D0D0D"/>
                <w:w w:val="96"/>
                <w:vertAlign w:val="superscript"/>
              </w:rPr>
              <w:t>(2)</w:t>
            </w:r>
          </w:p>
        </w:tc>
        <w:tc>
          <w:tcPr>
            <w:tcW w:w="1060" w:type="dxa"/>
            <w:vAlign w:val="bottom"/>
            <w:tcBorders>
              <w:bottom w:val="single" w:sz="8" w:color="auto"/>
              <w:right w:val="single" w:sz="8" w:color="auto"/>
            </w:tcBorders>
            <w:shd w:val="clear" w:color="auto" w:fill="CCEEFF"/>
          </w:tcPr>
          <w:p>
            <w:pPr>
              <w:spacing w:after="0"/>
              <w:rPr>
                <w:sz w:val="23"/>
                <w:szCs w:val="23"/>
                <w:color w:val="auto"/>
              </w:rPr>
            </w:pPr>
          </w:p>
        </w:tc>
        <w:tc>
          <w:tcPr>
            <w:tcW w:w="1100" w:type="dxa"/>
            <w:vAlign w:val="bottom"/>
            <w:tcBorders>
              <w:bottom w:val="single" w:sz="8" w:color="auto"/>
              <w:right w:val="single" w:sz="8" w:color="auto"/>
            </w:tcBorders>
            <w:shd w:val="clear" w:color="auto" w:fill="CCEEFF"/>
          </w:tcPr>
          <w:p>
            <w:pPr>
              <w:spacing w:after="0"/>
              <w:rPr>
                <w:sz w:val="23"/>
                <w:szCs w:val="23"/>
                <w:color w:val="auto"/>
              </w:rPr>
            </w:pPr>
          </w:p>
        </w:tc>
        <w:tc>
          <w:tcPr>
            <w:tcW w:w="1180" w:type="dxa"/>
            <w:vAlign w:val="bottom"/>
            <w:tcBorders>
              <w:bottom w:val="single" w:sz="8" w:color="auto"/>
              <w:right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1120" w:type="dxa"/>
            <w:vAlign w:val="bottom"/>
            <w:tcBorders>
              <w:left w:val="single" w:sz="8" w:color="auto"/>
              <w:right w:val="single" w:sz="8" w:color="auto"/>
            </w:tcBorders>
          </w:tcPr>
          <w:p>
            <w:pPr>
              <w:ind w:left="40"/>
              <w:spacing w:after="0" w:line="155" w:lineRule="exact"/>
              <w:rPr>
                <w:sz w:val="20"/>
                <w:szCs w:val="20"/>
                <w:color w:val="auto"/>
              </w:rPr>
            </w:pPr>
            <w:r>
              <w:rPr>
                <w:rFonts w:ascii="Times New Roman" w:cs="Times New Roman" w:eastAsia="Times New Roman" w:hAnsi="Times New Roman"/>
                <w:sz w:val="16"/>
                <w:szCs w:val="16"/>
                <w:color w:val="0D0D0D"/>
              </w:rPr>
              <w:t>Equity</w:t>
            </w:r>
          </w:p>
        </w:tc>
        <w:tc>
          <w:tcPr>
            <w:tcW w:w="3580" w:type="dxa"/>
            <w:vAlign w:val="bottom"/>
            <w:tcBorders>
              <w:right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6"/>
                <w:szCs w:val="16"/>
                <w:color w:val="0D0D0D"/>
              </w:rPr>
              <w:t>Class A Common Stock $0.001 par value per share, to</w:t>
            </w:r>
          </w:p>
        </w:tc>
        <w:tc>
          <w:tcPr>
            <w:tcW w:w="1020" w:type="dxa"/>
            <w:vAlign w:val="bottom"/>
            <w:tcBorders>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color w:val="0D0D0D"/>
              </w:rPr>
              <w:t>Rule 457(c)</w:t>
            </w:r>
          </w:p>
        </w:tc>
        <w:tc>
          <w:tcPr>
            <w:tcW w:w="1100" w:type="dxa"/>
            <w:vAlign w:val="bottom"/>
            <w:tcBorders>
              <w:right w:val="single" w:sz="8" w:color="auto"/>
            </w:tcBorders>
          </w:tcPr>
          <w:p>
            <w:pPr>
              <w:jc w:val="right"/>
              <w:ind w:right="360"/>
              <w:spacing w:after="0" w:line="155" w:lineRule="exact"/>
              <w:rPr>
                <w:sz w:val="20"/>
                <w:szCs w:val="20"/>
                <w:color w:val="auto"/>
              </w:rPr>
            </w:pPr>
            <w:r>
              <w:rPr>
                <w:rFonts w:ascii="Times New Roman" w:cs="Times New Roman" w:eastAsia="Times New Roman" w:hAnsi="Times New Roman"/>
                <w:sz w:val="16"/>
                <w:szCs w:val="16"/>
                <w:color w:val="auto"/>
                <w:w w:val="99"/>
              </w:rPr>
              <w:t>1,000,000</w:t>
            </w:r>
          </w:p>
        </w:tc>
        <w:tc>
          <w:tcPr>
            <w:tcW w:w="1100" w:type="dxa"/>
            <w:vAlign w:val="bottom"/>
            <w:tcBorders>
              <w:right w:val="single" w:sz="8" w:color="auto"/>
            </w:tcBorders>
          </w:tcPr>
          <w:p>
            <w:pPr>
              <w:jc w:val="right"/>
              <w:ind w:right="719"/>
              <w:spacing w:after="0" w:line="155" w:lineRule="exact"/>
              <w:rPr>
                <w:sz w:val="20"/>
                <w:szCs w:val="20"/>
                <w:color w:val="auto"/>
              </w:rPr>
            </w:pPr>
            <w:r>
              <w:rPr>
                <w:rFonts w:ascii="Times New Roman" w:cs="Times New Roman" w:eastAsia="Times New Roman" w:hAnsi="Times New Roman"/>
                <w:sz w:val="16"/>
                <w:szCs w:val="16"/>
                <w:color w:val="0D0D0D"/>
                <w:w w:val="99"/>
              </w:rPr>
              <w:t>5.97</w:t>
            </w:r>
          </w:p>
        </w:tc>
        <w:tc>
          <w:tcPr>
            <w:tcW w:w="1060" w:type="dxa"/>
            <w:vAlign w:val="bottom"/>
            <w:tcBorders>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color w:val="0D0D0D"/>
              </w:rPr>
              <w:t>5,970,000</w:t>
            </w:r>
          </w:p>
        </w:tc>
        <w:tc>
          <w:tcPr>
            <w:tcW w:w="1100" w:type="dxa"/>
            <w:vAlign w:val="bottom"/>
            <w:tcBorders>
              <w:right w:val="single" w:sz="8" w:color="auto"/>
            </w:tcBorders>
          </w:tcPr>
          <w:p>
            <w:pPr>
              <w:jc w:val="right"/>
              <w:ind w:right="239"/>
              <w:spacing w:after="0" w:line="155" w:lineRule="exact"/>
              <w:rPr>
                <w:sz w:val="20"/>
                <w:szCs w:val="20"/>
                <w:color w:val="auto"/>
              </w:rPr>
            </w:pPr>
            <w:r>
              <w:rPr>
                <w:rFonts w:ascii="Times New Roman" w:cs="Times New Roman" w:eastAsia="Times New Roman" w:hAnsi="Times New Roman"/>
                <w:sz w:val="16"/>
                <w:szCs w:val="16"/>
                <w:color w:val="auto"/>
                <w:w w:val="99"/>
              </w:rPr>
              <w:t>0.00013810</w:t>
            </w:r>
          </w:p>
        </w:tc>
        <w:tc>
          <w:tcPr>
            <w:tcW w:w="1180" w:type="dxa"/>
            <w:vAlign w:val="bottom"/>
            <w:tcBorders>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color w:val="0D0D0D"/>
              </w:rPr>
              <w:t>$824.46</w:t>
            </w:r>
          </w:p>
        </w:tc>
        <w:tc>
          <w:tcPr>
            <w:tcW w:w="0" w:type="dxa"/>
            <w:vAlign w:val="bottom"/>
          </w:tcPr>
          <w:p>
            <w:pPr>
              <w:spacing w:after="0"/>
              <w:rPr>
                <w:sz w:val="1"/>
                <w:szCs w:val="1"/>
                <w:color w:val="auto"/>
              </w:rPr>
            </w:pPr>
          </w:p>
        </w:tc>
      </w:tr>
      <w:tr>
        <w:trPr>
          <w:trHeight w:val="162"/>
        </w:trPr>
        <w:tc>
          <w:tcPr>
            <w:tcW w:w="1120" w:type="dxa"/>
            <w:vAlign w:val="bottom"/>
            <w:tcBorders>
              <w:left w:val="single" w:sz="8" w:color="auto"/>
              <w:right w:val="single" w:sz="8" w:color="auto"/>
            </w:tcBorders>
          </w:tcPr>
          <w:p>
            <w:pPr>
              <w:spacing w:after="0"/>
              <w:rPr>
                <w:sz w:val="14"/>
                <w:szCs w:val="14"/>
                <w:color w:val="auto"/>
              </w:rPr>
            </w:pPr>
          </w:p>
        </w:tc>
        <w:tc>
          <w:tcPr>
            <w:tcW w:w="32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0D0D0D"/>
              </w:rPr>
              <w:t>be issued under the Urban One 2026 Equity and</w:t>
            </w:r>
          </w:p>
        </w:tc>
        <w:tc>
          <w:tcPr>
            <w:tcW w:w="36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120" w:type="dxa"/>
            <w:vAlign w:val="bottom"/>
            <w:tcBorders>
              <w:left w:val="single" w:sz="8" w:color="auto"/>
              <w:bottom w:val="single" w:sz="8" w:color="auto"/>
              <w:right w:val="single" w:sz="8" w:color="auto"/>
            </w:tcBorders>
          </w:tcPr>
          <w:p>
            <w:pPr>
              <w:spacing w:after="0"/>
              <w:rPr>
                <w:sz w:val="18"/>
                <w:szCs w:val="18"/>
                <w:color w:val="auto"/>
              </w:rPr>
            </w:pPr>
          </w:p>
        </w:tc>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0D0D0D"/>
              </w:rPr>
              <w:t>Performance Incentive Plan</w:t>
            </w:r>
          </w:p>
        </w:tc>
        <w:tc>
          <w:tcPr>
            <w:tcW w:w="3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120" w:type="dxa"/>
            <w:vAlign w:val="bottom"/>
            <w:tcBorders>
              <w:left w:val="single" w:sz="8" w:color="auto"/>
              <w:right w:val="single" w:sz="8" w:color="auto"/>
            </w:tcBorders>
            <w:shd w:val="clear" w:color="auto" w:fill="CCEEFF"/>
          </w:tcPr>
          <w:p>
            <w:pPr>
              <w:ind w:left="40"/>
              <w:spacing w:after="0" w:line="158" w:lineRule="exact"/>
              <w:rPr>
                <w:sz w:val="20"/>
                <w:szCs w:val="20"/>
                <w:color w:val="auto"/>
              </w:rPr>
            </w:pPr>
            <w:r>
              <w:rPr>
                <w:rFonts w:ascii="Times New Roman" w:cs="Times New Roman" w:eastAsia="Times New Roman" w:hAnsi="Times New Roman"/>
                <w:sz w:val="16"/>
                <w:szCs w:val="16"/>
                <w:color w:val="0D0D0D"/>
              </w:rPr>
              <w:t>Equity</w:t>
            </w:r>
          </w:p>
        </w:tc>
        <w:tc>
          <w:tcPr>
            <w:tcW w:w="3580" w:type="dxa"/>
            <w:vAlign w:val="bottom"/>
            <w:tcBorders>
              <w:right w:val="single" w:sz="8" w:color="auto"/>
            </w:tcBorders>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0D0D0D"/>
              </w:rPr>
              <w:t>Class D Common Stock $0.001 par value per share, to</w:t>
            </w:r>
          </w:p>
        </w:tc>
        <w:tc>
          <w:tcPr>
            <w:tcW w:w="1020" w:type="dxa"/>
            <w:vAlign w:val="bottom"/>
            <w:tcBorders>
              <w:right w:val="single" w:sz="8" w:color="auto"/>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0D0D0D"/>
              </w:rPr>
              <w:t>Rule 457(c)</w:t>
            </w:r>
          </w:p>
        </w:tc>
        <w:tc>
          <w:tcPr>
            <w:tcW w:w="1100" w:type="dxa"/>
            <w:vAlign w:val="bottom"/>
            <w:tcBorders>
              <w:right w:val="single" w:sz="8" w:color="auto"/>
            </w:tcBorders>
            <w:shd w:val="clear" w:color="auto" w:fill="CCEEFF"/>
          </w:tcPr>
          <w:p>
            <w:pPr>
              <w:jc w:val="right"/>
              <w:ind w:right="360"/>
              <w:spacing w:after="0" w:line="158" w:lineRule="exact"/>
              <w:rPr>
                <w:sz w:val="20"/>
                <w:szCs w:val="20"/>
                <w:color w:val="auto"/>
              </w:rPr>
            </w:pPr>
            <w:r>
              <w:rPr>
                <w:rFonts w:ascii="Times New Roman" w:cs="Times New Roman" w:eastAsia="Times New Roman" w:hAnsi="Times New Roman"/>
                <w:sz w:val="16"/>
                <w:szCs w:val="16"/>
                <w:color w:val="auto"/>
                <w:w w:val="99"/>
              </w:rPr>
              <w:t>1,000,000</w:t>
            </w:r>
          </w:p>
        </w:tc>
        <w:tc>
          <w:tcPr>
            <w:tcW w:w="1100" w:type="dxa"/>
            <w:vAlign w:val="bottom"/>
            <w:tcBorders>
              <w:right w:val="single" w:sz="8" w:color="auto"/>
            </w:tcBorders>
            <w:shd w:val="clear" w:color="auto" w:fill="CCEEFF"/>
          </w:tcPr>
          <w:p>
            <w:pPr>
              <w:jc w:val="right"/>
              <w:ind w:right="719"/>
              <w:spacing w:after="0" w:line="158" w:lineRule="exact"/>
              <w:rPr>
                <w:sz w:val="20"/>
                <w:szCs w:val="20"/>
                <w:color w:val="auto"/>
              </w:rPr>
            </w:pPr>
            <w:r>
              <w:rPr>
                <w:rFonts w:ascii="Times New Roman" w:cs="Times New Roman" w:eastAsia="Times New Roman" w:hAnsi="Times New Roman"/>
                <w:sz w:val="16"/>
                <w:szCs w:val="16"/>
                <w:color w:val="0D0D0D"/>
                <w:w w:val="99"/>
              </w:rPr>
              <w:t>4.82</w:t>
            </w:r>
          </w:p>
        </w:tc>
        <w:tc>
          <w:tcPr>
            <w:tcW w:w="1060" w:type="dxa"/>
            <w:vAlign w:val="bottom"/>
            <w:tcBorders>
              <w:right w:val="single" w:sz="8" w:color="auto"/>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0D0D0D"/>
              </w:rPr>
              <w:t>4,820,000</w:t>
            </w:r>
          </w:p>
        </w:tc>
        <w:tc>
          <w:tcPr>
            <w:tcW w:w="1100" w:type="dxa"/>
            <w:vAlign w:val="bottom"/>
            <w:tcBorders>
              <w:right w:val="single" w:sz="8" w:color="auto"/>
            </w:tcBorders>
            <w:shd w:val="clear" w:color="auto" w:fill="CCEEFF"/>
          </w:tcPr>
          <w:p>
            <w:pPr>
              <w:jc w:val="right"/>
              <w:ind w:right="239"/>
              <w:spacing w:after="0" w:line="158" w:lineRule="exact"/>
              <w:rPr>
                <w:sz w:val="20"/>
                <w:szCs w:val="20"/>
                <w:color w:val="auto"/>
              </w:rPr>
            </w:pPr>
            <w:r>
              <w:rPr>
                <w:rFonts w:ascii="Times New Roman" w:cs="Times New Roman" w:eastAsia="Times New Roman" w:hAnsi="Times New Roman"/>
                <w:sz w:val="16"/>
                <w:szCs w:val="16"/>
                <w:color w:val="auto"/>
                <w:w w:val="99"/>
              </w:rPr>
              <w:t>0.00013810</w:t>
            </w:r>
          </w:p>
        </w:tc>
        <w:tc>
          <w:tcPr>
            <w:tcW w:w="1180" w:type="dxa"/>
            <w:vAlign w:val="bottom"/>
            <w:tcBorders>
              <w:right w:val="single" w:sz="8" w:color="auto"/>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0D0D0D"/>
              </w:rPr>
              <w:t>$665.64</w:t>
            </w:r>
          </w:p>
        </w:tc>
        <w:tc>
          <w:tcPr>
            <w:tcW w:w="0" w:type="dxa"/>
            <w:vAlign w:val="bottom"/>
          </w:tcPr>
          <w:p>
            <w:pPr>
              <w:spacing w:after="0"/>
              <w:rPr>
                <w:sz w:val="1"/>
                <w:szCs w:val="1"/>
                <w:color w:val="auto"/>
              </w:rPr>
            </w:pPr>
          </w:p>
        </w:tc>
      </w:tr>
      <w:tr>
        <w:trPr>
          <w:trHeight w:val="162"/>
        </w:trPr>
        <w:tc>
          <w:tcPr>
            <w:tcW w:w="1120" w:type="dxa"/>
            <w:vAlign w:val="bottom"/>
            <w:tcBorders>
              <w:left w:val="single" w:sz="8" w:color="auto"/>
              <w:right w:val="single" w:sz="8" w:color="auto"/>
            </w:tcBorders>
            <w:shd w:val="clear" w:color="auto" w:fill="CCEEFF"/>
          </w:tcPr>
          <w:p>
            <w:pPr>
              <w:spacing w:after="0"/>
              <w:rPr>
                <w:sz w:val="14"/>
                <w:szCs w:val="14"/>
                <w:color w:val="auto"/>
              </w:rPr>
            </w:pPr>
          </w:p>
        </w:tc>
        <w:tc>
          <w:tcPr>
            <w:tcW w:w="32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0D0D0D"/>
              </w:rPr>
              <w:t>be issued under the Urban One 2026 Equity and</w:t>
            </w:r>
          </w:p>
        </w:tc>
        <w:tc>
          <w:tcPr>
            <w:tcW w:w="360" w:type="dxa"/>
            <w:vAlign w:val="bottom"/>
            <w:tcBorders>
              <w:right w:val="single" w:sz="8" w:color="auto"/>
            </w:tcBorders>
            <w:shd w:val="clear" w:color="auto" w:fill="CCEEFF"/>
          </w:tcPr>
          <w:p>
            <w:pPr>
              <w:spacing w:after="0"/>
              <w:rPr>
                <w:sz w:val="14"/>
                <w:szCs w:val="14"/>
                <w:color w:val="auto"/>
              </w:rPr>
            </w:pPr>
          </w:p>
        </w:tc>
        <w:tc>
          <w:tcPr>
            <w:tcW w:w="1020" w:type="dxa"/>
            <w:vAlign w:val="bottom"/>
            <w:tcBorders>
              <w:right w:val="single" w:sz="8" w:color="auto"/>
            </w:tcBorders>
            <w:shd w:val="clear" w:color="auto" w:fill="CCEEFF"/>
          </w:tcPr>
          <w:p>
            <w:pPr>
              <w:spacing w:after="0"/>
              <w:rPr>
                <w:sz w:val="14"/>
                <w:szCs w:val="14"/>
                <w:color w:val="auto"/>
              </w:rPr>
            </w:pPr>
          </w:p>
        </w:tc>
        <w:tc>
          <w:tcPr>
            <w:tcW w:w="1100" w:type="dxa"/>
            <w:vAlign w:val="bottom"/>
            <w:tcBorders>
              <w:right w:val="single" w:sz="8" w:color="auto"/>
            </w:tcBorders>
            <w:shd w:val="clear" w:color="auto" w:fill="CCEEFF"/>
          </w:tcPr>
          <w:p>
            <w:pPr>
              <w:spacing w:after="0"/>
              <w:rPr>
                <w:sz w:val="14"/>
                <w:szCs w:val="14"/>
                <w:color w:val="auto"/>
              </w:rPr>
            </w:pPr>
          </w:p>
        </w:tc>
        <w:tc>
          <w:tcPr>
            <w:tcW w:w="1100" w:type="dxa"/>
            <w:vAlign w:val="bottom"/>
            <w:tcBorders>
              <w:right w:val="single" w:sz="8" w:color="auto"/>
            </w:tcBorders>
            <w:shd w:val="clear" w:color="auto" w:fill="CCEEFF"/>
          </w:tcPr>
          <w:p>
            <w:pPr>
              <w:spacing w:after="0"/>
              <w:rPr>
                <w:sz w:val="14"/>
                <w:szCs w:val="14"/>
                <w:color w:val="auto"/>
              </w:rPr>
            </w:pPr>
          </w:p>
        </w:tc>
        <w:tc>
          <w:tcPr>
            <w:tcW w:w="1060" w:type="dxa"/>
            <w:vAlign w:val="bottom"/>
            <w:tcBorders>
              <w:right w:val="single" w:sz="8" w:color="auto"/>
            </w:tcBorders>
            <w:shd w:val="clear" w:color="auto" w:fill="CCEEFF"/>
          </w:tcPr>
          <w:p>
            <w:pPr>
              <w:spacing w:after="0"/>
              <w:rPr>
                <w:sz w:val="14"/>
                <w:szCs w:val="14"/>
                <w:color w:val="auto"/>
              </w:rPr>
            </w:pPr>
          </w:p>
        </w:tc>
        <w:tc>
          <w:tcPr>
            <w:tcW w:w="1100" w:type="dxa"/>
            <w:vAlign w:val="bottom"/>
            <w:tcBorders>
              <w:right w:val="single" w:sz="8" w:color="auto"/>
            </w:tcBorders>
            <w:shd w:val="clear" w:color="auto" w:fill="CCEEFF"/>
          </w:tcPr>
          <w:p>
            <w:pPr>
              <w:spacing w:after="0"/>
              <w:rPr>
                <w:sz w:val="14"/>
                <w:szCs w:val="14"/>
                <w:color w:val="auto"/>
              </w:rPr>
            </w:pPr>
          </w:p>
        </w:tc>
        <w:tc>
          <w:tcPr>
            <w:tcW w:w="11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12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0D0D0D"/>
              </w:rPr>
              <w:t>Performance Incentive Plan</w:t>
            </w:r>
          </w:p>
        </w:tc>
        <w:tc>
          <w:tcPr>
            <w:tcW w:w="360" w:type="dxa"/>
            <w:vAlign w:val="bottom"/>
            <w:tcBorders>
              <w:bottom w:val="single" w:sz="8" w:color="auto"/>
              <w:right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0D0D0D"/>
              </w:rPr>
              <w:t>Total Offering Amounts:</w:t>
            </w:r>
          </w:p>
        </w:tc>
        <w:tc>
          <w:tcPr>
            <w:tcW w:w="3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color w:val="auto"/>
                <w:w w:val="99"/>
              </w:rPr>
              <w:t>2,000,000</w:t>
            </w:r>
          </w:p>
        </w:tc>
        <w:tc>
          <w:tcPr>
            <w:tcW w:w="1100" w:type="dxa"/>
            <w:vAlign w:val="bottom"/>
            <w:tcBorders>
              <w:bottom w:val="single" w:sz="8" w:color="CCEEFF"/>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$10,790,000</w:t>
            </w:r>
          </w:p>
        </w:tc>
        <w:tc>
          <w:tcPr>
            <w:tcW w:w="110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$1,490.10</w:t>
            </w:r>
          </w:p>
        </w:tc>
        <w:tc>
          <w:tcPr>
            <w:tcW w:w="0" w:type="dxa"/>
            <w:vAlign w:val="bottom"/>
          </w:tcPr>
          <w:p>
            <w:pPr>
              <w:spacing w:after="0"/>
              <w:rPr>
                <w:sz w:val="1"/>
                <w:szCs w:val="1"/>
                <w:color w:val="auto"/>
              </w:rPr>
            </w:pPr>
          </w:p>
        </w:tc>
      </w:tr>
      <w:tr>
        <w:trPr>
          <w:trHeight w:val="212"/>
        </w:trPr>
        <w:tc>
          <w:tcPr>
            <w:tcW w:w="1120" w:type="dxa"/>
            <w:vAlign w:val="bottom"/>
            <w:tcBorders>
              <w:left w:val="single" w:sz="8" w:color="CCEEFF"/>
              <w:right w:val="single" w:sz="8" w:color="CCEEFF"/>
            </w:tcBorders>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160" w:type="dxa"/>
            <w:vAlign w:val="bottom"/>
            <w:tcBorders>
              <w:right w:val="single" w:sz="8" w:color="auto"/>
            </w:tcBorders>
            <w:gridSpan w:val="2"/>
            <w:shd w:val="clear" w:color="auto" w:fill="CCEEFF"/>
          </w:tcPr>
          <w:p>
            <w:pPr>
              <w:spacing w:after="0" w:line="213" w:lineRule="exact"/>
              <w:rPr>
                <w:sz w:val="20"/>
                <w:szCs w:val="20"/>
                <w:color w:val="auto"/>
              </w:rPr>
            </w:pPr>
            <w:r>
              <w:rPr>
                <w:rFonts w:ascii="Times New Roman" w:cs="Times New Roman" w:eastAsia="Times New Roman" w:hAnsi="Times New Roman"/>
                <w:sz w:val="16"/>
                <w:szCs w:val="16"/>
                <w:color w:val="0D0D0D"/>
              </w:rPr>
              <w:t xml:space="preserve">Total Fee Offsets </w:t>
            </w:r>
            <w:r>
              <w:rPr>
                <w:rFonts w:ascii="Times New Roman" w:cs="Times New Roman" w:eastAsia="Times New Roman" w:hAnsi="Times New Roman"/>
                <w:sz w:val="21"/>
                <w:szCs w:val="21"/>
                <w:color w:val="0D0D0D"/>
                <w:vertAlign w:val="superscript"/>
              </w:rPr>
              <w:t>(3)</w:t>
            </w:r>
          </w:p>
        </w:tc>
        <w:tc>
          <w:tcPr>
            <w:tcW w:w="11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0D0D0D"/>
              </w:rPr>
              <w:t>$0.00</w:t>
            </w:r>
          </w:p>
        </w:tc>
        <w:tc>
          <w:tcPr>
            <w:tcW w:w="0" w:type="dxa"/>
            <w:vAlign w:val="bottom"/>
          </w:tcPr>
          <w:p>
            <w:pPr>
              <w:spacing w:after="0"/>
              <w:rPr>
                <w:sz w:val="1"/>
                <w:szCs w:val="1"/>
                <w:color w:val="auto"/>
              </w:rPr>
            </w:pPr>
          </w:p>
        </w:tc>
      </w:tr>
      <w:tr>
        <w:trPr>
          <w:trHeight w:val="207"/>
        </w:trPr>
        <w:tc>
          <w:tcPr>
            <w:tcW w:w="11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6"/>
                <w:szCs w:val="16"/>
                <w:color w:val="0D0D0D"/>
              </w:rPr>
              <w:t>Net Fee Due:</w:t>
            </w:r>
          </w:p>
        </w:tc>
        <w:tc>
          <w:tcPr>
            <w:tcW w:w="1100" w:type="dxa"/>
            <w:vAlign w:val="bottom"/>
            <w:tcBorders>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$1,490.10</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780" w:right="20" w:hanging="448"/>
        <w:spacing w:after="0" w:line="261" w:lineRule="auto"/>
        <w:tabs>
          <w:tab w:leader="none" w:pos="774" w:val="left"/>
        </w:tabs>
        <w:numPr>
          <w:ilvl w:val="0"/>
          <w:numId w:val="3"/>
        </w:numPr>
        <w:rPr>
          <w:rFonts w:ascii="Times New Roman" w:cs="Times New Roman" w:eastAsia="Times New Roman" w:hAnsi="Times New Roman"/>
          <w:sz w:val="18"/>
          <w:szCs w:val="18"/>
          <w:color w:val="0D0D0D"/>
        </w:rPr>
      </w:pPr>
      <w:r>
        <w:rPr>
          <w:rFonts w:ascii="Times New Roman" w:cs="Times New Roman" w:eastAsia="Times New Roman" w:hAnsi="Times New Roman"/>
          <w:sz w:val="18"/>
          <w:szCs w:val="18"/>
          <w:color w:val="0D0D0D"/>
        </w:rPr>
        <w:t>Pursuant to Rule 416 under the Securities Act of 1933, as amended (the “Securities Act”), there are also being registered such additional shares of Class A and/or Class D Common Stock that become available under the foregoing plans in connection with changes in the number of outstanding shares of Class A and/or Class D Common Stock because of events such as recapitalizations, stock dividends, stock splits and reverse stock splits, and any other securities with respect to which the outstanding shares are converted or exchanged.</w:t>
      </w:r>
    </w:p>
    <w:p>
      <w:pPr>
        <w:spacing w:after="0" w:line="206" w:lineRule="exact"/>
        <w:rPr>
          <w:rFonts w:ascii="Times New Roman" w:cs="Times New Roman" w:eastAsia="Times New Roman" w:hAnsi="Times New Roman"/>
          <w:sz w:val="18"/>
          <w:szCs w:val="18"/>
          <w:color w:val="0D0D0D"/>
        </w:rPr>
      </w:pPr>
    </w:p>
    <w:p>
      <w:pPr>
        <w:jc w:val="both"/>
        <w:ind w:left="780" w:right="20" w:hanging="448"/>
        <w:spacing w:after="0" w:line="256" w:lineRule="auto"/>
        <w:tabs>
          <w:tab w:leader="none" w:pos="77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D0D0D"/>
        </w:rPr>
        <w:t>Estimated in accordance with Rule 457(c) and 457(h) of the Securities Act solely for the purpose of calculating the registration fee. The maximum price per Security and the maximum offering price are based on the average of $</w:t>
      </w:r>
      <w:r>
        <w:rPr>
          <w:rFonts w:ascii="Times New Roman" w:cs="Times New Roman" w:eastAsia="Times New Roman" w:hAnsi="Times New Roman"/>
          <w:sz w:val="18"/>
          <w:szCs w:val="18"/>
          <w:color w:val="000000"/>
        </w:rPr>
        <w:t>6.20</w:t>
      </w:r>
      <w:r>
        <w:rPr>
          <w:rFonts w:ascii="Times New Roman" w:cs="Times New Roman" w:eastAsia="Times New Roman" w:hAnsi="Times New Roman"/>
          <w:sz w:val="18"/>
          <w:szCs w:val="18"/>
          <w:color w:val="0D0D0D"/>
        </w:rPr>
        <w:t xml:space="preserve"> (high) and $</w:t>
      </w:r>
      <w:r>
        <w:rPr>
          <w:rFonts w:ascii="Times New Roman" w:cs="Times New Roman" w:eastAsia="Times New Roman" w:hAnsi="Times New Roman"/>
          <w:sz w:val="18"/>
          <w:szCs w:val="18"/>
          <w:color w:val="000000"/>
        </w:rPr>
        <w:t>5.74</w:t>
      </w:r>
      <w:r>
        <w:rPr>
          <w:rFonts w:ascii="Times New Roman" w:cs="Times New Roman" w:eastAsia="Times New Roman" w:hAnsi="Times New Roman"/>
          <w:sz w:val="18"/>
          <w:szCs w:val="18"/>
          <w:color w:val="0D0D0D"/>
        </w:rPr>
        <w:t xml:space="preserve"> (low) sale price of the Registrant's Class A Common Stock as reported on the NASDAQ Stock Market on </w:t>
      </w:r>
      <w:r>
        <w:rPr>
          <w:rFonts w:ascii="Times New Roman" w:cs="Times New Roman" w:eastAsia="Times New Roman" w:hAnsi="Times New Roman"/>
          <w:sz w:val="18"/>
          <w:szCs w:val="18"/>
          <w:color w:val="000000"/>
        </w:rPr>
        <w:t>June 15, 2026</w:t>
      </w:r>
      <w:r>
        <w:rPr>
          <w:rFonts w:ascii="Times New Roman" w:cs="Times New Roman" w:eastAsia="Times New Roman" w:hAnsi="Times New Roman"/>
          <w:sz w:val="18"/>
          <w:szCs w:val="18"/>
          <w:color w:val="0D0D0D"/>
        </w:rPr>
        <w:t>, which date is within five business days prior to filing this registration statement. The maximum price per Security and the maximum offering price are based on the average of $</w:t>
      </w:r>
      <w:r>
        <w:rPr>
          <w:rFonts w:ascii="Times New Roman" w:cs="Times New Roman" w:eastAsia="Times New Roman" w:hAnsi="Times New Roman"/>
          <w:sz w:val="18"/>
          <w:szCs w:val="18"/>
          <w:color w:val="000000"/>
        </w:rPr>
        <w:t>4.99</w:t>
      </w:r>
      <w:r>
        <w:rPr>
          <w:rFonts w:ascii="Times New Roman" w:cs="Times New Roman" w:eastAsia="Times New Roman" w:hAnsi="Times New Roman"/>
          <w:sz w:val="18"/>
          <w:szCs w:val="18"/>
          <w:color w:val="0D0D0D"/>
        </w:rPr>
        <w:t xml:space="preserve"> (high) and $</w:t>
      </w:r>
      <w:r>
        <w:rPr>
          <w:rFonts w:ascii="Times New Roman" w:cs="Times New Roman" w:eastAsia="Times New Roman" w:hAnsi="Times New Roman"/>
          <w:sz w:val="18"/>
          <w:szCs w:val="18"/>
          <w:color w:val="000000"/>
        </w:rPr>
        <w:t>4.64</w:t>
      </w:r>
      <w:r>
        <w:rPr>
          <w:rFonts w:ascii="Times New Roman" w:cs="Times New Roman" w:eastAsia="Times New Roman" w:hAnsi="Times New Roman"/>
          <w:sz w:val="18"/>
          <w:szCs w:val="18"/>
          <w:color w:val="0D0D0D"/>
        </w:rPr>
        <w:t xml:space="preserve"> (low) sale price of the Registrant's Class D Common Stock as reported on the NASDAQ Stock Market on </w:t>
      </w:r>
      <w:r>
        <w:rPr>
          <w:rFonts w:ascii="Times New Roman" w:cs="Times New Roman" w:eastAsia="Times New Roman" w:hAnsi="Times New Roman"/>
          <w:sz w:val="18"/>
          <w:szCs w:val="18"/>
          <w:color w:val="000000"/>
        </w:rPr>
        <w:t>June 15, 2026</w:t>
      </w:r>
      <w:r>
        <w:rPr>
          <w:rFonts w:ascii="Times New Roman" w:cs="Times New Roman" w:eastAsia="Times New Roman" w:hAnsi="Times New Roman"/>
          <w:sz w:val="18"/>
          <w:szCs w:val="18"/>
          <w:color w:val="0D0D0D"/>
        </w:rPr>
        <w:t>, which date is within five business days prior to filing this registration statement.</w:t>
      </w:r>
    </w:p>
    <w:p>
      <w:pPr>
        <w:spacing w:after="0" w:line="200"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3"/>
        </w:numPr>
        <w:rPr>
          <w:rFonts w:ascii="Times New Roman" w:cs="Times New Roman" w:eastAsia="Times New Roman" w:hAnsi="Times New Roman"/>
          <w:sz w:val="18"/>
          <w:szCs w:val="18"/>
          <w:color w:val="0D0D0D"/>
        </w:rPr>
      </w:pPr>
      <w:r>
        <w:rPr>
          <w:rFonts w:ascii="Times New Roman" w:cs="Times New Roman" w:eastAsia="Times New Roman" w:hAnsi="Times New Roman"/>
          <w:sz w:val="18"/>
          <w:szCs w:val="18"/>
          <w:color w:val="0D0D0D"/>
        </w:rPr>
        <w:t>The Registrant is not relying on Rule 457(p) to offset some or all of the filing fee due.</w:t>
      </w:r>
    </w:p>
    <w:sectPr>
      <w:pgSz w:w="11900" w:h="16838" w:orient="portrait"/>
      <w:cols w:equalWidth="0" w:num="1">
        <w:col w:w="11260"/>
      </w:cols>
      <w:pgMar w:left="32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30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1" Type="http://schemas.openxmlformats.org/officeDocument/2006/relationships/image" Target="media/image3.png"/><Relationship Id="rId10" Type="http://schemas.openxmlformats.org/officeDocument/2006/relationships/hyperlink" Target="https://www.sec.gov/Archives/edgar/data/1041657/000104165724000009/urbanoneincproxy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2026-06-17T15:25:35Z</dcterms:created>
  <dcterms:modified xsi:type="dcterms:W3CDTF">2026-06-17T15:25:35Z</dcterms:modified>
</cp:coreProperties>
</file>