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744855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678180</wp:posOffset>
            </wp:positionV>
            <wp:extent cx="713486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254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128905</wp:posOffset>
            </wp:positionV>
            <wp:extent cx="1649095" cy="479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9095" cy="4794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URBAN ONE,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955" w:orient="portrait"/>
          <w:cols w:equalWidth="0" w:num="1">
            <w:col w:w="11240"/>
          </w:cols>
          <w:pgMar w:left="320" w:top="1331" w:right="339" w:bottom="0" w:gutter="0" w:footer="0" w:header="0"/>
        </w:sectPr>
      </w:pPr>
    </w:p>
    <w:p>
      <w:pPr>
        <w:spacing w:after="0" w:line="227"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5"/>
          <w:szCs w:val="15"/>
          <w:b w:val="1"/>
          <w:bCs w:val="1"/>
          <w:color w:val="auto"/>
        </w:rPr>
        <w:t>0-25969</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52-1166660</w:t>
      </w:r>
    </w:p>
    <w:p>
      <w:pPr>
        <w:spacing w:after="0" w:line="66" w:lineRule="exact"/>
        <w:rPr>
          <w:sz w:val="24"/>
          <w:szCs w:val="24"/>
          <w:color w:val="auto"/>
        </w:rPr>
      </w:pPr>
    </w:p>
    <w:p>
      <w:pPr>
        <w:sectPr>
          <w:pgSz w:w="11900" w:h="16955" w:orient="portrait"/>
          <w:cols w:equalWidth="0" w:num="3">
            <w:col w:w="4640" w:space="720"/>
            <w:col w:w="2900" w:space="720"/>
            <w:col w:w="2260"/>
          </w:cols>
          <w:pgMar w:left="320" w:top="1331" w:right="339" w:bottom="0" w:gutter="0" w:footer="0" w:header="0"/>
          <w:type w:val="continuous"/>
        </w:sectPr>
      </w:pPr>
    </w:p>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(State or Other Jurisdiction</w:t>
      </w:r>
    </w:p>
    <w:p>
      <w:pPr>
        <w:spacing w:after="0" w:line="33"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2"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211" w:lineRule="exact"/>
        <w:rPr>
          <w:sz w:val="24"/>
          <w:szCs w:val="24"/>
          <w:color w:val="auto"/>
        </w:rPr>
      </w:pPr>
    </w:p>
    <w:p>
      <w:pPr>
        <w:sectPr>
          <w:pgSz w:w="11900" w:h="16955" w:orient="portrait"/>
          <w:cols w:equalWidth="0" w:num="3">
            <w:col w:w="4140" w:space="720"/>
            <w:col w:w="3160" w:space="720"/>
            <w:col w:w="2500"/>
          </w:cols>
          <w:pgMar w:left="320" w:top="1331" w:right="339" w:bottom="0" w:gutter="0" w:footer="0" w:header="0"/>
          <w:type w:val="continuous"/>
        </w:sectPr>
      </w:pPr>
    </w:p>
    <w:p>
      <w:pPr>
        <w:spacing w:after="0" w:line="8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1010 Wayne Avenue</w:t>
      </w:r>
    </w:p>
    <w:p>
      <w:pPr>
        <w:spacing w:after="0" w:line="22"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14th Floor</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Silver Spring, Maryland 20910</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(301) 429-3200</w:t>
      </w:r>
    </w:p>
    <w:p>
      <w:pPr>
        <w:sectPr>
          <w:pgSz w:w="11900" w:h="16955" w:orient="portrait"/>
          <w:cols w:equalWidth="0" w:num="1">
            <w:col w:w="11240"/>
          </w:cols>
          <w:pgMar w:left="320" w:top="1331" w:right="339"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80" w:lineRule="exact"/>
        <w:rPr>
          <w:sz w:val="24"/>
          <w:szCs w:val="24"/>
          <w:color w:val="auto"/>
        </w:rPr>
      </w:pPr>
    </w:p>
    <w:p>
      <w:pPr>
        <w:ind w:left="360" w:hanging="336"/>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0" w:lineRule="exact"/>
        <w:rPr>
          <w:rFonts w:ascii="Wingdings" w:cs="Wingdings" w:eastAsia="Wingdings" w:hAnsi="Wingdings"/>
          <w:sz w:val="16"/>
          <w:szCs w:val="16"/>
          <w:b w:val="1"/>
          <w:bCs w:val="1"/>
          <w:color w:val="auto"/>
        </w:rPr>
      </w:pPr>
    </w:p>
    <w:p>
      <w:pPr>
        <w:ind w:left="360" w:hanging="336"/>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0" w:lineRule="exact"/>
        <w:rPr>
          <w:rFonts w:ascii="Wingdings" w:cs="Wingdings" w:eastAsia="Wingdings" w:hAnsi="Wingdings"/>
          <w:sz w:val="16"/>
          <w:szCs w:val="16"/>
          <w:b w:val="1"/>
          <w:bCs w:val="1"/>
          <w:color w:val="auto"/>
        </w:rPr>
      </w:pPr>
    </w:p>
    <w:p>
      <w:pPr>
        <w:ind w:left="360" w:hanging="336"/>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0" w:lineRule="exact"/>
        <w:rPr>
          <w:rFonts w:ascii="Wingdings" w:cs="Wingdings" w:eastAsia="Wingdings" w:hAnsi="Wingdings"/>
          <w:sz w:val="16"/>
          <w:szCs w:val="16"/>
          <w:b w:val="1"/>
          <w:bCs w:val="1"/>
          <w:color w:val="auto"/>
        </w:rPr>
      </w:pPr>
    </w:p>
    <w:p>
      <w:pPr>
        <w:ind w:right="3780" w:firstLine="24"/>
        <w:spacing w:after="0" w:line="543" w:lineRule="auto"/>
        <w:tabs>
          <w:tab w:leader="none" w:pos="349"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20" w:type="dxa"/>
            <w:vAlign w:val="bottom"/>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Exchange on which Registered</w:t>
            </w:r>
          </w:p>
        </w:tc>
      </w:tr>
      <w:tr>
        <w:trPr>
          <w:trHeight w:val="220"/>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Class A Common Stock, $.001 Par Value</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UONE</w:t>
            </w:r>
          </w:p>
        </w:tc>
        <w:tc>
          <w:tcPr>
            <w:tcW w:w="4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Stock Market</w:t>
            </w:r>
          </w:p>
        </w:tc>
      </w:t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Class D Common Stock, $.001 Par Value</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UONEK</w:t>
            </w:r>
          </w:p>
        </w:tc>
        <w:tc>
          <w:tcPr>
            <w:tcW w:w="4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Stock Market</w:t>
            </w:r>
          </w:p>
        </w:tc>
      </w:tr>
    </w:tbl>
    <w:p>
      <w:pPr>
        <w:spacing w:after="0" w:line="30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under the Securities Exchange Act of 1934 (§240.12b-2 of this chapter).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205"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1348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54610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right="380"/>
        <w:spacing w:after="0" w:line="27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On June 16, 2026, the Company entered into a new employment agreement with the Company’s Chief Financial Officer, Peter D. Thompson (the “Agreement”). Pursuant to the terms of the Agreement, Mr. Thompson will continue to serve as Executive Vice President and Chief Financial Officer of the Company and Vice President of its wholly-owned subsidiaries through January 6, 2029, unless earlier terminated pursuant to the terms of the agreement.</w:t>
      </w:r>
    </w:p>
    <w:p>
      <w:pPr>
        <w:spacing w:after="0" w:line="15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Thompson will be entitled to an annual base salary of $750,000 and will be eligible for an annual bonus. Mr. Thompson will also receive a signing bonus of $333,333 subject to a pro-rata claw-back if he leaves before the end of the term of the agreement. For each complete calendar year of the term of the Agreement, Mr. Thompson is eligible to receive an annual performance bonus (the “Annual Bonus”) of up to Three Hundred Thousand Dollars ($300,000) (the “Target Bonus”), with the opportunity to earn up to one hundred thirty two percent (132%) of the Target Bonus for superior performance.</w:t>
      </w:r>
    </w:p>
    <w:p>
      <w:pPr>
        <w:spacing w:after="0" w:line="180" w:lineRule="exact"/>
        <w:rPr>
          <w:sz w:val="24"/>
          <w:szCs w:val="24"/>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The amount of any Annual Bonus will be based on the achievement of performance goals established by the Company’s Chief Executive Officer and Board of Directors. Achievement of at least ninety percent (90%) of the Company’s budget for the applicable fiscal year will entitle Mr. Thompson to fifty percent</w:t>
      </w:r>
    </w:p>
    <w:p>
      <w:pPr>
        <w:sectPr>
          <w:pgSz w:w="11900" w:h="16955" w:orient="portrait"/>
          <w:cols w:equalWidth="0" w:num="1">
            <w:col w:w="11240"/>
          </w:cols>
          <w:pgMar w:left="320" w:top="1331" w:right="339" w:bottom="0" w:gutter="0" w:footer="0" w:header="0"/>
          <w:type w:val="continuous"/>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7"/>
          <w:szCs w:val="17"/>
          <w:color w:val="auto"/>
        </w:rPr>
        <w:t>(50%) of the Target Bonus (the “Bonus Threshold”), and achievement of one hundred percent (100%) of such performance goals shall result in one hundred percent (100%) of the Target Bonus being earned. Subject to satisfaction of the Bonus Threshold, the actual Annual Bonus earned may be greater or less than the Target Bonus with a maximum bonus of up to one hundred thirty two percent (132%), as determined by the Compensation Committee in its discretion.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Provided that the material weaknesses identified in the Company’s Form 10-K for the period ended December 31, 2025, are remediated (the “Remediation”), at the end of the term of the Agreement, Mr. Thompson is eligible to receive bonus compensation in the amount of Eight Hundred Fifty Thousand Dollars ($850,000) (“Completion Bonus”), less any applicable withholdings and authorized deductions.</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Finally, Mr. Thompson is eligible to receive certain stock-based compensation as follows: (A) With respect to each of the contract years ending January 6, 2026, and January 6, 2027, Mr. Thompson is eligible to receive Class D common stock with an aggregate value of Seven Hundred Four Thousand Two Hundred Fifty Dollars ($704,250), less applicable tax withholdings and authorized deductions. The grant for the contract year ending January 6, 2026 is to occur made as soon as practicable after execution of the Agreement, and the grant for the contract year ending January 6, 2027, shall be made no later than January 6, 2027. In addition, for each of the contract years 2026 and 2027, the Company is to grant Mr. Thompson shares Class D common stock and/or options to vest based upon certain performance-based measures with a target value of Two Hundred Thirty-Four Thousand Seven Hundred Fifty Thousand Dollars ($234,750) (the “2026-2027 Performance Grants”). (B) With respect to contract years ending January 6, 2028, and January 6, 2029, Mr. Thompson is eligible to receive Class D common stock with an aggregate value of Four Hundred Sixty-Nine Five Hundred Thousand Dollars ($469,500), less applicable tax withholdings and authorized deductions. The grants for the contract years ending January 6, 2028, and January 6, 2029, shall be made no later than January 6, 2028, and January 6, 2029, respectively.</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for each of the contract years ending January 6, 2028, and January 6, 2029, the Company is to grant Mr. Thompson shares of Class D common stock and/or options to vest based upon certain performance-based measures with a target value of Four Hundred Sixty-Nine Five Hundred Thousand Dollars ($469,500) (the “2028-2029 Performance Grants”). All of the performance-based equity awards are subject to metrics, timing and conditions established annually by the Compensation Committee, consistent with those applied to other executive officers.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summary of the terms of Mr. Thompson’s employment agreement does not purport to be complete and is qualified by reference to the full text of his agreement, a copy of which attached as Exhibit 10.1 hereto.</w:t>
      </w:r>
    </w:p>
    <w:p>
      <w:pPr>
        <w:spacing w:after="0" w:line="16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proposals were submitted to the stockholders at the Urban One, Inc. (the “Company”) 2026 Annual Meeting of Stockholders held on June 11, 2026 (“Annual 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675005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74" w:lineRule="auto"/>
        <w:rPr>
          <w:sz w:val="20"/>
          <w:szCs w:val="20"/>
          <w:color w:val="auto"/>
        </w:rPr>
      </w:pPr>
      <w:r>
        <w:rPr>
          <w:rFonts w:ascii="Times New Roman" w:cs="Times New Roman" w:eastAsia="Times New Roman" w:hAnsi="Times New Roman"/>
          <w:sz w:val="18"/>
          <w:szCs w:val="18"/>
          <w:color w:val="auto"/>
        </w:rPr>
        <w:t>The election of Terry L. Jones and Brian W. McNeill as Class A directors to serve until the 2027 annual meeting of stockholders or until their successors are duly elected and qualified.</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election of Catherine L. Hughes, Alfred C. Liggins, III, B. Doyle Mitchell, Jr. and D. Geoffrey Armstrong as Class B directors to serve until the 2027 annual meeting of stockholders or until their successors are duly elected and qualified.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the Urban One, Inc. 2026 Equity and Performance Incentive Plan.</w:t>
      </w:r>
    </w:p>
    <w:p>
      <w:pPr>
        <w:spacing w:after="0" w:line="2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 December 31, 2026.</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For more information about the foregoing proposals, see our proxy statement dated April 28, 2026 and filed May 8, 2026, the relevant portions of which are incorporated herein by reference. To be elected, each Class A director nominee must receive the affirmative vote of a plurality of the votes cast by the holders of the Class A common stock. Each Class B director nominees are elected by the holders of Class A common stock and Class B common stock voting together as a single class but each share of Class A common stock is entitled to one vote and each share of Class B common stock is entitled to ten votes. Members of our board of directors are elected by a plurality of votes cast. This means that the nominees that received the most votes cast were elected to the board, even if they did not receive a majority of votes cast. At the close of business on May 1, 2026 there were 615,000 outstanding shares of our Class A common stock and 286,183 outstanding shares of our Class B common stock. Accordingly, a total of 3,476,830 votes could be cast at the meeting. Class C and Class D common stock were not entitled to vote on any proposal presented at the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votes cast for and against and the number of abstentions and non-votes with respect to each matter voted upon are set forth below:</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Election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713486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74" w:lineRule="exact"/>
        <w:rPr>
          <w:sz w:val="20"/>
          <w:szCs w:val="20"/>
          <w:color w:val="auto"/>
        </w:rPr>
      </w:pPr>
    </w:p>
    <w:p>
      <w:pPr>
        <w:ind w:left="20"/>
        <w:spacing w:after="0"/>
        <w:tabs>
          <w:tab w:leader="none" w:pos="5140" w:val="left"/>
          <w:tab w:leader="none" w:pos="7300" w:val="left"/>
          <w:tab w:leader="none" w:pos="9780" w:val="left"/>
        </w:tabs>
        <w:rPr>
          <w:sz w:val="20"/>
          <w:szCs w:val="20"/>
          <w:color w:val="auto"/>
        </w:rPr>
      </w:pPr>
      <w:r>
        <w:rPr>
          <w:rFonts w:ascii="Times New Roman" w:cs="Times New Roman" w:eastAsia="Times New Roman" w:hAnsi="Times New Roman"/>
          <w:sz w:val="14"/>
          <w:szCs w:val="14"/>
          <w:b w:val="1"/>
          <w:bCs w:val="1"/>
          <w:color w:val="auto"/>
        </w:rPr>
        <w:t>Class A Director Nominee</w:t>
      </w:r>
      <w:r>
        <w:rPr>
          <w:sz w:val="20"/>
          <w:szCs w:val="20"/>
          <w:color w:val="auto"/>
        </w:rPr>
        <w:tab/>
      </w:r>
      <w:r>
        <w:rPr>
          <w:rFonts w:ascii="Times New Roman" w:cs="Times New Roman" w:eastAsia="Times New Roman" w:hAnsi="Times New Roman"/>
          <w:sz w:val="14"/>
          <w:szCs w:val="14"/>
          <w:b w:val="1"/>
          <w:bCs w:val="1"/>
          <w:color w:val="auto"/>
        </w:rPr>
        <w:t>Votes For</w:t>
      </w:r>
      <w:r>
        <w:rPr>
          <w:sz w:val="20"/>
          <w:szCs w:val="20"/>
          <w:color w:val="auto"/>
        </w:rPr>
        <w:tab/>
      </w:r>
      <w:r>
        <w:rPr>
          <w:rFonts w:ascii="Times New Roman" w:cs="Times New Roman" w:eastAsia="Times New Roman" w:hAnsi="Times New Roman"/>
          <w:sz w:val="14"/>
          <w:szCs w:val="14"/>
          <w:b w:val="1"/>
          <w:bCs w:val="1"/>
          <w:color w:val="auto"/>
        </w:rPr>
        <w:t>Votes Withheld</w:t>
      </w:r>
      <w:r>
        <w:rPr>
          <w:sz w:val="20"/>
          <w:szCs w:val="20"/>
          <w:color w:val="auto"/>
        </w:rPr>
        <w:tab/>
      </w:r>
      <w:r>
        <w:rPr>
          <w:rFonts w:ascii="Times New Roman" w:cs="Times New Roman" w:eastAsia="Times New Roman" w:hAnsi="Times New Roman"/>
          <w:sz w:val="13"/>
          <w:szCs w:val="13"/>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2746375</wp:posOffset>
            </wp:positionH>
            <wp:positionV relativeFrom="paragraph">
              <wp:posOffset>39370</wp:posOffset>
            </wp:positionV>
            <wp:extent cx="439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9166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 L. Jones</w:t>
            </w:r>
          </w:p>
        </w:tc>
        <w:tc>
          <w:tcPr>
            <w:tcW w:w="328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9"/>
              </w:rPr>
              <w:t>218,773</w:t>
            </w:r>
          </w:p>
        </w:tc>
        <w:tc>
          <w:tcPr>
            <w:tcW w:w="22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45,583</w:t>
            </w:r>
          </w:p>
        </w:tc>
        <w:tc>
          <w:tcPr>
            <w:tcW w:w="232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216,776</w:t>
            </w:r>
          </w:p>
        </w:tc>
      </w:tr>
      <w:tr>
        <w:trPr>
          <w:trHeight w:val="25"/>
        </w:trPr>
        <w:tc>
          <w:tcPr>
            <w:tcW w:w="33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W. McNeill</w:t>
            </w:r>
          </w:p>
        </w:tc>
        <w:tc>
          <w:tcPr>
            <w:tcW w:w="3280" w:type="dxa"/>
            <w:vAlign w:val="bottom"/>
            <w:tcBorders>
              <w:bottom w:val="single" w:sz="8" w:color="CCEEFF"/>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218,694</w:t>
            </w:r>
          </w:p>
        </w:tc>
        <w:tc>
          <w:tcPr>
            <w:tcW w:w="22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45,662</w:t>
            </w:r>
          </w:p>
        </w:tc>
        <w:tc>
          <w:tcPr>
            <w:tcW w:w="232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216,776</w:t>
            </w:r>
          </w:p>
        </w:tc>
      </w:tr>
      <w:tr>
        <w:trPr>
          <w:trHeight w:val="188"/>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B Director Nominee</w:t>
            </w:r>
          </w:p>
        </w:tc>
        <w:tc>
          <w:tcPr>
            <w:tcW w:w="3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8"/>
        </w:trPr>
        <w:tc>
          <w:tcPr>
            <w:tcW w:w="33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Catherine L. Hughes</w:t>
            </w:r>
          </w:p>
        </w:tc>
        <w:tc>
          <w:tcPr>
            <w:tcW w:w="3280" w:type="dxa"/>
            <w:vAlign w:val="bottom"/>
            <w:tcBorders>
              <w:bottom w:val="single" w:sz="8" w:color="CCEEFF"/>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7"/>
              </w:rPr>
              <w:t>3,082,577</w:t>
            </w:r>
          </w:p>
        </w:tc>
        <w:tc>
          <w:tcPr>
            <w:tcW w:w="22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43,609</w:t>
            </w:r>
          </w:p>
        </w:tc>
        <w:tc>
          <w:tcPr>
            <w:tcW w:w="232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216,776</w:t>
            </w: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Alfred C. Liggins, III</w:t>
            </w:r>
          </w:p>
        </w:tc>
        <w:tc>
          <w:tcPr>
            <w:tcW w:w="328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7"/>
              </w:rPr>
              <w:t>3,084,113</w:t>
            </w:r>
          </w:p>
        </w:tc>
        <w:tc>
          <w:tcPr>
            <w:tcW w:w="22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42,073</w:t>
            </w:r>
          </w:p>
        </w:tc>
        <w:tc>
          <w:tcPr>
            <w:tcW w:w="232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216,776</w:t>
            </w:r>
          </w:p>
        </w:tc>
      </w:tr>
      <w:tr>
        <w:trPr>
          <w:trHeight w:val="25"/>
        </w:trPr>
        <w:tc>
          <w:tcPr>
            <w:tcW w:w="33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 Doyle Mitchell, Jr.</w:t>
            </w:r>
          </w:p>
        </w:tc>
        <w:tc>
          <w:tcPr>
            <w:tcW w:w="3280" w:type="dxa"/>
            <w:vAlign w:val="bottom"/>
            <w:tcBorders>
              <w:bottom w:val="single" w:sz="8" w:color="CCEEFF"/>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7"/>
              </w:rPr>
              <w:t>3,083,446</w:t>
            </w:r>
          </w:p>
        </w:tc>
        <w:tc>
          <w:tcPr>
            <w:tcW w:w="22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42,740</w:t>
            </w:r>
          </w:p>
        </w:tc>
        <w:tc>
          <w:tcPr>
            <w:tcW w:w="232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216,776</w:t>
            </w: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Geoffrey Armstrong</w:t>
            </w:r>
          </w:p>
        </w:tc>
        <w:tc>
          <w:tcPr>
            <w:tcW w:w="328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7"/>
              </w:rPr>
              <w:t>3,081,780</w:t>
            </w:r>
          </w:p>
        </w:tc>
        <w:tc>
          <w:tcPr>
            <w:tcW w:w="22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44,406</w:t>
            </w:r>
          </w:p>
        </w:tc>
        <w:tc>
          <w:tcPr>
            <w:tcW w:w="232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216,776</w:t>
            </w:r>
          </w:p>
        </w:tc>
      </w:tr>
    </w:tbl>
    <w:p>
      <w:pPr>
        <w:spacing w:after="0" w:line="338"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The six nominees were elected to the Board of Directors and will serve as directors until our next annual meeting or until their respective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691515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Urban One, Inc. 2026 Equity and Performance Incentive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voting included 3,083,564 votes for, 41,890 votes against, and 217,508 votes abstained.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Ratification of PricewaterhouseCoopers LLP as Urban One's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voting included 3,336,914 votes for, 2,541 votes against, and 3,507 votes abstained. The appointment was ratified.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  Exhibits.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5"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0000FF"/>
        </w:rPr>
        <w:t>Peter D. Thompson Employment Agreement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Pursuant to Item 601(b)(10) of Regulation S-K, certain identified information has been excluded</w:t>
      </w:r>
    </w:p>
    <w:p>
      <w:pPr>
        <w:spacing w:after="0" w:line="36" w:lineRule="exact"/>
        <w:rPr>
          <w:sz w:val="20"/>
          <w:szCs w:val="20"/>
          <w:color w:val="auto"/>
        </w:rPr>
      </w:pPr>
    </w:p>
    <w:p>
      <w:pPr>
        <w:ind w:left="1000" w:hanging="966"/>
        <w:spacing w:after="0" w:line="251" w:lineRule="auto"/>
        <w:tabs>
          <w:tab w:leader="none" w:pos="9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from this exhibit because it is both not material and is the type that URBAN ONE, Inc. treats as private or confidential. Such information is marked in the exhibit with an asterisk [*].</w:t>
      </w:r>
    </w:p>
    <w:p>
      <w:pPr>
        <w:spacing w:after="0" w:line="25"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910590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12"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URBAN ONE, INC.</w:t>
      </w:r>
    </w:p>
    <w:p>
      <w:pPr>
        <w:spacing w:after="0" w:line="27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31750</wp:posOffset>
            </wp:positionV>
            <wp:extent cx="3435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5985" cy="8255"/>
                    </a:xfrm>
                    <a:prstGeom prst="rect">
                      <a:avLst/>
                    </a:prstGeom>
                    <a:noFill/>
                  </pic:spPr>
                </pic:pic>
              </a:graphicData>
            </a:graphic>
          </wp:anchor>
        </w:drawing>
      </w:r>
    </w:p>
    <w:p>
      <w:pPr>
        <w:spacing w:after="0" w:line="51" w:lineRule="exact"/>
        <w:rPr>
          <w:sz w:val="20"/>
          <w:szCs w:val="20"/>
          <w:color w:val="auto"/>
        </w:rPr>
      </w:pPr>
    </w:p>
    <w:p>
      <w:pPr>
        <w:ind w:left="340"/>
        <w:spacing w:after="0"/>
        <w:tabs>
          <w:tab w:leader="none" w:pos="5920" w:val="left"/>
        </w:tabs>
        <w:rPr>
          <w:sz w:val="20"/>
          <w:szCs w:val="20"/>
          <w:color w:val="auto"/>
        </w:rPr>
      </w:pPr>
      <w:r>
        <w:rPr>
          <w:rFonts w:ascii="Times New Roman" w:cs="Times New Roman" w:eastAsia="Times New Roman" w:hAnsi="Times New Roman"/>
          <w:sz w:val="18"/>
          <w:szCs w:val="18"/>
          <w:color w:val="auto"/>
        </w:rPr>
        <w:t>June 16, 2026</w:t>
      </w:r>
      <w:r>
        <w:rPr>
          <w:sz w:val="20"/>
          <w:szCs w:val="20"/>
          <w:color w:val="auto"/>
        </w:rPr>
        <w:tab/>
      </w:r>
      <w:r>
        <w:rPr>
          <w:rFonts w:ascii="Times New Roman" w:cs="Times New Roman" w:eastAsia="Times New Roman" w:hAnsi="Times New Roman"/>
          <w:sz w:val="17"/>
          <w:szCs w:val="17"/>
          <w:color w:val="auto"/>
        </w:rPr>
        <w:t>Peter D. Thompson</w:t>
      </w:r>
    </w:p>
    <w:p>
      <w:pPr>
        <w:spacing w:after="0" w:line="5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ectPr>
          <w:pgSz w:w="11900" w:h="16838" w:orient="portrait"/>
          <w:cols w:equalWidth="0" w:num="1">
            <w:col w:w="11240"/>
          </w:cols>
          <w:pgMar w:left="320" w:top="108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20"/>
        <w:spacing w:after="0" w:line="261" w:lineRule="auto"/>
        <w:rPr>
          <w:sz w:val="20"/>
          <w:szCs w:val="20"/>
          <w:color w:val="auto"/>
        </w:rPr>
      </w:pPr>
      <w:r>
        <w:rPr>
          <w:rFonts w:ascii="Times New Roman" w:cs="Times New Roman" w:eastAsia="Times New Roman" w:hAnsi="Times New Roman"/>
          <w:sz w:val="18"/>
          <w:szCs w:val="18"/>
          <w:b w:val="1"/>
          <w:bCs w:val="1"/>
          <w:u w:val="single" w:color="auto"/>
          <w:color w:val="auto"/>
        </w:rPr>
        <w:t>TE</w:t>
      </w:r>
      <w:r>
        <w:rPr>
          <w:rFonts w:ascii="Times New Roman" w:cs="Times New Roman" w:eastAsia="Times New Roman" w:hAnsi="Times New Roman"/>
          <w:sz w:val="18"/>
          <w:szCs w:val="18"/>
          <w:b w:val="1"/>
          <w:bCs w:val="1"/>
          <w:color w:val="auto"/>
        </w:rPr>
        <w:t>: PURSUANT TO ITEM 601(B)(10) OF REGULATION S-K, CERTAIN IDENTIFIED INFORMATION HAS BEEN EXCLUDED FROM THIS EXHIBIT BECAUSE IT IS BOTH NOT MATERIAL AND IS THE TYPE THAT URBAN ONE, INC. TREATS AS PRIVATE OR CONFIDENTIAL. SUCH INFORMATION IS MARKED IN THE EXHIBIT WITH AN ASTERISK [*].</w:t>
      </w: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49" w:lineRule="exact"/>
        <w:rPr>
          <w:sz w:val="20"/>
          <w:szCs w:val="20"/>
          <w:color w:val="auto"/>
        </w:rPr>
      </w:pPr>
    </w:p>
    <w:p>
      <w:pPr>
        <w:jc w:val="both"/>
        <w:ind w:left="340" w:right="160"/>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THIS AGREEMENT </w:t>
      </w:r>
      <w:r>
        <w:rPr>
          <w:rFonts w:ascii="Times New Roman" w:cs="Times New Roman" w:eastAsia="Times New Roman" w:hAnsi="Times New Roman"/>
          <w:sz w:val="21"/>
          <w:szCs w:val="21"/>
          <w:color w:val="auto"/>
        </w:rPr>
        <w:t>(“Agreement”) is made and entered into June 16th, 2026, but effective as of the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January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Date”), by and between Urban One, Inc. (“Company”), a Delaware corporation having its principal place of business at 1010 Wayne Avenue, 14th Floor, Silver Spring, Maryland, and Peter D. Thompson (“Employee”), an individual residing at [*].</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49" w:lineRule="exact"/>
        <w:rPr>
          <w:sz w:val="20"/>
          <w:szCs w:val="20"/>
          <w:color w:val="auto"/>
        </w:rPr>
      </w:pPr>
    </w:p>
    <w:p>
      <w:pPr>
        <w:jc w:val="both"/>
        <w:ind w:left="420" w:right="320"/>
        <w:spacing w:after="0" w:line="27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Company is engaged in the business of owning and managing broadcast media, directly and through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and affiliates, including certain radio stations, cable television networks and websites serving various Nielsen Audio Total Survey Areas; and</w:t>
      </w:r>
    </w:p>
    <w:p>
      <w:pPr>
        <w:spacing w:after="0" w:line="161" w:lineRule="exact"/>
        <w:rPr>
          <w:sz w:val="20"/>
          <w:szCs w:val="20"/>
          <w:color w:val="auto"/>
        </w:rPr>
      </w:pPr>
    </w:p>
    <w:p>
      <w:pPr>
        <w:jc w:val="both"/>
        <w:ind w:left="420" w:right="320"/>
        <w:spacing w:after="0" w:line="28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Company desires to continue to employ Employee to perform such services as described below,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terms hereof; and</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Employee desires to be employed by Company, in accordance with the terms hereof;</w:t>
      </w:r>
    </w:p>
    <w:p>
      <w:pPr>
        <w:spacing w:after="0" w:line="249" w:lineRule="exact"/>
        <w:rPr>
          <w:sz w:val="20"/>
          <w:szCs w:val="20"/>
          <w:color w:val="auto"/>
        </w:rPr>
      </w:pPr>
    </w:p>
    <w:p>
      <w:pPr>
        <w:jc w:val="both"/>
        <w:ind w:left="420" w:right="30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foregoing and of the mutual covenants hereinafter set forth, and for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are hereby acknowledged, Company and Employee, intending to be legally bound, hereby agree as follows:</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COVENANTS</w:t>
      </w:r>
    </w:p>
    <w:p>
      <w:pPr>
        <w:spacing w:after="0" w:line="266" w:lineRule="exact"/>
        <w:rPr>
          <w:sz w:val="20"/>
          <w:szCs w:val="20"/>
          <w:color w:val="auto"/>
        </w:rPr>
      </w:pPr>
    </w:p>
    <w:p>
      <w:pPr>
        <w:ind w:left="1060" w:right="540" w:hanging="634"/>
        <w:spacing w:after="0" w:line="272" w:lineRule="auto"/>
        <w:tabs>
          <w:tab w:leader="none" w:pos="10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w:t>
      </w:r>
      <w:r>
        <w:rPr>
          <w:rFonts w:ascii="Times New Roman" w:cs="Times New Roman" w:eastAsia="Times New Roman" w:hAnsi="Times New Roman"/>
          <w:sz w:val="21"/>
          <w:szCs w:val="21"/>
          <w:color w:val="auto"/>
        </w:rPr>
        <w:t>. Company hereby employs Employee in the position of Executive Vice President and Chief Financial Officer.</w:t>
      </w:r>
    </w:p>
    <w:p>
      <w:pPr>
        <w:spacing w:after="0" w:line="194" w:lineRule="exact"/>
        <w:rPr>
          <w:rFonts w:ascii="Times New Roman" w:cs="Times New Roman" w:eastAsia="Times New Roman" w:hAnsi="Times New Roman"/>
          <w:sz w:val="21"/>
          <w:szCs w:val="21"/>
          <w:color w:val="auto"/>
        </w:rPr>
      </w:pPr>
    </w:p>
    <w:p>
      <w:pPr>
        <w:ind w:left="1060" w:hanging="634"/>
        <w:spacing w:after="0"/>
        <w:tabs>
          <w:tab w:leader="none" w:pos="10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and Exclusive Negotiation Period</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jc w:val="both"/>
        <w:ind w:left="1580" w:right="300" w:hanging="518"/>
        <w:spacing w:after="0" w:line="267" w:lineRule="auto"/>
        <w:tabs>
          <w:tab w:leader="none" w:pos="1571"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Employee’s employment under this Agreement shall commence on January 7, 2025 (“Commencement Date”) and shall continue in full force and effect for a period of four (4) years until January 6, 2029 (“Term”), unless earlier terminated by Company pursuant to the provisions of Section 10 hereof.</w:t>
      </w:r>
    </w:p>
    <w:p>
      <w:pPr>
        <w:spacing w:after="0" w:line="42" w:lineRule="exact"/>
        <w:rPr>
          <w:rFonts w:ascii="Times New Roman" w:cs="Times New Roman" w:eastAsia="Times New Roman" w:hAnsi="Times New Roman"/>
          <w:sz w:val="21"/>
          <w:szCs w:val="21"/>
          <w:color w:val="auto"/>
        </w:rPr>
      </w:pPr>
    </w:p>
    <w:p>
      <w:pPr>
        <w:jc w:val="both"/>
        <w:ind w:left="1580" w:right="300" w:hanging="518"/>
        <w:spacing w:after="0" w:line="258" w:lineRule="auto"/>
        <w:tabs>
          <w:tab w:leader="none" w:pos="157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Negotiation Period</w:t>
      </w:r>
      <w:r>
        <w:rPr>
          <w:rFonts w:ascii="Times New Roman" w:cs="Times New Roman" w:eastAsia="Times New Roman" w:hAnsi="Times New Roman"/>
          <w:sz w:val="21"/>
          <w:szCs w:val="21"/>
          <w:color w:val="auto"/>
        </w:rPr>
        <w:t>. The parties hereto agree that either of them may initiate a period of exclusive good faith negotiation to commence no earlier than ninety (90) days prior to the expiration date of this Agreement and terminate thirty</w:t>
      </w:r>
    </w:p>
    <w:p>
      <w:pPr>
        <w:jc w:val="both"/>
        <w:ind w:left="1580" w:right="30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(30) days after Employee ceases to be employed by Company (“Exclusive Negotiation Period”), during which time the parties will engage in exclusive good faith negotiations for extending this Agreement on mutually agreeable terms and conditions. If either party initiates negotiations, Company agrees to provide</w:t>
      </w: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340"/>
          </w:cols>
          <w:pgMar w:left="220" w:top="121" w:right="339" w:bottom="1440" w:gutter="0" w:footer="0" w:header="0"/>
        </w:sectPr>
      </w:pPr>
    </w:p>
    <w:bookmarkStart w:id="6" w:name="page7"/>
    <w:bookmarkEnd w:id="6"/>
    <w:p>
      <w:pPr>
        <w:jc w:val="both"/>
        <w:ind w:left="1400"/>
        <w:spacing w:after="0" w:line="262" w:lineRule="auto"/>
        <w:rPr>
          <w:sz w:val="20"/>
          <w:szCs w:val="20"/>
          <w:color w:val="auto"/>
        </w:rPr>
      </w:pPr>
      <w:r>
        <w:rPr>
          <w:rFonts w:ascii="Times New Roman" w:cs="Times New Roman" w:eastAsia="Times New Roman" w:hAnsi="Times New Roman"/>
          <w:sz w:val="21"/>
          <w:szCs w:val="21"/>
          <w:color w:val="auto"/>
        </w:rPr>
        <w:t>Employee with the compensation terms that Company would be willing to pay to extend the Agreement for an additional period of time beyond the Term. If the parties are unable to reach agreement to extend this Agreement within the Exclusive Negotiation Period, Employee thereafter shall be permitted to solicit and/or entertain offers from, and to negotiate with, third parties, following the expiration of the Exclusive Negotiation Period.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860"/>
          </w:cols>
          <w:pgMar w:left="400" w:top="1238" w:right="639" w:bottom="1440" w:gutter="0" w:footer="0" w:header="0"/>
        </w:sectPr>
      </w:pPr>
    </w:p>
    <w:bookmarkStart w:id="7" w:name="page8"/>
    <w:bookmarkEnd w:id="7"/>
    <w:p>
      <w:pPr>
        <w:spacing w:after="0" w:line="51" w:lineRule="exact"/>
        <w:rPr>
          <w:sz w:val="20"/>
          <w:szCs w:val="20"/>
          <w:color w:val="auto"/>
        </w:rPr>
      </w:pPr>
    </w:p>
    <w:p>
      <w:pPr>
        <w:ind w:left="880" w:hanging="634"/>
        <w:spacing w:after="0"/>
        <w:tabs>
          <w:tab w:leader="none" w:pos="8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w:t>
      </w:r>
    </w:p>
    <w:p>
      <w:pPr>
        <w:spacing w:after="0" w:line="248" w:lineRule="exact"/>
        <w:rPr>
          <w:rFonts w:ascii="Times New Roman" w:cs="Times New Roman" w:eastAsia="Times New Roman" w:hAnsi="Times New Roman"/>
          <w:sz w:val="21"/>
          <w:szCs w:val="21"/>
          <w:color w:val="auto"/>
        </w:rPr>
      </w:pPr>
    </w:p>
    <w:p>
      <w:pPr>
        <w:ind w:left="8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3.1.   Employee hereby agrees to the following, without limitation:</w:t>
      </w:r>
    </w:p>
    <w:p>
      <w:pPr>
        <w:spacing w:after="0" w:line="262" w:lineRule="exact"/>
        <w:rPr>
          <w:rFonts w:ascii="Times New Roman" w:cs="Times New Roman" w:eastAsia="Times New Roman" w:hAnsi="Times New Roman"/>
          <w:sz w:val="21"/>
          <w:szCs w:val="21"/>
          <w:color w:val="auto"/>
        </w:rPr>
      </w:pPr>
    </w:p>
    <w:p>
      <w:pPr>
        <w:ind w:left="1520" w:right="160" w:hanging="638"/>
        <w:spacing w:after="0" w:line="298" w:lineRule="auto"/>
        <w:tabs>
          <w:tab w:leader="none" w:pos="1517"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perform such duties as are usual and customary for a Chief Financial Officer, including achieving annual business and performance objectives as established by the Chief Executive Officer.</w:t>
      </w:r>
    </w:p>
    <w:p>
      <w:pPr>
        <w:spacing w:after="0" w:line="142" w:lineRule="exact"/>
        <w:rPr>
          <w:rFonts w:ascii="Times New Roman" w:cs="Times New Roman" w:eastAsia="Times New Roman" w:hAnsi="Times New Roman"/>
          <w:sz w:val="21"/>
          <w:szCs w:val="21"/>
          <w:color w:val="auto"/>
        </w:rPr>
      </w:pPr>
    </w:p>
    <w:p>
      <w:pPr>
        <w:ind w:left="1520" w:right="140" w:hanging="638"/>
        <w:spacing w:after="0" w:line="272" w:lineRule="auto"/>
        <w:tabs>
          <w:tab w:leader="none" w:pos="151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performance shall be at the direction of, and in accordance with the determination of, the Chief Executive Officer.</w:t>
      </w:r>
    </w:p>
    <w:p>
      <w:pPr>
        <w:spacing w:after="0" w:line="195" w:lineRule="exact"/>
        <w:rPr>
          <w:sz w:val="20"/>
          <w:szCs w:val="20"/>
          <w:color w:val="auto"/>
        </w:rPr>
      </w:pPr>
    </w:p>
    <w:p>
      <w:pPr>
        <w:ind w:left="1520" w:right="160" w:hanging="635"/>
        <w:spacing w:after="0" w:line="272" w:lineRule="auto"/>
        <w:tabs>
          <w:tab w:leader="none" w:pos="1500" w:val="left"/>
        </w:tabs>
        <w:rPr>
          <w:sz w:val="20"/>
          <w:szCs w:val="20"/>
          <w:color w:val="auto"/>
        </w:rPr>
      </w:pPr>
      <w:r>
        <w:rPr>
          <w:rFonts w:ascii="Times New Roman" w:cs="Times New Roman" w:eastAsia="Times New Roman" w:hAnsi="Times New Roman"/>
          <w:sz w:val="21"/>
          <w:szCs w:val="21"/>
          <w:color w:val="auto"/>
        </w:rPr>
        <w:t>3.2.</w:t>
        <w:tab/>
        <w:t>Employee shall devote Employee’s best efforts to the business and affairs of Company and the performance of Employee’s duties under this Agreement.</w:t>
      </w:r>
    </w:p>
    <w:p>
      <w:pPr>
        <w:spacing w:after="0" w:line="75" w:lineRule="exact"/>
        <w:rPr>
          <w:sz w:val="20"/>
          <w:szCs w:val="20"/>
          <w:color w:val="auto"/>
        </w:rPr>
      </w:pPr>
    </w:p>
    <w:p>
      <w:pPr>
        <w:jc w:val="both"/>
        <w:ind w:left="1520" w:right="180" w:hanging="635"/>
        <w:spacing w:after="0" w:line="253" w:lineRule="auto"/>
        <w:tabs>
          <w:tab w:leader="none" w:pos="1500" w:val="left"/>
        </w:tabs>
        <w:rPr>
          <w:sz w:val="20"/>
          <w:szCs w:val="20"/>
          <w:color w:val="auto"/>
        </w:rPr>
      </w:pPr>
      <w:r>
        <w:rPr>
          <w:rFonts w:ascii="Times New Roman" w:cs="Times New Roman" w:eastAsia="Times New Roman" w:hAnsi="Times New Roman"/>
          <w:sz w:val="21"/>
          <w:szCs w:val="21"/>
          <w:color w:val="auto"/>
        </w:rPr>
        <w:t>3.3.</w:t>
        <w:tab/>
        <w:t xml:space="preserve">Employee shall devote Employee’s full time, energy, and skill to the performance of the services in which Company is engaged, at such time and place as Company may direct. Employee shall not undertake, either as an owner, director, shareholder, employee or otherwise, the performance of services for compensation (actual or </w:t>
      </w:r>
      <w:r>
        <w:rPr>
          <w:rFonts w:ascii="Times New Roman" w:cs="Times New Roman" w:eastAsia="Times New Roman" w:hAnsi="Times New Roman"/>
          <w:sz w:val="19"/>
          <w:szCs w:val="19"/>
          <w:color w:val="auto"/>
        </w:rPr>
        <w:t>expected), either directly or indirectly, on behalf of Employee or any other person or entity, without the prior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express written consent of Company.</w:t>
      </w:r>
    </w:p>
    <w:p>
      <w:pPr>
        <w:spacing w:after="0" w:line="209" w:lineRule="exact"/>
        <w:rPr>
          <w:sz w:val="20"/>
          <w:szCs w:val="20"/>
          <w:color w:val="auto"/>
        </w:rPr>
      </w:pPr>
    </w:p>
    <w:p>
      <w:pPr>
        <w:ind w:left="1520" w:right="160" w:hanging="635"/>
        <w:spacing w:after="0" w:line="272" w:lineRule="auto"/>
        <w:tabs>
          <w:tab w:leader="none" w:pos="1500" w:val="left"/>
        </w:tabs>
        <w:rPr>
          <w:sz w:val="20"/>
          <w:szCs w:val="20"/>
          <w:color w:val="auto"/>
        </w:rPr>
      </w:pPr>
      <w:r>
        <w:rPr>
          <w:rFonts w:ascii="Times New Roman" w:cs="Times New Roman" w:eastAsia="Times New Roman" w:hAnsi="Times New Roman"/>
          <w:sz w:val="21"/>
          <w:szCs w:val="21"/>
          <w:color w:val="auto"/>
        </w:rPr>
        <w:t>3.4.</w:t>
        <w:tab/>
        <w:t>Employee shall faithfully and industriously assume and perform with skill, care, diligence, and attention all responsibilities and duties connected with Employee’s employment on behalf of Company.</w:t>
      </w:r>
    </w:p>
    <w:p>
      <w:pPr>
        <w:spacing w:after="0" w:line="181" w:lineRule="exact"/>
        <w:rPr>
          <w:sz w:val="20"/>
          <w:szCs w:val="20"/>
          <w:color w:val="auto"/>
        </w:rPr>
      </w:pPr>
    </w:p>
    <w:p>
      <w:pPr>
        <w:ind w:left="880"/>
        <w:spacing w:after="0"/>
        <w:tabs>
          <w:tab w:leader="none" w:pos="1500" w:val="left"/>
        </w:tabs>
        <w:rPr>
          <w:sz w:val="20"/>
          <w:szCs w:val="20"/>
          <w:color w:val="auto"/>
        </w:rPr>
      </w:pPr>
      <w:r>
        <w:rPr>
          <w:rFonts w:ascii="Times New Roman" w:cs="Times New Roman" w:eastAsia="Times New Roman" w:hAnsi="Times New Roman"/>
          <w:sz w:val="21"/>
          <w:szCs w:val="21"/>
          <w:color w:val="auto"/>
        </w:rPr>
        <w:t>3.5.</w:t>
        <w:tab/>
        <w:t>The normal working hours of Employee shall be as established by the Chief Executive Officer.</w:t>
      </w:r>
    </w:p>
    <w:p>
      <w:pPr>
        <w:spacing w:after="0" w:line="249" w:lineRule="exact"/>
        <w:rPr>
          <w:sz w:val="20"/>
          <w:szCs w:val="20"/>
          <w:color w:val="auto"/>
        </w:rPr>
      </w:pPr>
    </w:p>
    <w:p>
      <w:pPr>
        <w:ind w:left="1520" w:right="140" w:hanging="635"/>
        <w:spacing w:after="0" w:line="285" w:lineRule="auto"/>
        <w:tabs>
          <w:tab w:leader="none" w:pos="1500" w:val="left"/>
        </w:tabs>
        <w:rPr>
          <w:sz w:val="20"/>
          <w:szCs w:val="20"/>
          <w:color w:val="auto"/>
        </w:rPr>
      </w:pPr>
      <w:r>
        <w:rPr>
          <w:rFonts w:ascii="Times New Roman" w:cs="Times New Roman" w:eastAsia="Times New Roman" w:hAnsi="Times New Roman"/>
          <w:sz w:val="21"/>
          <w:szCs w:val="21"/>
          <w:color w:val="auto"/>
        </w:rPr>
        <w:t>3.6.</w:t>
        <w:tab/>
        <w:t>Employee shall be based in Company’s Corporate Offices in Silver Spring, Maryland and shall reside in the Washington, D.C. metropolitan area.</w:t>
      </w:r>
    </w:p>
    <w:p>
      <w:pPr>
        <w:spacing w:after="0" w:line="182" w:lineRule="exact"/>
        <w:rPr>
          <w:sz w:val="20"/>
          <w:szCs w:val="20"/>
          <w:color w:val="auto"/>
        </w:rPr>
      </w:pPr>
    </w:p>
    <w:p>
      <w:pPr>
        <w:ind w:left="880" w:hanging="634"/>
        <w:spacing w:after="0"/>
        <w:tabs>
          <w:tab w:leader="none" w:pos="8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color w:val="auto"/>
        </w:rPr>
      </w:pPr>
    </w:p>
    <w:p>
      <w:pPr>
        <w:jc w:val="both"/>
        <w:ind w:left="1400" w:right="20" w:hanging="518"/>
        <w:spacing w:after="0" w:line="261" w:lineRule="auto"/>
        <w:tabs>
          <w:tab w:leader="none" w:pos="1391"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Compensation</w:t>
      </w:r>
      <w:r>
        <w:rPr>
          <w:rFonts w:ascii="Times New Roman" w:cs="Times New Roman" w:eastAsia="Times New Roman" w:hAnsi="Times New Roman"/>
          <w:sz w:val="21"/>
          <w:szCs w:val="21"/>
          <w:color w:val="auto"/>
        </w:rPr>
        <w:t>. Subject to subsection (b) hereof, effective as of January 7, 2025, Employee’s base compensation shall be the amount of Seven Hundred Fifty Thousand Dollars ($750,000) per year, subject to applicable withholdings and authorized deductions, and payable semimonthly in accordance with Company’s standard payroll schedule and policy.</w:t>
      </w:r>
    </w:p>
    <w:p>
      <w:pPr>
        <w:spacing w:after="0" w:line="195" w:lineRule="exact"/>
        <w:rPr>
          <w:rFonts w:ascii="Times New Roman" w:cs="Times New Roman" w:eastAsia="Times New Roman" w:hAnsi="Times New Roman"/>
          <w:sz w:val="21"/>
          <w:szCs w:val="21"/>
          <w:color w:val="auto"/>
        </w:rPr>
      </w:pPr>
    </w:p>
    <w:p>
      <w:pPr>
        <w:jc w:val="both"/>
        <w:ind w:left="1400" w:hanging="518"/>
        <w:spacing w:after="0" w:line="267" w:lineRule="auto"/>
        <w:tabs>
          <w:tab w:leader="none" w:pos="139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to Compensation</w:t>
      </w:r>
      <w:r>
        <w:rPr>
          <w:rFonts w:ascii="Times New Roman" w:cs="Times New Roman" w:eastAsia="Times New Roman" w:hAnsi="Times New Roman"/>
          <w:sz w:val="21"/>
          <w:szCs w:val="21"/>
          <w:color w:val="auto"/>
        </w:rPr>
        <w:t>. Company shall retain the right to adjust Employee’s base compensation as a result of economic conditions, provided that other similarly situated employees shall have their compensation adjusted in a similar manner.</w:t>
      </w:r>
    </w:p>
    <w:p>
      <w:pPr>
        <w:spacing w:after="0" w:line="95" w:lineRule="exact"/>
        <w:rPr>
          <w:rFonts w:ascii="Times New Roman" w:cs="Times New Roman" w:eastAsia="Times New Roman" w:hAnsi="Times New Roman"/>
          <w:sz w:val="21"/>
          <w:szCs w:val="21"/>
          <w:color w:val="auto"/>
        </w:rPr>
      </w:pPr>
    </w:p>
    <w:p>
      <w:pPr>
        <w:jc w:val="both"/>
        <w:ind w:left="1400" w:hanging="518"/>
        <w:spacing w:after="0" w:line="262" w:lineRule="auto"/>
        <w:tabs>
          <w:tab w:leader="none" w:pos="1391"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Signing Bonus</w:t>
      </w:r>
      <w:r>
        <w:rPr>
          <w:rFonts w:ascii="Times New Roman" w:cs="Times New Roman" w:eastAsia="Times New Roman" w:hAnsi="Times New Roman"/>
          <w:sz w:val="21"/>
          <w:szCs w:val="21"/>
          <w:color w:val="auto"/>
        </w:rPr>
        <w:t xml:space="preserve">. Following full execution of this Agreement, Company shall pay to Employee a one-time Signing Bonus in the amount of Three Hundred Thirty-Three Thousand Three Hundred Thirty-Three Dollars ($333,333), subject to applicable withholdings and authorized deductions. Employee agrees that if Employee’s employment with Company terminates prior to January 6, 2029, Employee shall repay Company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of the Signing Bonus at the rate of one forty-eighth</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00"/>
          </w:cols>
          <w:pgMar w:left="400" w:top="1440" w:right="499" w:bottom="1440" w:gutter="0" w:footer="0" w:header="0"/>
        </w:sectPr>
      </w:pPr>
    </w:p>
    <w:bookmarkStart w:id="8" w:name="page9"/>
    <w:bookmarkEnd w:id="8"/>
    <w:p>
      <w:pPr>
        <w:jc w:val="both"/>
        <w:ind w:left="1400"/>
        <w:spacing w:after="0" w:line="258" w:lineRule="auto"/>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14"/>
          <w:szCs w:val="14"/>
          <w:color w:val="auto"/>
        </w:rPr>
        <w:t>48</w:t>
      </w:r>
      <w:r>
        <w:rPr>
          <w:rFonts w:ascii="Times New Roman" w:cs="Times New Roman" w:eastAsia="Times New Roman" w:hAnsi="Times New Roman"/>
          <w:sz w:val="21"/>
          <w:szCs w:val="21"/>
          <w:color w:val="auto"/>
        </w:rPr>
        <w:t xml:space="preserve">th) for each month or portion of a month that Employee’s employment is less than forty-eight (48) months; except that Employee shall not be required to repay Company the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of the Signing Bonus if Employee’s employment is terminated by Company for other than cause pursuant to Section 10(b) of this Agreement. Employee further agrees that Company shall be entitled to withhold from any compensation due Employee the amount of any portion of the Signing Bonus required to be repaid to Company. Employee acknowledges and understands that all amounts paid by Company for the Signing Bonus shall be treated as taxable income to Employee for tax purposes.</w:t>
      </w:r>
    </w:p>
    <w:p>
      <w:pPr>
        <w:spacing w:after="0" w:line="104" w:lineRule="exact"/>
        <w:rPr>
          <w:sz w:val="20"/>
          <w:szCs w:val="20"/>
          <w:color w:val="auto"/>
        </w:rPr>
      </w:pPr>
    </w:p>
    <w:p>
      <w:pPr>
        <w:jc w:val="both"/>
        <w:ind w:left="1400" w:hanging="518"/>
        <w:spacing w:after="0" w:line="254" w:lineRule="auto"/>
        <w:tabs>
          <w:tab w:leader="none" w:pos="139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to the contrary contained in this Agreement, the Company’s right to recoup, reclaim, or otherwise “claw back” the Signing Bonus (or any portion thereof) shall immediately cease, terminate, and be waived in full upon the occurrence of any of the following events: (i) the Employee’s death during the term of this Agreement; (ii) the termination of the Employee’s employment by the Company due to the Employee’s Disability (as defined in Section 10(c)(ii) below) or (iii) the occurrence of a Change of Control (as defined below), regardless of whether the Employee’s employment is terminated in connection therewith. Upon the occurrence of any such event, the Signing Bonus shall be deemed fully earned, vested, and non-forfeitable, and the Employee (or the Employee’s estate or legal representative, as applicable) shall have no further obligation to repay any portion of the Signing Bonus to the Company. For the purposes of this Agreement, “</w:t>
      </w: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shall be deemed to have occurred in the event of a transaction or series of related transactions pursuant to which any Person or group (as such term is defined in Section 13(d)(3) of the Securities Exchange Act of 1934, as amended) of Persons (a) acquires, whether by merger, consolidation or transfer or issuance of capital stock, capital stock of the Company (or any surviving or resulting company), which together with stock held by such Person or group, constitutes more than 50% of the voting power of the stock of the Company (or any surviving or resulting company) or (b)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before such acquisition or acquisitions. For purposes herein, gross fair market value means the value of the assets of the Company, or the value of the assets being disposed of, determined without regard to any liabilities associated with such assets. A Change of Control shall not occur unless such transaction constitutes a “change in ownership of a corporation,” a “change in effective control of a corporation,” or a “change in ownership of a substantial portion of a corporation’s assets” under Section 409A of the Code and the regulations promulgated thereunder. Notwithstanding the foregoing, a Change of Control shall not be deemed to have occurred if following a transaction, Alfred C. Liggins, III and/or Catherine L. Hughes retain more than fifty percent (50%) of the voting power of the stock of the Company (or any surviving or resulting company).</w:t>
      </w:r>
    </w:p>
    <w:p>
      <w:pPr>
        <w:spacing w:after="0" w:line="355" w:lineRule="exact"/>
        <w:rPr>
          <w:rFonts w:ascii="Times New Roman" w:cs="Times New Roman" w:eastAsia="Times New Roman" w:hAnsi="Times New Roman"/>
          <w:sz w:val="21"/>
          <w:szCs w:val="21"/>
          <w:color w:val="auto"/>
        </w:rPr>
      </w:pPr>
    </w:p>
    <w:p>
      <w:pPr>
        <w:ind w:left="1380" w:hanging="498"/>
        <w:spacing w:after="0"/>
        <w:tabs>
          <w:tab w:leader="none" w:pos="13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Performance Bonus Potential.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00"/>
          </w:cols>
          <w:pgMar w:left="400" w:top="1384" w:right="499" w:bottom="1440" w:gutter="0" w:footer="0" w:header="0"/>
        </w:sectPr>
      </w:pPr>
    </w:p>
    <w:bookmarkStart w:id="9" w:name="page10"/>
    <w:bookmarkEnd w:id="9"/>
    <w:p>
      <w:pPr>
        <w:jc w:val="both"/>
        <w:ind w:left="2160" w:hanging="642"/>
        <w:spacing w:after="0" w:line="254" w:lineRule="auto"/>
        <w:tabs>
          <w:tab w:leader="none" w:pos="2148" w:val="left"/>
        </w:tabs>
        <w:numPr>
          <w:ilvl w:val="2"/>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Bonus. For each complete calendar year of the Term, Employee shall be eligible to receive an annual performance bonus (the “Annual Bonus”) of up to Three Hundred Thousand Dollars ($300,000) (the “Target Bonus”), with the opportunity to earn up to one hundred thirty two percent (132%) of the Target Bonus for superior performance. The amount of any Annual Bonus shall be based on the achievement of performance goals established by Company’s Chief Executive Officer and Board of Directors. Notwithstanding the foregoing, achievement of at least ninety percent (90%) of the Company’s budget for the applicable fiscal year shall result in fifty percent (50%) of the Target Bonus being deemed earned (the “Bonus Threshold”), and achievement of one hundred percent (100%) of such performance goals shall result in one hundred percent (100%) of the Target Bonus being earned. Subject to satisfaction of the Bonus Threshold, the actual Annual Bonus earned may be greater or less than the Target Bonus with a maximum bonus of up to one hundred thirty-two percent (132%), as determined by the Compensation Committee in its discretion. For the avoidance of doubt, eligibility for payment requires Employee to be actively employed by Company on the date the bonus is paid. Bonus criteria are subject to change by Company, in its sole discretion, upon reasonable notice to Employee. Subject to Section 4(d)(ii) hereof, bonus payments due Employee pursuant to this subsection shall be made to Employee as a cash lump sum no later than the end of the quarter following the calendar year for which the bonus was calculated.</w:t>
      </w:r>
    </w:p>
    <w:p>
      <w:pPr>
        <w:spacing w:after="0" w:line="226" w:lineRule="exact"/>
        <w:rPr>
          <w:rFonts w:ascii="Times New Roman" w:cs="Times New Roman" w:eastAsia="Times New Roman" w:hAnsi="Times New Roman"/>
          <w:sz w:val="21"/>
          <w:szCs w:val="21"/>
          <w:color w:val="auto"/>
        </w:rPr>
      </w:pPr>
    </w:p>
    <w:p>
      <w:pPr>
        <w:jc w:val="both"/>
        <w:ind w:left="2160" w:hanging="642"/>
        <w:spacing w:after="0" w:line="257" w:lineRule="auto"/>
        <w:tabs>
          <w:tab w:leader="none" w:pos="2154" w:val="left"/>
        </w:tabs>
        <w:numPr>
          <w:ilvl w:val="2"/>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Substitution.</w:t>
      </w:r>
      <w:r>
        <w:rPr>
          <w:rFonts w:ascii="Times New Roman" w:cs="Times New Roman" w:eastAsia="Times New Roman" w:hAnsi="Times New Roman"/>
          <w:sz w:val="21"/>
          <w:szCs w:val="21"/>
          <w:color w:val="auto"/>
        </w:rPr>
        <w:t xml:space="preserve"> Company, in its sole discretion, reserves the right to substitute equivalent shares of Class D common stock under the Urban One 2019 Equity and Performance Incentive Plan and/or the 2026 Equity and Performance Incentive Plan (together, the “Plan”) in lieu of cash payments otherwise due under Section 4(d)(i) of this Agreement. The number of shares granted shall be equal to the amount of the bonus earned, divided by the closing share price on the grant date, which date shall be the fifth calendar day of the month following the date on which the bonus was calculated. Other material terms of the stock grant shall be as set forth in the Plan and related policies, which documentation shall be made available to Employee on or about the effective date of the grant.</w:t>
      </w:r>
    </w:p>
    <w:p>
      <w:pPr>
        <w:spacing w:after="0" w:line="197" w:lineRule="exact"/>
        <w:rPr>
          <w:rFonts w:ascii="Times New Roman" w:cs="Times New Roman" w:eastAsia="Times New Roman" w:hAnsi="Times New Roman"/>
          <w:sz w:val="21"/>
          <w:szCs w:val="21"/>
          <w:color w:val="auto"/>
        </w:rPr>
      </w:pPr>
    </w:p>
    <w:p>
      <w:pPr>
        <w:ind w:left="1520" w:hanging="638"/>
        <w:spacing w:after="0"/>
        <w:tabs>
          <w:tab w:leader="none" w:pos="15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Awards and Performance Stock Awards</w:t>
      </w:r>
    </w:p>
    <w:p>
      <w:pPr>
        <w:spacing w:after="0" w:line="341" w:lineRule="exact"/>
        <w:rPr>
          <w:rFonts w:ascii="Times New Roman" w:cs="Times New Roman" w:eastAsia="Times New Roman" w:hAnsi="Times New Roman"/>
          <w:sz w:val="21"/>
          <w:szCs w:val="21"/>
          <w:color w:val="auto"/>
        </w:rPr>
      </w:pPr>
    </w:p>
    <w:p>
      <w:pPr>
        <w:jc w:val="both"/>
        <w:ind w:left="1840" w:right="120" w:hanging="642"/>
        <w:spacing w:after="0" w:line="258" w:lineRule="auto"/>
        <w:tabs>
          <w:tab w:leader="none" w:pos="1828"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2026 and 2027 Stock Based Compensation</w:t>
      </w:r>
      <w:r>
        <w:rPr>
          <w:rFonts w:ascii="Times New Roman" w:cs="Times New Roman" w:eastAsia="Times New Roman" w:hAnsi="Times New Roman"/>
          <w:sz w:val="21"/>
          <w:szCs w:val="21"/>
          <w:color w:val="auto"/>
        </w:rPr>
        <w:t>. With respect to contract years ending January 6, 2026, and January 6, 2027, Company shall grant to Employee shares of freely tradable Company Class D common stock with an aggregate value of Seven Hundred Four Thousand Two Hundred Fifty Dollars ($704,250), less applicable tax withholdings and authorized deductions. The grant for the contract year ending January 6, 2026, shall be made as soon as practicable following full execution of this Agreement, and the grants for the contract year ending January 6, 2027, shall be made no later than January 6, 2027 (the “2027 Grant Date”). The combined aggregate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860"/>
          </w:cols>
          <w:pgMar w:left="400" w:top="1238" w:right="639" w:bottom="1440" w:gutter="0" w:footer="0" w:header="0"/>
        </w:sectPr>
      </w:pPr>
    </w:p>
    <w:bookmarkStart w:id="10" w:name="page11"/>
    <w:bookmarkEnd w:id="10"/>
    <w:p>
      <w:pPr>
        <w:jc w:val="both"/>
        <w:ind w:left="1840"/>
        <w:spacing w:after="0" w:line="258" w:lineRule="auto"/>
        <w:rPr>
          <w:sz w:val="20"/>
          <w:szCs w:val="20"/>
          <w:color w:val="auto"/>
        </w:rPr>
      </w:pPr>
      <w:r>
        <w:rPr>
          <w:rFonts w:ascii="Times New Roman" w:cs="Times New Roman" w:eastAsia="Times New Roman" w:hAnsi="Times New Roman"/>
          <w:sz w:val="21"/>
          <w:szCs w:val="21"/>
          <w:color w:val="auto"/>
        </w:rPr>
        <w:t>value of the 2026-2027 Annual Grants shall be One Million Four Hundred Eight Thousand Five Hundred Dollars ($1,408,500), less any applicable withholdings required by law and authorized deductions. In addition, for each of the contract years 2026 and 2027, Company shall grant to Employee shares of Class D common stock and/or options to vest based upon certain performance-based measures with a target value of Two Hundred Thirty-Four Thousand Seven Hundred Fifty Thousand Dollars ($234,750) (the “2026-2027 Performance Grants”). The combined aggregate target value of the 2026-2027 Performance Grants shall be Four Hundred Sixty-Nine Five Hundred Thousand Dollars ($469,500), less any applicable withholdings required by law and authorized deductions. Performance-based equity awards are subject to metrics, timing and conditions established annually by the Compensation Committee, consistent with those applied to other executive officers.</w:t>
      </w:r>
    </w:p>
    <w:p>
      <w:pPr>
        <w:spacing w:after="0" w:line="173" w:lineRule="exact"/>
        <w:rPr>
          <w:sz w:val="20"/>
          <w:szCs w:val="20"/>
          <w:color w:val="auto"/>
        </w:rPr>
      </w:pPr>
    </w:p>
    <w:p>
      <w:pPr>
        <w:jc w:val="both"/>
        <w:ind w:left="1840" w:hanging="642"/>
        <w:spacing w:after="0" w:line="254" w:lineRule="auto"/>
        <w:tabs>
          <w:tab w:leader="none" w:pos="183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2028 and 2029 Stock Based Compensation</w:t>
      </w:r>
      <w:r>
        <w:rPr>
          <w:rFonts w:ascii="Times New Roman" w:cs="Times New Roman" w:eastAsia="Times New Roman" w:hAnsi="Times New Roman"/>
          <w:sz w:val="21"/>
          <w:szCs w:val="21"/>
          <w:color w:val="auto"/>
        </w:rPr>
        <w:t>. With respect to contract years ending January 6, 2028, and January 6, 2029, Company shall grant to Employee shares of freely tradable Company Class D common stock with an aggregate value of Four Hundred Sixty-Nine Five Hundred Thousand Dollars ($469,500), less applicable tax withholdings and authorized deductions. The grants for the contract years ending January 6, 2028, and January 6, 2029, shall be made no later than January 6, 2028, and January 6, 2029, respectively (the “2028 Grant Date” and the “2029 Grant Date,” respectively, and together with the 2027 Grant Date, the “Equity Grant Dates” or each an “Equity Grant Date”). The combined aggregate value of the 2028-2029 Annual Grants shall be Nine Hundred Thirty-Nine Thousand Dollars ($939,000), less any applicable withholdings required by law and authorized deductions. In addition, for each of the contract years ending January 6, 2028, and January 6, 2029, Company shall grant to Employee shares of Class D common stock and/or options to vest based upon certain performance-based measures with a target value of Four Hundred Sixty-Nine Five Hundred Thousand Dollars ($469,500)(the “2028-2029 Performance Grants”). The combined aggregate target value of the 2028-2029 Performance Grants shall be Nine Hundred Thirty-Nine Thousand Dollars ($939,000), less any applicable withholdings required by law and authorized deductions. Performance-based equity awards are subject to metrics, timing and conditions established annually by the Compensation Committee, consistent with those applied to other executive officers.</w:t>
      </w:r>
    </w:p>
    <w:p>
      <w:pPr>
        <w:spacing w:after="0" w:line="186" w:lineRule="exact"/>
        <w:rPr>
          <w:rFonts w:ascii="Times New Roman" w:cs="Times New Roman" w:eastAsia="Times New Roman" w:hAnsi="Times New Roman"/>
          <w:sz w:val="21"/>
          <w:szCs w:val="21"/>
          <w:color w:val="auto"/>
        </w:rPr>
      </w:pPr>
    </w:p>
    <w:p>
      <w:pPr>
        <w:jc w:val="both"/>
        <w:ind w:left="1840" w:hanging="642"/>
        <w:spacing w:after="0" w:line="259" w:lineRule="auto"/>
        <w:tabs>
          <w:tab w:leader="none" w:pos="18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to the contrary in this Agreement or the Plan, in the event that the Employee’s employment is terminated prior to a scheduled Equity Grant Date due to the Employee’s death during the term of this Agreement or Disability, or upon the occurrence of a Change of Control (collectively, a “DDCOC Triggering Event”), any equity awards the Employee may be entitled to under this Section 4(f) shall vest and be granted as follows: (A) For any equity awards under Section 4(f)(i) or (ii) that vest solely based on the passage of time, a portion of the award shall immediately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740"/>
          </w:cols>
          <w:pgMar w:left="400" w:top="1238" w:right="759" w:bottom="1440" w:gutter="0" w:footer="0" w:header="0"/>
        </w:sectPr>
      </w:pPr>
    </w:p>
    <w:bookmarkStart w:id="11" w:name="page12"/>
    <w:bookmarkEnd w:id="11"/>
    <w:p>
      <w:pPr>
        <w:jc w:val="both"/>
        <w:ind w:left="1840" w:right="120"/>
        <w:spacing w:after="0" w:line="257" w:lineRule="auto"/>
        <w:rPr>
          <w:sz w:val="20"/>
          <w:szCs w:val="20"/>
          <w:color w:val="auto"/>
        </w:rPr>
      </w:pPr>
      <w:r>
        <w:rPr>
          <w:rFonts w:ascii="Times New Roman" w:cs="Times New Roman" w:eastAsia="Times New Roman" w:hAnsi="Times New Roman"/>
          <w:sz w:val="21"/>
          <w:szCs w:val="21"/>
          <w:color w:val="auto"/>
        </w:rPr>
        <w:t>vest upon the triggering event and shall be calculated by multiplying the total number of shares that would have been awarded based upon the Class D Common stock price as of the date of the triggering event by a fraction: (i) the numerator shall be the total number of full months elapsed from the beginning of the applicable award period (or the most recent Equity Grant Date as applicable) through the date of the triggering event and (ii) the denominator shall be 12. (B) The 2026-2027 Performance Grants and/or the 2028-2029 Performance Grants will vest solely based on actual performance achieved up to the date of the DDCOC Triggering Event, which will be pro-rated if the metrics allow as determined by the Compensation Committee in good faith. If performance cannot be measured or calculated at that time, any relevant award will not vest and will be forfeited.</w:t>
      </w:r>
    </w:p>
    <w:p>
      <w:pPr>
        <w:spacing w:after="0" w:line="177" w:lineRule="exact"/>
        <w:rPr>
          <w:sz w:val="20"/>
          <w:szCs w:val="20"/>
          <w:color w:val="auto"/>
        </w:rPr>
      </w:pPr>
    </w:p>
    <w:p>
      <w:pPr>
        <w:jc w:val="both"/>
        <w:ind w:left="1840" w:right="120" w:hanging="642"/>
        <w:spacing w:after="0" w:line="258" w:lineRule="auto"/>
        <w:tabs>
          <w:tab w:leader="none" w:pos="1828"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contrary provision in this Agreement or the Plan, Company shall have the right, in its sole and absolute discretion, to settle the equity awards in Sections 4(f)(i) and (ii) (or any portion thereof) in cash rather than in shares of Company Class D common stock. If Company elects to exercise this option, Company shall pay the Employee the amount of any equity award in Sections 4(f)(i) and (ii) or any portion thereof in cash, determined as of the applicable vesting or exercise date, less any applicable tax withholdings. Such payment shall be treated as ordinary wages subject to withholding at the time of payment.</w:t>
      </w:r>
    </w:p>
    <w:p>
      <w:pPr>
        <w:spacing w:after="0" w:line="170" w:lineRule="exact"/>
        <w:rPr>
          <w:rFonts w:ascii="Times New Roman" w:cs="Times New Roman" w:eastAsia="Times New Roman" w:hAnsi="Times New Roman"/>
          <w:sz w:val="21"/>
          <w:szCs w:val="21"/>
          <w:color w:val="auto"/>
        </w:rPr>
      </w:pPr>
    </w:p>
    <w:p>
      <w:pPr>
        <w:ind w:left="1840" w:right="120" w:hanging="642"/>
        <w:spacing w:after="0" w:line="298" w:lineRule="auto"/>
        <w:tabs>
          <w:tab w:leader="none" w:pos="1835"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material terms of the restricted stock grant and stock options shall be as set forth in the Plan and related documentation to be made available to Employee upon reasonable request</w:t>
      </w:r>
      <w:r>
        <w:rPr>
          <w:rFonts w:ascii="Times New Roman" w:cs="Times New Roman" w:eastAsia="Times New Roman" w:hAnsi="Times New Roman"/>
          <w:sz w:val="19"/>
          <w:szCs w:val="19"/>
          <w:color w:val="auto"/>
        </w:rPr>
        <w:t>.</w:t>
      </w:r>
    </w:p>
    <w:p>
      <w:pPr>
        <w:spacing w:after="0" w:line="129" w:lineRule="exact"/>
        <w:rPr>
          <w:rFonts w:ascii="Times New Roman" w:cs="Times New Roman" w:eastAsia="Times New Roman" w:hAnsi="Times New Roman"/>
          <w:sz w:val="21"/>
          <w:szCs w:val="21"/>
          <w:color w:val="auto"/>
        </w:rPr>
      </w:pPr>
    </w:p>
    <w:p>
      <w:pPr>
        <w:jc w:val="both"/>
        <w:ind w:left="1520" w:hanging="638"/>
        <w:spacing w:after="0" w:line="255" w:lineRule="auto"/>
        <w:tabs>
          <w:tab w:leader="none" w:pos="151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Completion Bonus</w:t>
      </w:r>
      <w:r>
        <w:rPr>
          <w:rFonts w:ascii="Times New Roman" w:cs="Times New Roman" w:eastAsia="Times New Roman" w:hAnsi="Times New Roman"/>
          <w:sz w:val="21"/>
          <w:szCs w:val="21"/>
          <w:color w:val="auto"/>
        </w:rPr>
        <w:t>. Provided that the material weaknesses identified in the Form 10-K for the period ended December 31, 2025 (and filed March 20, 2026) are remediated and no longer classified or otherwise deemed as material weaknesses under applicable laws and standards as determined by the Company’s independent registered accounting firm (the “Remediation”) on or before the end of the Term of this Agreement (without regard to any extension hereof) or, in the alternative, as of the filing date of the Form 10-K for the period ended December 31, 2028, Employee shall be eligible to receive bonus compensation in the amount of Eight Hundred Fifty Thousand Dollars ($850,000) (“Completion Bonus”), less any applicable withholdings and authorized deductions. The Completion Bonus shall be deemed earned so long as (i) remediation has occurred prior to the end of the Term (without regard to any extension hereof) (in which case the Completion Bonus shall be paid within 14 calendars days of the end of the Term) or, (ii) in the alternative, Remediation has occurred as of the filing date of the Form 10-K for the period ended December 31, 2028 (in which case the Completion Bonus shall be paid within 14 calendars days of the filing of the Form 10-K for the period ended December 31, 2028). For the avoidance of doubt and notwithstanding anything herein to the contrary, to be eligible for the Completion Bonus, Employee must remain actively employed with the Company in good standing through the end of the Term. Notwithstanding any provision in this Agreement to</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860"/>
          </w:cols>
          <w:pgMar w:left="400" w:top="1238" w:right="639" w:bottom="1440" w:gutter="0" w:footer="0" w:header="0"/>
        </w:sectPr>
      </w:pPr>
    </w:p>
    <w:bookmarkStart w:id="12" w:name="page13"/>
    <w:bookmarkEnd w:id="12"/>
    <w:p>
      <w:pPr>
        <w:jc w:val="both"/>
        <w:ind w:left="1520"/>
        <w:spacing w:after="0" w:line="256" w:lineRule="auto"/>
        <w:rPr>
          <w:sz w:val="20"/>
          <w:szCs w:val="20"/>
          <w:color w:val="auto"/>
        </w:rPr>
      </w:pPr>
      <w:r>
        <w:rPr>
          <w:rFonts w:ascii="Times New Roman" w:cs="Times New Roman" w:eastAsia="Times New Roman" w:hAnsi="Times New Roman"/>
          <w:sz w:val="21"/>
          <w:szCs w:val="21"/>
          <w:color w:val="auto"/>
        </w:rPr>
        <w:t>the contrary, if Remediation has occurred prior to Employee’s death or Disability, or a Change in Control, in the event that the Employee’s employment is terminated due to the Employee’s death or Disability, or upon the occurrence of a Change in Control prior to a Completion Bonus payment date, the Employee (or the Employee’s estate or legal representative, as applicable) shall be entitled to receive a pro-rata portion of the Completion Bonus. The amount payable shall be calculated by multiplying the Completion Bonus amount ($850,000) by a fraction, the numerator of which is the number of days the Employee was employed by the Company during the Term up to and including the date of the triggering event (death or Disability, or a Change in Control) and the denominator of which is 1,460 (the total number of days in the full Term). This pro-rata Completion Bonus shall be deemed earned upon the date of the respective triggering event and shall be paid in a lump sum within thirty (30) days following such event, subject to compliance with Section 409A of the Internal Revenue Code.</w:t>
      </w:r>
    </w:p>
    <w:p>
      <w:pPr>
        <w:spacing w:after="0" w:line="214" w:lineRule="exact"/>
        <w:rPr>
          <w:sz w:val="20"/>
          <w:szCs w:val="20"/>
          <w:color w:val="auto"/>
        </w:rPr>
      </w:pPr>
    </w:p>
    <w:p>
      <w:pPr>
        <w:ind w:left="880" w:hanging="634"/>
        <w:spacing w:after="0"/>
        <w:tabs>
          <w:tab w:leader="none" w:pos="8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Paid Time Off and Benefits</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ind w:left="1520" w:hanging="636"/>
        <w:spacing w:after="0" w:line="27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5.1. Employee shall be eligible to accrue up to Two Hundred Sixteen (216) Paid Time Off (“PTO”) hours annually in accordance with Company’s PTO Policy. All PTO requests must be approved in advance by the Chief Executive Officer.</w:t>
      </w:r>
    </w:p>
    <w:p>
      <w:pPr>
        <w:spacing w:after="0" w:line="179" w:lineRule="exact"/>
        <w:rPr>
          <w:rFonts w:ascii="Times New Roman" w:cs="Times New Roman" w:eastAsia="Times New Roman" w:hAnsi="Times New Roman"/>
          <w:sz w:val="21"/>
          <w:szCs w:val="21"/>
          <w:color w:val="auto"/>
        </w:rPr>
      </w:pPr>
    </w:p>
    <w:p>
      <w:pPr>
        <w:ind w:left="1520" w:hanging="636"/>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5.2. Employee shall be eligible to participate in the employee benefit plans and programs that Company generally makes available to its employees, subject to the terms and conditions of each such benefit plan or program. Notwithstanding the foregoing, any severance payable to Employee shall be governed solely by this Agreement, and Employee shall not be eligible to participate in any severance</w:t>
      </w:r>
    </w:p>
    <w:p>
      <w:pPr>
        <w:ind w:left="15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program of general application maintained by Company.</w:t>
      </w:r>
    </w:p>
    <w:p>
      <w:pPr>
        <w:spacing w:after="0" w:line="224" w:lineRule="exact"/>
        <w:rPr>
          <w:rFonts w:ascii="Times New Roman" w:cs="Times New Roman" w:eastAsia="Times New Roman" w:hAnsi="Times New Roman"/>
          <w:sz w:val="21"/>
          <w:szCs w:val="21"/>
          <w:color w:val="auto"/>
        </w:rPr>
      </w:pPr>
    </w:p>
    <w:p>
      <w:pPr>
        <w:ind w:left="1520" w:right="20" w:hanging="636"/>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5.3. Employee shall be entitled to a car allowance in an amount not to exceed One Thousand Five Hundred Dollars ($1,500) per month. Employee acknowledges and understands that all amounts paid to or on behalf of Employee for as a car allowance shall be treated as taxable income to Employee for tax purposes.</w:t>
      </w:r>
    </w:p>
    <w:p>
      <w:pPr>
        <w:spacing w:after="0" w:line="192" w:lineRule="exact"/>
        <w:rPr>
          <w:rFonts w:ascii="Times New Roman" w:cs="Times New Roman" w:eastAsia="Times New Roman" w:hAnsi="Times New Roman"/>
          <w:sz w:val="21"/>
          <w:szCs w:val="21"/>
          <w:color w:val="auto"/>
        </w:rPr>
      </w:pPr>
    </w:p>
    <w:p>
      <w:pPr>
        <w:ind w:left="1520" w:right="20" w:hanging="636"/>
        <w:spacing w:after="0" w:line="28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5.4. Company reserves the right to amend or change, in its sole discretion, any of its PTO, leave, and other employee benefit plans and programs.</w:t>
      </w:r>
    </w:p>
    <w:p>
      <w:pPr>
        <w:spacing w:after="0" w:line="247" w:lineRule="exact"/>
        <w:rPr>
          <w:rFonts w:ascii="Times New Roman" w:cs="Times New Roman" w:eastAsia="Times New Roman" w:hAnsi="Times New Roman"/>
          <w:sz w:val="21"/>
          <w:szCs w:val="21"/>
          <w:color w:val="auto"/>
        </w:rPr>
      </w:pPr>
    </w:p>
    <w:p>
      <w:pPr>
        <w:jc w:val="both"/>
        <w:ind w:left="880" w:hanging="634"/>
        <w:spacing w:after="0" w:line="267" w:lineRule="auto"/>
        <w:tabs>
          <w:tab w:leader="none" w:pos="8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Services and Rights</w:t>
      </w:r>
      <w:r>
        <w:rPr>
          <w:rFonts w:ascii="Times New Roman" w:cs="Times New Roman" w:eastAsia="Times New Roman" w:hAnsi="Times New Roman"/>
          <w:sz w:val="21"/>
          <w:szCs w:val="21"/>
          <w:color w:val="auto"/>
        </w:rPr>
        <w:t>. Employee shall not tender any services of the kind or nature provided for under this Agreement, either directly or indirectly, on behalf of Employee or any other person or entity, without the prior express written consent of Company.</w:t>
      </w:r>
    </w:p>
    <w:p>
      <w:pPr>
        <w:spacing w:after="0" w:line="201" w:lineRule="exact"/>
        <w:rPr>
          <w:rFonts w:ascii="Times New Roman" w:cs="Times New Roman" w:eastAsia="Times New Roman" w:hAnsi="Times New Roman"/>
          <w:sz w:val="21"/>
          <w:szCs w:val="21"/>
          <w:color w:val="auto"/>
        </w:rPr>
      </w:pPr>
    </w:p>
    <w:p>
      <w:pPr>
        <w:jc w:val="both"/>
        <w:ind w:left="880" w:hanging="634"/>
        <w:spacing w:after="0" w:line="262" w:lineRule="auto"/>
        <w:tabs>
          <w:tab w:leader="none" w:pos="8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Conduct</w:t>
      </w:r>
      <w:r>
        <w:rPr>
          <w:rFonts w:ascii="Times New Roman" w:cs="Times New Roman" w:eastAsia="Times New Roman" w:hAnsi="Times New Roman"/>
          <w:sz w:val="21"/>
          <w:szCs w:val="21"/>
          <w:color w:val="auto"/>
        </w:rPr>
        <w:t>. Employee agrees to comply with all applicable policies, requirements, directions, requests, and rules of Company, and further agrees to not at any time commit any act, or become involved in any situation or occurrence, that may reflect unfavorably on Company’s reputation, bring Company into public scandal, or subject Company to ridicule, as determined solely by Company, including but not limited to matters of moral turpitude, theft, fraud, or deceit. Employee acknowledges and agrees that violation of this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860"/>
          </w:cols>
          <w:pgMar w:left="400" w:top="1238" w:right="639" w:bottom="1440" w:gutter="0" w:footer="0" w:header="0"/>
        </w:sectPr>
      </w:pPr>
    </w:p>
    <w:bookmarkStart w:id="13" w:name="page14"/>
    <w:bookmarkEnd w:id="13"/>
    <w:p>
      <w:pPr>
        <w:jc w:val="both"/>
        <w:ind w:left="880"/>
        <w:spacing w:after="0" w:line="269" w:lineRule="auto"/>
        <w:rPr>
          <w:sz w:val="20"/>
          <w:szCs w:val="20"/>
          <w:color w:val="auto"/>
        </w:rPr>
      </w:pPr>
      <w:r>
        <w:rPr>
          <w:rFonts w:ascii="Times New Roman" w:cs="Times New Roman" w:eastAsia="Times New Roman" w:hAnsi="Times New Roman"/>
          <w:sz w:val="21"/>
          <w:szCs w:val="21"/>
          <w:color w:val="auto"/>
        </w:rPr>
        <w:t>Section 7 may subject Employee to disciplinary action, including, without limitation, termination of employment. It is understood and agreed that nothing in this Section will be interpreted or applied in a manner that is inconsistent with applicable laws or in a manner that would interfere with Employee’s rights under the National Labor Relations Act.</w:t>
      </w:r>
    </w:p>
    <w:p>
      <w:pPr>
        <w:spacing w:after="0" w:line="200" w:lineRule="exact"/>
        <w:rPr>
          <w:sz w:val="20"/>
          <w:szCs w:val="20"/>
          <w:color w:val="auto"/>
        </w:rPr>
      </w:pPr>
    </w:p>
    <w:p>
      <w:pPr>
        <w:spacing w:after="0" w:line="260" w:lineRule="exact"/>
        <w:rPr>
          <w:sz w:val="20"/>
          <w:szCs w:val="20"/>
          <w:color w:val="auto"/>
        </w:rPr>
      </w:pPr>
    </w:p>
    <w:p>
      <w:pPr>
        <w:jc w:val="both"/>
        <w:ind w:left="880" w:hanging="634"/>
        <w:spacing w:after="0" w:line="257" w:lineRule="auto"/>
        <w:tabs>
          <w:tab w:leader="none" w:pos="8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Payola</w:t>
      </w:r>
      <w:r>
        <w:rPr>
          <w:rFonts w:ascii="Times New Roman" w:cs="Times New Roman" w:eastAsia="Times New Roman" w:hAnsi="Times New Roman"/>
          <w:sz w:val="21"/>
          <w:szCs w:val="21"/>
          <w:color w:val="auto"/>
        </w:rPr>
        <w:t xml:space="preserve">. Employee warrants and represents that Employee will not accept or agree to pay any money, service or other valuable consideration, as defined in Section 507 of the Communications Act of 1934, as amended, for the broadcast of any matter over Company’s stations, without Company’s approval and full disclosure to the listening public at the time of broadcast. Employee agrees to promptly notify the Chief Executive Officer and the Senior Vice President of Programming Content of any occurrences whereby anyone offers any money, service or other valuable consideration for the broadcast of any matter over Company’s stations. Employee further warrants and represents that Employee will comply in all respects with Company’s </w:t>
      </w:r>
      <w:r>
        <w:rPr>
          <w:rFonts w:ascii="Times New Roman" w:cs="Times New Roman" w:eastAsia="Times New Roman" w:hAnsi="Times New Roman"/>
          <w:sz w:val="21"/>
          <w:szCs w:val="21"/>
          <w:i w:val="1"/>
          <w:iCs w:val="1"/>
          <w:color w:val="auto"/>
        </w:rPr>
        <w:t>Payola, Plugola, &amp; Music Selection Compliance Policy</w:t>
      </w:r>
      <w:r>
        <w:rPr>
          <w:rFonts w:ascii="Times New Roman" w:cs="Times New Roman" w:eastAsia="Times New Roman" w:hAnsi="Times New Roman"/>
          <w:sz w:val="21"/>
          <w:szCs w:val="21"/>
          <w:color w:val="auto"/>
        </w:rPr>
        <w:t>. Employee acknowledges and agrees that Company shall have the right to terminate this Agreement for cause upon Employee’s violation of this Section 8.</w:t>
      </w:r>
    </w:p>
    <w:p>
      <w:pPr>
        <w:spacing w:after="0" w:line="203" w:lineRule="exact"/>
        <w:rPr>
          <w:rFonts w:ascii="Times New Roman" w:cs="Times New Roman" w:eastAsia="Times New Roman" w:hAnsi="Times New Roman"/>
          <w:sz w:val="21"/>
          <w:szCs w:val="21"/>
          <w:color w:val="auto"/>
        </w:rPr>
      </w:pPr>
    </w:p>
    <w:p>
      <w:pPr>
        <w:jc w:val="both"/>
        <w:ind w:left="880" w:hanging="634"/>
        <w:spacing w:after="0" w:line="259" w:lineRule="auto"/>
        <w:tabs>
          <w:tab w:leader="none" w:pos="8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Plugola</w:t>
      </w:r>
      <w:r>
        <w:rPr>
          <w:rFonts w:ascii="Times New Roman" w:cs="Times New Roman" w:eastAsia="Times New Roman" w:hAnsi="Times New Roman"/>
          <w:sz w:val="21"/>
          <w:szCs w:val="21"/>
          <w:color w:val="auto"/>
        </w:rPr>
        <w:t>. Employee warrants and represents that Employee will not cause to be broadcast any material that directly or indirectly promotes any activity in which Employee has a financial interest, absent prior disclosure to, and approval by, the Chief Executive Officer and the Senior Vice President of Programming Content. Should the Chief Executive Officer and the Senior Vice President of Programming Content grant such approval, Employee shall disclose the fact of Employee’s financial interest in the activity to the listening public. Employee acknowledges and agrees that Company shall have the right to terminate this Agreement for cause upon Employee’s violation of this Section 9.</w:t>
      </w:r>
    </w:p>
    <w:p>
      <w:pPr>
        <w:spacing w:after="0" w:line="211" w:lineRule="exact"/>
        <w:rPr>
          <w:rFonts w:ascii="Times New Roman" w:cs="Times New Roman" w:eastAsia="Times New Roman" w:hAnsi="Times New Roman"/>
          <w:sz w:val="21"/>
          <w:szCs w:val="21"/>
          <w:color w:val="auto"/>
        </w:rPr>
      </w:pPr>
    </w:p>
    <w:p>
      <w:pPr>
        <w:ind w:left="880" w:hanging="634"/>
        <w:spacing w:after="0"/>
        <w:tabs>
          <w:tab w:leader="none" w:pos="8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87" w:lineRule="exact"/>
        <w:rPr>
          <w:rFonts w:ascii="Times New Roman" w:cs="Times New Roman" w:eastAsia="Times New Roman" w:hAnsi="Times New Roman"/>
          <w:sz w:val="21"/>
          <w:szCs w:val="21"/>
          <w:color w:val="auto"/>
        </w:rPr>
      </w:pPr>
    </w:p>
    <w:p>
      <w:pPr>
        <w:ind w:left="1400" w:right="60" w:hanging="518"/>
        <w:spacing w:after="0" w:line="285" w:lineRule="auto"/>
        <w:tabs>
          <w:tab w:leader="none" w:pos="1444"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Employee’s employment may be terminated at any time for cause. For purposes of this Agreement, “cause” may include, but is not limited to, any one or more of the following:</w:t>
      </w:r>
    </w:p>
    <w:p>
      <w:pPr>
        <w:spacing w:after="0" w:line="181" w:lineRule="exact"/>
        <w:rPr>
          <w:rFonts w:ascii="Times New Roman" w:cs="Times New Roman" w:eastAsia="Times New Roman" w:hAnsi="Times New Roman"/>
          <w:sz w:val="21"/>
          <w:szCs w:val="21"/>
          <w:color w:val="auto"/>
        </w:rPr>
      </w:pPr>
    </w:p>
    <w:p>
      <w:pPr>
        <w:ind w:left="2140" w:hanging="622"/>
        <w:spacing w:after="0"/>
        <w:tabs>
          <w:tab w:leader="none" w:pos="2140"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breach of any material provision of this Agreement.</w:t>
      </w:r>
    </w:p>
    <w:p>
      <w:pPr>
        <w:spacing w:after="0" w:line="262" w:lineRule="exact"/>
        <w:rPr>
          <w:rFonts w:ascii="Times New Roman" w:cs="Times New Roman" w:eastAsia="Times New Roman" w:hAnsi="Times New Roman"/>
          <w:sz w:val="21"/>
          <w:szCs w:val="21"/>
          <w:color w:val="auto"/>
        </w:rPr>
      </w:pPr>
    </w:p>
    <w:p>
      <w:pPr>
        <w:jc w:val="both"/>
        <w:ind w:left="2160" w:right="20" w:hanging="642"/>
        <w:spacing w:after="0" w:line="267" w:lineRule="auto"/>
        <w:tabs>
          <w:tab w:leader="none" w:pos="2154"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Employee’s arrest, indictment, or conviction on a felony charge or other crime involving moral turpitude,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charge or other crime involving moral turpitude.</w:t>
      </w:r>
    </w:p>
    <w:p>
      <w:pPr>
        <w:spacing w:after="0" w:line="28" w:lineRule="exact"/>
        <w:rPr>
          <w:rFonts w:ascii="Times New Roman" w:cs="Times New Roman" w:eastAsia="Times New Roman" w:hAnsi="Times New Roman"/>
          <w:sz w:val="21"/>
          <w:szCs w:val="21"/>
          <w:color w:val="auto"/>
        </w:rPr>
      </w:pPr>
    </w:p>
    <w:p>
      <w:pPr>
        <w:jc w:val="both"/>
        <w:ind w:left="2160" w:right="20" w:hanging="642"/>
        <w:spacing w:after="0" w:line="267" w:lineRule="auto"/>
        <w:tabs>
          <w:tab w:leader="none" w:pos="2160"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insubordination or willful refusal to follow the reasonable instructions of Employee’s superiors, including but not limited to the President, Chief Executive Officer, or the Board of Directors.</w:t>
      </w:r>
    </w:p>
    <w:p>
      <w:pPr>
        <w:spacing w:after="0" w:line="201" w:lineRule="exact"/>
        <w:rPr>
          <w:rFonts w:ascii="Times New Roman" w:cs="Times New Roman" w:eastAsia="Times New Roman" w:hAnsi="Times New Roman"/>
          <w:sz w:val="21"/>
          <w:szCs w:val="21"/>
          <w:color w:val="auto"/>
        </w:rPr>
      </w:pPr>
    </w:p>
    <w:p>
      <w:pPr>
        <w:ind w:left="2140" w:hanging="622"/>
        <w:spacing w:after="0"/>
        <w:tabs>
          <w:tab w:leader="none" w:pos="2140"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failure to perform the duties of the Employee’s position in a satisfactory manner.</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860"/>
          </w:cols>
          <w:pgMar w:left="400" w:top="1238" w:right="639" w:bottom="1440" w:gutter="0" w:footer="0" w:header="0"/>
        </w:sectPr>
      </w:pPr>
    </w:p>
    <w:bookmarkStart w:id="14" w:name="page15"/>
    <w:bookmarkEnd w:id="14"/>
    <w:p>
      <w:pPr>
        <w:spacing w:after="0" w:line="64" w:lineRule="exact"/>
        <w:rPr>
          <w:sz w:val="20"/>
          <w:szCs w:val="20"/>
          <w:color w:val="auto"/>
        </w:rPr>
      </w:pPr>
    </w:p>
    <w:p>
      <w:pPr>
        <w:ind w:left="2140" w:hanging="622"/>
        <w:spacing w:after="0"/>
        <w:tabs>
          <w:tab w:leader="none" w:pos="214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willful disregard of Company policies and procedures.</w:t>
      </w:r>
    </w:p>
    <w:p>
      <w:pPr>
        <w:spacing w:after="0" w:line="76" w:lineRule="exact"/>
        <w:rPr>
          <w:rFonts w:ascii="Times New Roman" w:cs="Times New Roman" w:eastAsia="Times New Roman" w:hAnsi="Times New Roman"/>
          <w:sz w:val="21"/>
          <w:szCs w:val="21"/>
          <w:color w:val="auto"/>
        </w:rPr>
      </w:pPr>
    </w:p>
    <w:p>
      <w:pPr>
        <w:jc w:val="both"/>
        <w:ind w:left="2160" w:hanging="642"/>
        <w:spacing w:after="0" w:line="267" w:lineRule="auto"/>
        <w:tabs>
          <w:tab w:leader="none" w:pos="2148"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 or failure to act by Employee that in any manner threatens the qualification of Company or its affiliates to maintain a broadcast license issued by the Federal Communications Commission (“FCC”), or that results in a violation of any rule or regulation of the FCC.</w:t>
      </w:r>
    </w:p>
    <w:p>
      <w:pPr>
        <w:spacing w:after="0" w:line="201" w:lineRule="exact"/>
        <w:rPr>
          <w:rFonts w:ascii="Times New Roman" w:cs="Times New Roman" w:eastAsia="Times New Roman" w:hAnsi="Times New Roman"/>
          <w:sz w:val="21"/>
          <w:szCs w:val="21"/>
          <w:color w:val="auto"/>
        </w:rPr>
      </w:pPr>
    </w:p>
    <w:p>
      <w:pPr>
        <w:jc w:val="both"/>
        <w:ind w:left="2160" w:hanging="642"/>
        <w:spacing w:after="0" w:line="266" w:lineRule="auto"/>
        <w:tabs>
          <w:tab w:leader="none" w:pos="2154"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making of any disparaging oral or written statements regarding Company or any of its subsidiaries or affiliates, including, without limitation, its officers, directors, shareholders, managers, clients, sponsors, or advertisers, in a manner or under circumstances not protected by applicable law or the National Labor Relations Act.</w:t>
      </w:r>
    </w:p>
    <w:p>
      <w:pPr>
        <w:spacing w:after="0" w:line="188" w:lineRule="exact"/>
        <w:rPr>
          <w:rFonts w:ascii="Times New Roman" w:cs="Times New Roman" w:eastAsia="Times New Roman" w:hAnsi="Times New Roman"/>
          <w:sz w:val="21"/>
          <w:szCs w:val="21"/>
          <w:color w:val="auto"/>
        </w:rPr>
      </w:pPr>
    </w:p>
    <w:p>
      <w:pPr>
        <w:ind w:left="2160" w:right="20" w:hanging="642"/>
        <w:spacing w:after="0" w:line="272" w:lineRule="auto"/>
        <w:tabs>
          <w:tab w:leader="none" w:pos="216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acting in a tortious manner toward another employee, contractor, listener, client, sponsor, or advertiser.</w:t>
      </w:r>
    </w:p>
    <w:p>
      <w:pPr>
        <w:spacing w:after="0" w:line="194" w:lineRule="exact"/>
        <w:rPr>
          <w:rFonts w:ascii="Times New Roman" w:cs="Times New Roman" w:eastAsia="Times New Roman" w:hAnsi="Times New Roman"/>
          <w:sz w:val="21"/>
          <w:szCs w:val="21"/>
          <w:color w:val="auto"/>
        </w:rPr>
      </w:pPr>
    </w:p>
    <w:p>
      <w:pPr>
        <w:jc w:val="both"/>
        <w:ind w:left="2160" w:right="20" w:hanging="642"/>
        <w:spacing w:after="0" w:line="267" w:lineRule="auto"/>
        <w:tabs>
          <w:tab w:leader="none" w:pos="2148"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use, possession, or distribution of illegal drugs, a non-prescribed controlled substance, or alcohol, or Employee’s being under the influence of any of the foregoing, on Company premises or during the performance of Employee’s duties.</w:t>
      </w:r>
    </w:p>
    <w:p>
      <w:pPr>
        <w:spacing w:after="0" w:line="187" w:lineRule="exact"/>
        <w:rPr>
          <w:rFonts w:ascii="Times New Roman" w:cs="Times New Roman" w:eastAsia="Times New Roman" w:hAnsi="Times New Roman"/>
          <w:sz w:val="21"/>
          <w:szCs w:val="21"/>
          <w:color w:val="auto"/>
        </w:rPr>
      </w:pPr>
    </w:p>
    <w:p>
      <w:pPr>
        <w:ind w:left="2140" w:hanging="622"/>
        <w:spacing w:after="0"/>
        <w:tabs>
          <w:tab w:leader="none" w:pos="214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fraud, misappropriation of funds, embezzlement, theft or acts of similar dishonesty.</w:t>
      </w:r>
    </w:p>
    <w:p>
      <w:pPr>
        <w:spacing w:after="0" w:line="262" w:lineRule="exact"/>
        <w:rPr>
          <w:rFonts w:ascii="Times New Roman" w:cs="Times New Roman" w:eastAsia="Times New Roman" w:hAnsi="Times New Roman"/>
          <w:sz w:val="21"/>
          <w:szCs w:val="21"/>
          <w:color w:val="auto"/>
        </w:rPr>
      </w:pPr>
    </w:p>
    <w:p>
      <w:pPr>
        <w:ind w:left="2140" w:hanging="622"/>
        <w:spacing w:after="0"/>
        <w:tabs>
          <w:tab w:leader="none" w:pos="214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intentional or willful misconduct that may subject Company to criminal or civil liability.</w:t>
      </w:r>
    </w:p>
    <w:p>
      <w:pPr>
        <w:spacing w:after="0" w:line="248" w:lineRule="exact"/>
        <w:rPr>
          <w:rFonts w:ascii="Times New Roman" w:cs="Times New Roman" w:eastAsia="Times New Roman" w:hAnsi="Times New Roman"/>
          <w:sz w:val="21"/>
          <w:szCs w:val="21"/>
          <w:color w:val="auto"/>
        </w:rPr>
      </w:pPr>
    </w:p>
    <w:p>
      <w:pPr>
        <w:ind w:left="2160" w:hanging="642"/>
        <w:spacing w:after="0" w:line="285" w:lineRule="auto"/>
        <w:tabs>
          <w:tab w:leader="none" w:pos="2154"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of Employee’s duty of loyalty, including the diversion or usurpation of corporate opportunities properly belonging to Company.</w:t>
      </w:r>
    </w:p>
    <w:p>
      <w:pPr>
        <w:spacing w:after="0" w:line="168" w:lineRule="exact"/>
        <w:rPr>
          <w:rFonts w:ascii="Times New Roman" w:cs="Times New Roman" w:eastAsia="Times New Roman" w:hAnsi="Times New Roman"/>
          <w:sz w:val="21"/>
          <w:szCs w:val="21"/>
          <w:color w:val="auto"/>
        </w:rPr>
      </w:pPr>
    </w:p>
    <w:p>
      <w:pPr>
        <w:ind w:left="2160" w:right="20" w:hanging="642"/>
        <w:spacing w:after="0" w:line="255" w:lineRule="auto"/>
        <w:tabs>
          <w:tab w:leader="none" w:pos="216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falsification of Company documents or other misrepresentation related to the business and affairs of Company.</w:t>
      </w:r>
    </w:p>
    <w:p>
      <w:pPr>
        <w:spacing w:after="0" w:line="1" w:lineRule="exact"/>
        <w:rPr>
          <w:rFonts w:ascii="Times New Roman" w:cs="Times New Roman" w:eastAsia="Times New Roman" w:hAnsi="Times New Roman"/>
          <w:sz w:val="21"/>
          <w:szCs w:val="21"/>
          <w:color w:val="auto"/>
        </w:rPr>
      </w:pPr>
    </w:p>
    <w:p>
      <w:pPr>
        <w:ind w:left="2200" w:hanging="682"/>
        <w:spacing w:after="0"/>
        <w:tabs>
          <w:tab w:leader="none" w:pos="220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excessive tardiness or absenteeism.</w:t>
      </w:r>
    </w:p>
    <w:p>
      <w:pPr>
        <w:spacing w:after="0" w:line="224" w:lineRule="exact"/>
        <w:rPr>
          <w:rFonts w:ascii="Times New Roman" w:cs="Times New Roman" w:eastAsia="Times New Roman" w:hAnsi="Times New Roman"/>
          <w:sz w:val="21"/>
          <w:szCs w:val="21"/>
          <w:color w:val="auto"/>
        </w:rPr>
      </w:pPr>
    </w:p>
    <w:p>
      <w:pPr>
        <w:jc w:val="both"/>
        <w:ind w:left="2160" w:hanging="642"/>
        <w:spacing w:after="0" w:line="274" w:lineRule="auto"/>
        <w:tabs>
          <w:tab w:leader="none" w:pos="2156"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conduct of Employee, whether on duty or off duty, that adversely affects Company’s reputation and goodwill in the community, as determined by Company in its sole discretion, where such conduct is not protected by applicable law or the National Labor Relations Act.</w:t>
      </w:r>
    </w:p>
    <w:p>
      <w:pPr>
        <w:spacing w:after="0" w:line="246" w:lineRule="exact"/>
        <w:rPr>
          <w:rFonts w:ascii="Times New Roman" w:cs="Times New Roman" w:eastAsia="Times New Roman" w:hAnsi="Times New Roman"/>
          <w:sz w:val="21"/>
          <w:szCs w:val="21"/>
          <w:color w:val="auto"/>
        </w:rPr>
      </w:pPr>
    </w:p>
    <w:p>
      <w:pPr>
        <w:jc w:val="both"/>
        <w:ind w:left="1400" w:hanging="518"/>
        <w:spacing w:after="0" w:line="259" w:lineRule="auto"/>
        <w:tabs>
          <w:tab w:leader="none" w:pos="139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Other Than Cause</w:t>
      </w:r>
      <w:r>
        <w:rPr>
          <w:rFonts w:ascii="Times New Roman" w:cs="Times New Roman" w:eastAsia="Times New Roman" w:hAnsi="Times New Roman"/>
          <w:sz w:val="21"/>
          <w:szCs w:val="21"/>
          <w:color w:val="auto"/>
        </w:rPr>
        <w:t>. Company shall have the right to terminate Employee’s employment at any time for other than cause. In the event that Company terminates Employee’s employment for other than cause, provided that Employee executes a general liability release in a form satisfactory to Company, Company shall pay to Employee the amount of six (6) months’ base compensation, subject to applicable federal, state, and local deductions. For purposes of Section 409A of the United States Internal Revenue Code of 1986, as amended, and the Treasury Regulations (including proposed regulations) and guidance promulgated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860"/>
          </w:cols>
          <w:pgMar w:left="400" w:top="1440" w:right="639" w:bottom="1440" w:gutter="0" w:footer="0" w:header="0"/>
        </w:sectPr>
      </w:pPr>
    </w:p>
    <w:bookmarkStart w:id="15" w:name="page16"/>
    <w:bookmarkEnd w:id="15"/>
    <w:p>
      <w:pPr>
        <w:ind w:left="1400"/>
        <w:spacing w:after="0" w:line="298" w:lineRule="auto"/>
        <w:rPr>
          <w:sz w:val="20"/>
          <w:szCs w:val="20"/>
          <w:color w:val="auto"/>
        </w:rPr>
      </w:pPr>
      <w:r>
        <w:rPr>
          <w:rFonts w:ascii="Times New Roman" w:cs="Times New Roman" w:eastAsia="Times New Roman" w:hAnsi="Times New Roman"/>
          <w:sz w:val="21"/>
          <w:szCs w:val="21"/>
          <w:color w:val="auto"/>
        </w:rPr>
        <w:t>thereunder (collectively, “Code Section 409A”), Employee’s termination pursuant to this subsection (b) is intended to mean an involuntary Separation from Service as defined in Code Section 409A.</w:t>
      </w:r>
    </w:p>
    <w:p>
      <w:pPr>
        <w:spacing w:after="0" w:line="156" w:lineRule="exact"/>
        <w:rPr>
          <w:sz w:val="20"/>
          <w:szCs w:val="20"/>
          <w:color w:val="auto"/>
        </w:rPr>
      </w:pPr>
    </w:p>
    <w:p>
      <w:pPr>
        <w:ind w:left="1380" w:hanging="498"/>
        <w:spacing w:after="0"/>
        <w:tabs>
          <w:tab w:leader="none" w:pos="13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Death or Disability</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jc w:val="both"/>
        <w:ind w:left="2160" w:hanging="642"/>
        <w:spacing w:after="0" w:line="267" w:lineRule="auto"/>
        <w:tabs>
          <w:tab w:leader="none" w:pos="2148"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employment shall terminate immediately upon Employee’s death. In the event of termination by reason of death, Employee shall be entitled only to compensation earned as of the last day worked.</w:t>
      </w:r>
    </w:p>
    <w:p>
      <w:pPr>
        <w:spacing w:after="0" w:line="214" w:lineRule="exact"/>
        <w:rPr>
          <w:rFonts w:ascii="Times New Roman" w:cs="Times New Roman" w:eastAsia="Times New Roman" w:hAnsi="Times New Roman"/>
          <w:sz w:val="21"/>
          <w:szCs w:val="21"/>
          <w:color w:val="auto"/>
        </w:rPr>
      </w:pPr>
    </w:p>
    <w:p>
      <w:pPr>
        <w:jc w:val="both"/>
        <w:ind w:left="2160" w:hanging="642"/>
        <w:spacing w:after="0" w:line="255" w:lineRule="auto"/>
        <w:tabs>
          <w:tab w:leader="none" w:pos="2154"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compliance with federal and state laws, if Employee, with or without a reasonable accommodation, shall be incapable of substantially performing the essential functions, duties, responsibilities, and obligations set forth in this Agreement, Company shall have the right to terminate Employee’s employment immediately upon the date on which the Employee suffers a “Disability.” “Disability” means that Employee is (a) unable to engage in any substantial gainful activity by reason of any medically determinable physical or mental impairment that can be expected to result in death or can be expected to last for a continuous period of not less than twelve (12) months, or (b)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Company, or (c) determined to be totally disabled by the Social Security Administration. In the event of termination by reason of disability, Employee shall be entitled only to compensation earned as of the last day worked.</w:t>
      </w:r>
    </w:p>
    <w:p>
      <w:pPr>
        <w:spacing w:after="0" w:line="202" w:lineRule="exact"/>
        <w:rPr>
          <w:rFonts w:ascii="Times New Roman" w:cs="Times New Roman" w:eastAsia="Times New Roman" w:hAnsi="Times New Roman"/>
          <w:sz w:val="21"/>
          <w:szCs w:val="21"/>
          <w:color w:val="auto"/>
        </w:rPr>
      </w:pPr>
    </w:p>
    <w:p>
      <w:pPr>
        <w:jc w:val="both"/>
        <w:ind w:left="2160" w:hanging="642"/>
        <w:spacing w:after="0" w:line="262" w:lineRule="auto"/>
        <w:tabs>
          <w:tab w:leader="none" w:pos="216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heirs, beneficiaries, successors, or assigns shall not be entitled to any of the compensation or benefits to which Employee is entitled under this Agreement, except: (a) to the extent specifically provided in Sections 4 (d), 4(f)(v) or 4(g) of this Employment Agreement; (b) to the extent required by law; or (c) to the extent that Company’s benefit plans or policies under which Employee is covered provide a benefit to Employee’s heirs, beneficiaries, successors, or assigns.</w:t>
      </w:r>
    </w:p>
    <w:p>
      <w:pPr>
        <w:spacing w:after="0" w:line="192" w:lineRule="exact"/>
        <w:rPr>
          <w:rFonts w:ascii="Times New Roman" w:cs="Times New Roman" w:eastAsia="Times New Roman" w:hAnsi="Times New Roman"/>
          <w:sz w:val="21"/>
          <w:szCs w:val="21"/>
          <w:color w:val="auto"/>
        </w:rPr>
      </w:pPr>
    </w:p>
    <w:p>
      <w:pPr>
        <w:jc w:val="both"/>
        <w:ind w:left="1400" w:hanging="518"/>
        <w:spacing w:after="0" w:line="247" w:lineRule="auto"/>
        <w:tabs>
          <w:tab w:leader="none" w:pos="139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Future Employment or Other Relationship</w:t>
      </w:r>
      <w:r>
        <w:rPr>
          <w:rFonts w:ascii="Times New Roman" w:cs="Times New Roman" w:eastAsia="Times New Roman" w:hAnsi="Times New Roman"/>
          <w:sz w:val="21"/>
          <w:szCs w:val="21"/>
          <w:color w:val="auto"/>
        </w:rPr>
        <w:t>. In the event of the termination of Employee’s employment, whether for cause or for other than cause, Employee agrees never to seek, directly or indirectly, any employment, business or other relationship with Company, or any subsidiary or affiliate of Company, on behalf of Employee and/or on behalf of any person or entity associated in any way with Employee. Employee acknowledges and agrees that Company and any of its subsidiaries or affiliates, in their sole discretion, shall have the right to reject any employment application, business proposal, or other proposal made by Employee, or made on Employee’s behalf, or made by or on behalf of any person or entity associated in any way with Employee. Employee further acknowledges and agrees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860"/>
          </w:cols>
          <w:pgMar w:left="400" w:top="1238" w:right="639" w:bottom="1440" w:gutter="0" w:footer="0" w:header="0"/>
        </w:sectPr>
      </w:pPr>
    </w:p>
    <w:bookmarkStart w:id="16" w:name="page17"/>
    <w:bookmarkEnd w:id="16"/>
    <w:p>
      <w:pPr>
        <w:jc w:val="both"/>
        <w:ind w:left="1400"/>
        <w:spacing w:after="0" w:line="244" w:lineRule="auto"/>
        <w:rPr>
          <w:sz w:val="20"/>
          <w:szCs w:val="20"/>
          <w:color w:val="auto"/>
        </w:rPr>
      </w:pPr>
      <w:r>
        <w:rPr>
          <w:rFonts w:ascii="Times New Roman" w:cs="Times New Roman" w:eastAsia="Times New Roman" w:hAnsi="Times New Roman"/>
          <w:sz w:val="21"/>
          <w:szCs w:val="21"/>
          <w:color w:val="auto"/>
        </w:rPr>
        <w:t>that the terms of this subsection shall be good and sufficient cause for Company, or any subsidiary or affiliate of Company, to reject any employment application, business proposal, or other proposal made by Employee, or made on Employee’s behalf, or made by or on behalf of any person or entity associated in any way with Employee, and that any refusal to reemploy or do business with Employee or anyone associated with Employee or acting on Employee’s behalf shall legitimately be based upon the terms of this subsection alone and not for any other reason. For the avoidance of doubt, this subsection shall not operate to waive or extinguish any rights or claims of Employee that cannot be waived or extinguished under applicable law.</w:t>
      </w:r>
    </w:p>
    <w:p>
      <w:pPr>
        <w:spacing w:after="0" w:line="4" w:lineRule="exact"/>
        <w:rPr>
          <w:sz w:val="20"/>
          <w:szCs w:val="20"/>
          <w:color w:val="auto"/>
        </w:rPr>
      </w:pPr>
    </w:p>
    <w:p>
      <w:pPr>
        <w:jc w:val="both"/>
        <w:ind w:left="1400" w:right="20"/>
        <w:spacing w:after="0" w:line="254" w:lineRule="auto"/>
        <w:rPr>
          <w:sz w:val="20"/>
          <w:szCs w:val="20"/>
          <w:color w:val="auto"/>
        </w:rPr>
      </w:pPr>
      <w:r>
        <w:rPr>
          <w:rFonts w:ascii="Times New Roman" w:cs="Times New Roman" w:eastAsia="Times New Roman" w:hAnsi="Times New Roman"/>
          <w:sz w:val="19"/>
          <w:szCs w:val="19"/>
          <w:color w:val="auto"/>
        </w:rPr>
        <w:t>Notwithstanding the foregoing, nothing in this subsection shall preclude Company or any subsidiary or affiliate of Company, in its sole discretion, from seeking or initiating a subsequent employment, business, or other relationship with Employee or a person or entity associated with Employee.</w:t>
      </w:r>
    </w:p>
    <w:p>
      <w:pPr>
        <w:spacing w:after="0" w:line="207" w:lineRule="exact"/>
        <w:rPr>
          <w:sz w:val="20"/>
          <w:szCs w:val="20"/>
          <w:color w:val="auto"/>
        </w:rPr>
      </w:pPr>
    </w:p>
    <w:p>
      <w:pPr>
        <w:jc w:val="both"/>
        <w:ind w:left="1400" w:hanging="518"/>
        <w:spacing w:after="0" w:line="261" w:lineRule="auto"/>
        <w:tabs>
          <w:tab w:leader="none" w:pos="1391"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Company Property</w:t>
      </w:r>
      <w:r>
        <w:rPr>
          <w:rFonts w:ascii="Times New Roman" w:cs="Times New Roman" w:eastAsia="Times New Roman" w:hAnsi="Times New Roman"/>
          <w:sz w:val="21"/>
          <w:szCs w:val="21"/>
          <w:color w:val="auto"/>
        </w:rPr>
        <w:t>. In the event of any termination of this Agreement, Employee shall immediately return to Company, without limitation, all papers, materials, reports, memoranda, notes, plans, records, reports, computer tapes, software, and any other documents or items of whatever nature owned by Company or supplied to Employee by Company in connection with, or in the course of, Employee’s employment.</w:t>
      </w:r>
    </w:p>
    <w:p>
      <w:pPr>
        <w:spacing w:after="0" w:line="208" w:lineRule="exact"/>
        <w:rPr>
          <w:rFonts w:ascii="Times New Roman" w:cs="Times New Roman" w:eastAsia="Times New Roman" w:hAnsi="Times New Roman"/>
          <w:sz w:val="21"/>
          <w:szCs w:val="21"/>
          <w:color w:val="auto"/>
        </w:rPr>
      </w:pPr>
    </w:p>
    <w:p>
      <w:pPr>
        <w:jc w:val="both"/>
        <w:ind w:left="1400" w:hanging="518"/>
        <w:spacing w:after="0" w:line="257" w:lineRule="auto"/>
        <w:tabs>
          <w:tab w:leader="none" w:pos="1395"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Employee agrees to fully cooperate with Company and its attorneys in connection with any pending or future litigation, claim, dispute, investigation, or other proceeding arising out of or relating to (i) matters of which Employee has knowledge or, if Employee’s employment has terminated, (ii) matters of which Employee was involved prior to the termination of Employee’s employment. Employee’s cooperation shall include, without limitation, providing assistance to Company’s counsel, experts, and consultants, and providing truthful testimony in pretrial and trial or hearing proceedings. Company will use reasonable efforts to minimize interruptions to Employee’s schedule to the extent consistent with its interests in the matter and will reimburse Employee for reasonable and appropriate out-of-pocket expenses actually incurred by Employee in connection with such cooperation, upon reasonable substantiation of such expenses.</w:t>
      </w:r>
    </w:p>
    <w:p>
      <w:pPr>
        <w:spacing w:after="0" w:line="31" w:lineRule="exact"/>
        <w:rPr>
          <w:rFonts w:ascii="Times New Roman" w:cs="Times New Roman" w:eastAsia="Times New Roman" w:hAnsi="Times New Roman"/>
          <w:sz w:val="21"/>
          <w:szCs w:val="21"/>
          <w:color w:val="auto"/>
        </w:rPr>
      </w:pPr>
    </w:p>
    <w:p>
      <w:pPr>
        <w:ind w:left="1400" w:hanging="518"/>
        <w:spacing w:after="0" w:line="285" w:lineRule="auto"/>
        <w:tabs>
          <w:tab w:leader="none" w:pos="139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To the extent any severance payments due Employee pursuant to subsection (b) hereof shall be treated as deferred compensation under Code</w:t>
      </w:r>
    </w:p>
    <w:p>
      <w:pPr>
        <w:spacing w:after="0" w:line="9" w:lineRule="exact"/>
        <w:rPr>
          <w:rFonts w:ascii="Times New Roman" w:cs="Times New Roman" w:eastAsia="Times New Roman" w:hAnsi="Times New Roman"/>
          <w:sz w:val="21"/>
          <w:szCs w:val="21"/>
          <w:color w:val="auto"/>
        </w:rPr>
      </w:pPr>
    </w:p>
    <w:p>
      <w:pPr>
        <w:jc w:val="both"/>
        <w:ind w:left="140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409A, payment of such amount shall be delayed until the first day of the seventh month following the date of Employee’s termination, but only to the extent that such delay is necessary in order to avoid penalties under Code Section 409A with respect to payments to a Specified Employee, as defined in Treasury Regulations Section 1.409A-1(i) upon Separation from Service, as defined in Treasury Regulations Section 1.409A-1(h).</w:t>
      </w:r>
    </w:p>
    <w:p>
      <w:pPr>
        <w:spacing w:after="0" w:line="273" w:lineRule="exact"/>
        <w:rPr>
          <w:rFonts w:ascii="Times New Roman" w:cs="Times New Roman" w:eastAsia="Times New Roman" w:hAnsi="Times New Roman"/>
          <w:sz w:val="21"/>
          <w:szCs w:val="21"/>
          <w:color w:val="auto"/>
        </w:rPr>
      </w:pPr>
    </w:p>
    <w:p>
      <w:pPr>
        <w:ind w:left="880" w:hanging="634"/>
        <w:spacing w:after="0"/>
        <w:tabs>
          <w:tab w:leader="none" w:pos="88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ind w:left="1520" w:hanging="636"/>
        <w:spacing w:after="0" w:line="28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11.1. “Confidential Information” is information however delivered, disclosed, or discovered that Employee has, or in the exercise of ordinary prudence should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860"/>
          </w:cols>
          <w:pgMar w:left="400" w:top="1238" w:right="639" w:bottom="1440" w:gutter="0" w:footer="0" w:header="0"/>
        </w:sectPr>
      </w:pPr>
    </w:p>
    <w:bookmarkStart w:id="17" w:name="page18"/>
    <w:bookmarkEnd w:id="17"/>
    <w:p>
      <w:pPr>
        <w:ind w:left="1520" w:right="20"/>
        <w:spacing w:after="0" w:line="298" w:lineRule="auto"/>
        <w:rPr>
          <w:sz w:val="20"/>
          <w:szCs w:val="20"/>
          <w:color w:val="auto"/>
        </w:rPr>
      </w:pPr>
      <w:r>
        <w:rPr>
          <w:rFonts w:ascii="Times New Roman" w:cs="Times New Roman" w:eastAsia="Times New Roman" w:hAnsi="Times New Roman"/>
          <w:sz w:val="21"/>
          <w:szCs w:val="21"/>
          <w:color w:val="auto"/>
        </w:rPr>
        <w:t>have, reason to believe is confidential or that Company designates as confidential, including, but not limited to:</w:t>
      </w:r>
    </w:p>
    <w:p>
      <w:pPr>
        <w:spacing w:after="0" w:line="154" w:lineRule="exact"/>
        <w:rPr>
          <w:sz w:val="20"/>
          <w:szCs w:val="20"/>
          <w:color w:val="auto"/>
        </w:rPr>
      </w:pPr>
    </w:p>
    <w:p>
      <w:pPr>
        <w:ind w:left="2160" w:hanging="642"/>
        <w:spacing w:after="0"/>
        <w:tabs>
          <w:tab w:leader="none" w:pos="21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Company Information</w:t>
      </w:r>
      <w:r>
        <w:rPr>
          <w:rFonts w:ascii="Times New Roman" w:cs="Times New Roman" w:eastAsia="Times New Roman" w:hAnsi="Times New Roman"/>
          <w:sz w:val="21"/>
          <w:szCs w:val="21"/>
          <w:color w:val="auto"/>
        </w:rPr>
        <w:t>: Company proprietary information, technical data, trade secrets or know-how,</w:t>
      </w:r>
    </w:p>
    <w:p>
      <w:pPr>
        <w:spacing w:after="0" w:line="37" w:lineRule="exact"/>
        <w:rPr>
          <w:rFonts w:ascii="Times New Roman" w:cs="Times New Roman" w:eastAsia="Times New Roman" w:hAnsi="Times New Roman"/>
          <w:sz w:val="21"/>
          <w:szCs w:val="21"/>
          <w:color w:val="auto"/>
        </w:rPr>
      </w:pPr>
    </w:p>
    <w:p>
      <w:pPr>
        <w:jc w:val="both"/>
        <w:ind w:left="216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including but not limited to: research, processes, pricing strategies, communication strategies, sales strategies, sales literature, sales contracts, product plans, products, inventions, methods, services, computer codes or instructions, software and software documentation, equipment, costs, customer lists, business studies, business procedures, finances and other business information disclosed to Employee by Company, either directly or indirectly in writing, orally or by drawings or observation of parts or equipment and such other documentation and information as is necessary in the conduct of the business of Company; and</w:t>
      </w:r>
    </w:p>
    <w:p>
      <w:pPr>
        <w:spacing w:after="0" w:line="197" w:lineRule="exact"/>
        <w:rPr>
          <w:rFonts w:ascii="Times New Roman" w:cs="Times New Roman" w:eastAsia="Times New Roman" w:hAnsi="Times New Roman"/>
          <w:sz w:val="21"/>
          <w:szCs w:val="21"/>
          <w:color w:val="auto"/>
        </w:rPr>
      </w:pPr>
    </w:p>
    <w:p>
      <w:pPr>
        <w:ind w:left="2160" w:right="20" w:hanging="642"/>
        <w:spacing w:after="0" w:line="274" w:lineRule="auto"/>
        <w:tabs>
          <w:tab w:leader="none" w:pos="215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Third Party Information</w:t>
      </w:r>
      <w:r>
        <w:rPr>
          <w:rFonts w:ascii="Times New Roman" w:cs="Times New Roman" w:eastAsia="Times New Roman" w:hAnsi="Times New Roman"/>
          <w:sz w:val="21"/>
          <w:szCs w:val="21"/>
          <w:color w:val="auto"/>
        </w:rPr>
        <w:t>: Confidential or proprietary information received by Company from third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w:t>
      </w:r>
    </w:p>
    <w:p>
      <w:pPr>
        <w:spacing w:after="0" w:line="179" w:lineRule="exact"/>
        <w:rPr>
          <w:sz w:val="20"/>
          <w:szCs w:val="20"/>
          <w:color w:val="auto"/>
        </w:rPr>
      </w:pPr>
    </w:p>
    <w:p>
      <w:pPr>
        <w:jc w:val="both"/>
        <w:ind w:left="1500" w:hanging="635"/>
        <w:spacing w:after="0" w:line="285" w:lineRule="auto"/>
        <w:tabs>
          <w:tab w:leader="none" w:pos="1480" w:val="left"/>
        </w:tabs>
        <w:rPr>
          <w:sz w:val="20"/>
          <w:szCs w:val="20"/>
          <w:color w:val="auto"/>
        </w:rPr>
      </w:pPr>
      <w:r>
        <w:rPr>
          <w:rFonts w:ascii="Times New Roman" w:cs="Times New Roman" w:eastAsia="Times New Roman" w:hAnsi="Times New Roman"/>
          <w:sz w:val="21"/>
          <w:szCs w:val="21"/>
          <w:color w:val="auto"/>
        </w:rPr>
        <w:t>11.2.</w:t>
        <w:tab/>
        <w:t>Company’s failure to mark any of the Confidential Information as confidential or proprietary will not affect its status as Confidential Information.</w:t>
      </w:r>
    </w:p>
    <w:p>
      <w:pPr>
        <w:spacing w:after="0" w:line="182" w:lineRule="exact"/>
        <w:rPr>
          <w:sz w:val="20"/>
          <w:szCs w:val="20"/>
          <w:color w:val="auto"/>
        </w:rPr>
      </w:pPr>
    </w:p>
    <w:p>
      <w:pPr>
        <w:jc w:val="both"/>
        <w:ind w:left="1500" w:hanging="635"/>
        <w:spacing w:after="0" w:line="267" w:lineRule="auto"/>
        <w:tabs>
          <w:tab w:leader="none" w:pos="1480" w:val="left"/>
        </w:tabs>
        <w:rPr>
          <w:sz w:val="20"/>
          <w:szCs w:val="20"/>
          <w:color w:val="auto"/>
        </w:rPr>
      </w:pPr>
      <w:r>
        <w:rPr>
          <w:rFonts w:ascii="Times New Roman" w:cs="Times New Roman" w:eastAsia="Times New Roman" w:hAnsi="Times New Roman"/>
          <w:sz w:val="21"/>
          <w:szCs w:val="21"/>
          <w:color w:val="auto"/>
        </w:rPr>
        <w:t>11.3.</w:t>
        <w:tab/>
        <w:t>Employee agrees that the terms, conditions, and subject matter of this Agreement are considered Confidential Information, except that Employee may disclose the terms, conditions and subject matter of this Agreement to Employee’s attorneys, accountants or financial advisors, and spouse or domestic partner.</w:t>
      </w:r>
    </w:p>
    <w:p>
      <w:pPr>
        <w:spacing w:after="0" w:line="201" w:lineRule="exact"/>
        <w:rPr>
          <w:sz w:val="20"/>
          <w:szCs w:val="20"/>
          <w:color w:val="auto"/>
        </w:rPr>
      </w:pPr>
    </w:p>
    <w:p>
      <w:pPr>
        <w:jc w:val="both"/>
        <w:ind w:left="1500" w:hanging="635"/>
        <w:spacing w:after="0" w:line="252" w:lineRule="auto"/>
        <w:tabs>
          <w:tab w:leader="none" w:pos="1480" w:val="left"/>
        </w:tabs>
        <w:rPr>
          <w:sz w:val="20"/>
          <w:szCs w:val="20"/>
          <w:color w:val="auto"/>
        </w:rPr>
      </w:pPr>
      <w:r>
        <w:rPr>
          <w:rFonts w:ascii="Times New Roman" w:cs="Times New Roman" w:eastAsia="Times New Roman" w:hAnsi="Times New Roman"/>
          <w:sz w:val="21"/>
          <w:szCs w:val="21"/>
          <w:color w:val="auto"/>
        </w:rPr>
        <w:t>11.4.</w:t>
        <w:tab/>
        <w:t xml:space="preserve">Confidential Information does not include information that has ceased to be confidential by reason of any of the following: (i) was in Employee’s possession prior to the date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information is not known by Employee to be subject to another confidentiality agreement with, or other obligation of secrecy to, Company, or another party; (ii) is generally available to the public and became generally available to the public other than as a result of a disclosure in violation of this Agreement; (iii) became available to Employee on a non-confidential basis from a third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third party is not known by Employee to be bound by a confidentiality agreement with, or other obligation of secrecy to, Company, or another party or is otherwise prohibited from </w:t>
      </w:r>
      <w:r>
        <w:rPr>
          <w:rFonts w:ascii="Times New Roman" w:cs="Times New Roman" w:eastAsia="Times New Roman" w:hAnsi="Times New Roman"/>
          <w:sz w:val="19"/>
          <w:szCs w:val="19"/>
          <w:color w:val="auto"/>
        </w:rPr>
        <w:t>providing such information to Employee by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contractual, legal or fiduciary obligation; or</w:t>
      </w:r>
    </w:p>
    <w:p>
      <w:pPr>
        <w:spacing w:after="0" w:line="3" w:lineRule="exact"/>
        <w:rPr>
          <w:sz w:val="20"/>
          <w:szCs w:val="20"/>
          <w:color w:val="auto"/>
        </w:rPr>
      </w:pPr>
    </w:p>
    <w:p>
      <w:pPr>
        <w:ind w:left="1520" w:hanging="2"/>
        <w:spacing w:after="0" w:line="254" w:lineRule="auto"/>
        <w:tabs>
          <w:tab w:leader="none" w:pos="1857"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required to disclose pursuant to applicable law or regulation (as to which information, Employee will provide Company with prior</w:t>
      </w:r>
    </w:p>
    <w:p>
      <w:pPr>
        <w:spacing w:after="0" w:line="1" w:lineRule="exact"/>
        <w:rPr>
          <w:rFonts w:ascii="Times New Roman" w:cs="Times New Roman" w:eastAsia="Times New Roman" w:hAnsi="Times New Roman"/>
          <w:sz w:val="19"/>
          <w:szCs w:val="19"/>
          <w:color w:val="auto"/>
        </w:rPr>
      </w:pPr>
    </w:p>
    <w:p>
      <w:pPr>
        <w:ind w:left="1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notice of such requirement and, if practicable, an opportunity to obtain an appropriate protective order).</w:t>
      </w:r>
    </w:p>
    <w:p>
      <w:pPr>
        <w:spacing w:after="0" w:line="256" w:lineRule="exact"/>
        <w:rPr>
          <w:sz w:val="20"/>
          <w:szCs w:val="20"/>
          <w:color w:val="auto"/>
        </w:rPr>
      </w:pPr>
    </w:p>
    <w:p>
      <w:pPr>
        <w:jc w:val="both"/>
        <w:ind w:left="1500" w:hanging="635"/>
        <w:spacing w:after="0" w:line="267" w:lineRule="auto"/>
        <w:tabs>
          <w:tab w:leader="none" w:pos="1480" w:val="left"/>
        </w:tabs>
        <w:rPr>
          <w:sz w:val="20"/>
          <w:szCs w:val="20"/>
          <w:color w:val="auto"/>
        </w:rPr>
      </w:pPr>
      <w:r>
        <w:rPr>
          <w:rFonts w:ascii="Times New Roman" w:cs="Times New Roman" w:eastAsia="Times New Roman" w:hAnsi="Times New Roman"/>
          <w:sz w:val="21"/>
          <w:szCs w:val="21"/>
          <w:color w:val="auto"/>
        </w:rPr>
        <w:t>11.5.</w:t>
        <w:tab/>
        <w:t>Employee shall not, either during or after the termination of Employee’s employment with Company, communicate or disclose to any third party the substance or content of any Confidential Information, or use such Confidential Information for any purpose other than the performance of Employee’s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860"/>
          </w:cols>
          <w:pgMar w:left="400" w:top="1238" w:right="639" w:bottom="1440" w:gutter="0" w:footer="0" w:header="0"/>
        </w:sectPr>
      </w:pPr>
    </w:p>
    <w:bookmarkStart w:id="18" w:name="page19"/>
    <w:bookmarkEnd w:id="18"/>
    <w:p>
      <w:pPr>
        <w:jc w:val="both"/>
        <w:ind w:left="1520"/>
        <w:spacing w:after="0" w:line="266" w:lineRule="auto"/>
        <w:rPr>
          <w:sz w:val="20"/>
          <w:szCs w:val="20"/>
          <w:color w:val="auto"/>
        </w:rPr>
      </w:pPr>
      <w:r>
        <w:rPr>
          <w:rFonts w:ascii="Times New Roman" w:cs="Times New Roman" w:eastAsia="Times New Roman" w:hAnsi="Times New Roman"/>
          <w:sz w:val="21"/>
          <w:szCs w:val="21"/>
          <w:color w:val="auto"/>
        </w:rPr>
        <w:t>obligations hereunder. Employee acknowledges and agrees that any Confidential Information obtained by Employee during the performance of Employee’s employment concerning the business or affairs of Company, or any subsidiary, affiliate, or joint venture of Company, is the property of Company, or such subsidiary, affiliate, or joint venture of Company, as the case may be.</w:t>
      </w:r>
    </w:p>
    <w:p>
      <w:pPr>
        <w:spacing w:after="0" w:line="201" w:lineRule="exact"/>
        <w:rPr>
          <w:sz w:val="20"/>
          <w:szCs w:val="20"/>
          <w:color w:val="auto"/>
        </w:rPr>
      </w:pPr>
    </w:p>
    <w:p>
      <w:pPr>
        <w:jc w:val="both"/>
        <w:ind w:left="1500" w:hanging="635"/>
        <w:spacing w:after="0" w:line="261" w:lineRule="auto"/>
        <w:tabs>
          <w:tab w:leader="none" w:pos="1480" w:val="left"/>
        </w:tabs>
        <w:rPr>
          <w:sz w:val="20"/>
          <w:szCs w:val="20"/>
          <w:color w:val="auto"/>
        </w:rPr>
      </w:pPr>
      <w:r>
        <w:rPr>
          <w:rFonts w:ascii="Times New Roman" w:cs="Times New Roman" w:eastAsia="Times New Roman" w:hAnsi="Times New Roman"/>
          <w:sz w:val="21"/>
          <w:szCs w:val="21"/>
          <w:color w:val="auto"/>
        </w:rPr>
        <w:t>11.6.</w:t>
        <w:tab/>
        <w:t>Employee agrees to return all Confidential Information, including all copies and versions of such Confidential Information (including but not limited to information maintained on paper, disk, CD-ROM, network server, or any other retention device whatsoever) and other property of Company, to Company immediately upon Employee’s separation from Company (regardless of the reason for the separation).</w:t>
      </w:r>
    </w:p>
    <w:p>
      <w:pPr>
        <w:spacing w:after="0" w:line="208" w:lineRule="exact"/>
        <w:rPr>
          <w:sz w:val="20"/>
          <w:szCs w:val="20"/>
          <w:color w:val="auto"/>
        </w:rPr>
      </w:pPr>
    </w:p>
    <w:p>
      <w:pPr>
        <w:jc w:val="both"/>
        <w:ind w:left="1500" w:hanging="635"/>
        <w:spacing w:after="0" w:line="266" w:lineRule="auto"/>
        <w:tabs>
          <w:tab w:leader="none" w:pos="1480" w:val="left"/>
        </w:tabs>
        <w:rPr>
          <w:sz w:val="20"/>
          <w:szCs w:val="20"/>
          <w:color w:val="auto"/>
        </w:rPr>
      </w:pPr>
      <w:r>
        <w:rPr>
          <w:rFonts w:ascii="Times New Roman" w:cs="Times New Roman" w:eastAsia="Times New Roman" w:hAnsi="Times New Roman"/>
          <w:sz w:val="21"/>
          <w:szCs w:val="21"/>
          <w:color w:val="auto"/>
        </w:rPr>
        <w:t>11.7.</w:t>
        <w:tab/>
        <w:t>The terms of this Section 11 are in addition to, and not in lieu of, any other contractual, statutory, or common law obligations that Employee may have relating to the protection of Company’s Confidential Information or its property. The terms of this Section 11 shall survive for two (2) years following Employee’s separation from employment with Company.</w:t>
      </w:r>
    </w:p>
    <w:p>
      <w:pPr>
        <w:spacing w:after="0" w:line="201" w:lineRule="exact"/>
        <w:rPr>
          <w:sz w:val="20"/>
          <w:szCs w:val="20"/>
          <w:color w:val="auto"/>
        </w:rPr>
      </w:pPr>
    </w:p>
    <w:p>
      <w:pPr>
        <w:jc w:val="both"/>
        <w:ind w:left="1500" w:hanging="635"/>
        <w:spacing w:after="0" w:line="256" w:lineRule="auto"/>
        <w:tabs>
          <w:tab w:leader="none" w:pos="1480" w:val="left"/>
        </w:tabs>
        <w:rPr>
          <w:sz w:val="20"/>
          <w:szCs w:val="20"/>
          <w:color w:val="auto"/>
        </w:rPr>
      </w:pPr>
      <w:r>
        <w:rPr>
          <w:rFonts w:ascii="Times New Roman" w:cs="Times New Roman" w:eastAsia="Times New Roman" w:hAnsi="Times New Roman"/>
          <w:sz w:val="21"/>
          <w:szCs w:val="21"/>
          <w:color w:val="auto"/>
        </w:rPr>
        <w:t>11.8.</w:t>
        <w:tab/>
        <w:t>Notwithstanding anything to the contrary, nothing set forth in this Agreement will prohibit Employee from filing a charge, communicating or participating in an investigation with, or providing documents or information to, a federal or state government agency, including but not limited to the EEOC, NLRB, OSHA, or the SEC. The nondisclosure provisions in this Agreement do not prohibit Employee from initiating communications directly with, or responding to any inquiry from, or providing testimony before, any self-regulatory organization or state or federal regulatory authority, regarding Company, Employee’s employment, this Agreement or its underlying facts or circumstances. Any cooperation provision in this Agreement does not require Employee to contact Company regarding the subject matter of any such communications before engaging in such communications. This Agreement will not limit Employee’s right to receive an incentive award authorized under federal statute or regulation for information provided to the SEC or other federal or state regulatory or law enforcement agencies, if applicable.</w:t>
      </w:r>
    </w:p>
    <w:p>
      <w:pPr>
        <w:spacing w:after="0" w:line="214" w:lineRule="exact"/>
        <w:rPr>
          <w:sz w:val="20"/>
          <w:szCs w:val="20"/>
          <w:color w:val="auto"/>
        </w:rPr>
      </w:pPr>
    </w:p>
    <w:p>
      <w:pPr>
        <w:ind w:left="880" w:hanging="634"/>
        <w:spacing w:after="0"/>
        <w:tabs>
          <w:tab w:leader="none" w:pos="8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 and Non-Solicitation; Survival</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ind w:left="1520" w:hanging="636"/>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12.1. Employee acknowledges that Employee’s services are of special and unique value to Company. Employee further acknowledges that, by reason of Employee’s </w:t>
      </w:r>
      <w:r>
        <w:rPr>
          <w:rFonts w:ascii="Times New Roman" w:cs="Times New Roman" w:eastAsia="Times New Roman" w:hAnsi="Times New Roman"/>
          <w:sz w:val="19"/>
          <w:szCs w:val="19"/>
          <w:color w:val="auto"/>
        </w:rPr>
        <w:t>employment, Employee will have access to and may acquire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considerable knowledge of proprietary or confid</w:t>
      </w:r>
      <w:r>
        <w:rPr>
          <w:rFonts w:ascii="Times New Roman" w:cs="Times New Roman" w:eastAsia="Times New Roman" w:hAnsi="Times New Roman"/>
          <w:sz w:val="21"/>
          <w:szCs w:val="21"/>
          <w:color w:val="auto"/>
        </w:rPr>
        <w:t>ential information concerning Company’s business, operations,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sales goals, marketing plans, business strategies, clients, potential clients, and suppliers, which information, if known by or disclosed to Company’s competitors</w:t>
      </w:r>
    </w:p>
    <w:p>
      <w:pPr>
        <w:spacing w:after="0" w:line="1" w:lineRule="exact"/>
        <w:rPr>
          <w:rFonts w:ascii="Times New Roman" w:cs="Times New Roman" w:eastAsia="Times New Roman" w:hAnsi="Times New Roman"/>
          <w:sz w:val="21"/>
          <w:szCs w:val="21"/>
          <w:color w:val="auto"/>
        </w:rPr>
      </w:pPr>
    </w:p>
    <w:p>
      <w:pPr>
        <w:ind w:left="15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clients, would place Company at a competitive disadvantage and cause harm to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860"/>
          </w:cols>
          <w:pgMar w:left="400" w:top="1238" w:right="639" w:bottom="1440" w:gutter="0" w:footer="0" w:header="0"/>
        </w:sectPr>
      </w:pPr>
    </w:p>
    <w:bookmarkStart w:id="19" w:name="page20"/>
    <w:bookmarkEnd w:id="19"/>
    <w:p>
      <w:pPr>
        <w:jc w:val="both"/>
        <w:ind w:left="1520" w:hanging="635"/>
        <w:spacing w:after="0" w:line="266" w:lineRule="auto"/>
        <w:tabs>
          <w:tab w:leader="none" w:pos="1500" w:val="left"/>
        </w:tabs>
        <w:rPr>
          <w:sz w:val="20"/>
          <w:szCs w:val="20"/>
          <w:color w:val="auto"/>
        </w:rPr>
      </w:pPr>
      <w:r>
        <w:rPr>
          <w:rFonts w:ascii="Times New Roman" w:cs="Times New Roman" w:eastAsia="Times New Roman" w:hAnsi="Times New Roman"/>
          <w:sz w:val="21"/>
          <w:szCs w:val="21"/>
          <w:color w:val="auto"/>
        </w:rPr>
        <w:t>12.2.</w:t>
        <w:tab/>
        <w:t>As a condition of employment, Employee agrees to be bound by a separate Noncompetition Agreement, which shall be executed contemporaneously herewith and attached to this Agreement as Schedule I. Additionally, for a period of one (1) year immediately following the termination of Employee’s employment with Company (“Restrictive Period”):</w:t>
      </w:r>
    </w:p>
    <w:p>
      <w:pPr>
        <w:spacing w:after="0" w:line="201" w:lineRule="exact"/>
        <w:rPr>
          <w:sz w:val="20"/>
          <w:szCs w:val="20"/>
          <w:color w:val="auto"/>
        </w:rPr>
      </w:pPr>
    </w:p>
    <w:p>
      <w:pPr>
        <w:jc w:val="both"/>
        <w:ind w:left="2160" w:hanging="642"/>
        <w:spacing w:after="0" w:line="267" w:lineRule="auto"/>
        <w:tabs>
          <w:tab w:leader="none" w:pos="215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not, directly or indirectly, solicit, divert, or take away, or attempt to solicit, divert, or take away, the business or patronage of any client, potential client, or account of Company that was a client, potential client, or account of Company while Employee was employed by Company.</w:t>
      </w:r>
    </w:p>
    <w:p>
      <w:pPr>
        <w:spacing w:after="0" w:line="201" w:lineRule="exact"/>
        <w:rPr>
          <w:rFonts w:ascii="Times New Roman" w:cs="Times New Roman" w:eastAsia="Times New Roman" w:hAnsi="Times New Roman"/>
          <w:sz w:val="21"/>
          <w:szCs w:val="21"/>
          <w:color w:val="auto"/>
        </w:rPr>
      </w:pPr>
    </w:p>
    <w:p>
      <w:pPr>
        <w:jc w:val="both"/>
        <w:ind w:left="2160" w:hanging="642"/>
        <w:spacing w:after="0" w:line="267" w:lineRule="auto"/>
        <w:tabs>
          <w:tab w:leader="none" w:pos="215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not, directly or indirectly, induce or attempt to induce any employee of Company, or any of Company’s subsidiaries and affiliates, to leave the employ of Company, or any of Company’s subsidiaries and affiliates.</w:t>
      </w:r>
    </w:p>
    <w:p>
      <w:pPr>
        <w:spacing w:after="0" w:line="201" w:lineRule="exact"/>
        <w:rPr>
          <w:rFonts w:ascii="Times New Roman" w:cs="Times New Roman" w:eastAsia="Times New Roman" w:hAnsi="Times New Roman"/>
          <w:sz w:val="21"/>
          <w:szCs w:val="21"/>
          <w:color w:val="auto"/>
        </w:rPr>
      </w:pPr>
    </w:p>
    <w:p>
      <w:pPr>
        <w:ind w:left="2160" w:hanging="642"/>
        <w:spacing w:after="0" w:line="285" w:lineRule="auto"/>
        <w:tabs>
          <w:tab w:leader="none" w:pos="215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not, directly or indirectly, employ or attempt to employ any person who is an employee of Company, or any of Company’s subsidiaries and affiliates.</w:t>
      </w:r>
    </w:p>
    <w:p>
      <w:pPr>
        <w:spacing w:after="0" w:line="181" w:lineRule="exact"/>
        <w:rPr>
          <w:rFonts w:ascii="Times New Roman" w:cs="Times New Roman" w:eastAsia="Times New Roman" w:hAnsi="Times New Roman"/>
          <w:sz w:val="21"/>
          <w:szCs w:val="21"/>
          <w:color w:val="auto"/>
        </w:rPr>
      </w:pPr>
    </w:p>
    <w:p>
      <w:pPr>
        <w:jc w:val="both"/>
        <w:ind w:left="2160" w:hanging="642"/>
        <w:spacing w:after="0" w:line="266" w:lineRule="auto"/>
        <w:tabs>
          <w:tab w:leader="none" w:pos="215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not, directly or indirectly, solicit, induce, or attempt to induce any customer, supplier, or third party having a business relationship with Company, or any of Company’s subsidiaries and affiliates, to cease doing business with, or materially alter its relationship with, Company, or any of Company’s subsidiaries and affiliates.</w:t>
      </w:r>
    </w:p>
    <w:p>
      <w:pPr>
        <w:spacing w:after="0" w:line="201" w:lineRule="exact"/>
        <w:rPr>
          <w:sz w:val="20"/>
          <w:szCs w:val="20"/>
          <w:color w:val="auto"/>
        </w:rPr>
      </w:pPr>
    </w:p>
    <w:p>
      <w:pPr>
        <w:jc w:val="both"/>
        <w:ind w:left="1520" w:hanging="635"/>
        <w:spacing w:after="0" w:line="267" w:lineRule="auto"/>
        <w:tabs>
          <w:tab w:leader="none" w:pos="1500" w:val="left"/>
        </w:tabs>
        <w:rPr>
          <w:sz w:val="20"/>
          <w:szCs w:val="20"/>
          <w:color w:val="auto"/>
        </w:rPr>
      </w:pPr>
      <w:r>
        <w:rPr>
          <w:rFonts w:ascii="Times New Roman" w:cs="Times New Roman" w:eastAsia="Times New Roman" w:hAnsi="Times New Roman"/>
          <w:sz w:val="21"/>
          <w:szCs w:val="21"/>
          <w:color w:val="auto"/>
        </w:rPr>
        <w:t>12.3.</w:t>
        <w:tab/>
        <w:t>Employee acknowledges and agrees that every effort has been made to limit the Restrictive Period and the restrictions placed upon Employee to those that are reasonable and necessary to protect Company’s legitimate interests.</w:t>
      </w:r>
    </w:p>
    <w:p>
      <w:pPr>
        <w:spacing w:after="0" w:line="201" w:lineRule="exact"/>
        <w:rPr>
          <w:sz w:val="20"/>
          <w:szCs w:val="20"/>
          <w:color w:val="auto"/>
        </w:rPr>
      </w:pPr>
    </w:p>
    <w:p>
      <w:pPr>
        <w:jc w:val="both"/>
        <w:ind w:left="1520" w:hanging="635"/>
        <w:spacing w:after="0" w:line="267" w:lineRule="auto"/>
        <w:tabs>
          <w:tab w:leader="none" w:pos="1500" w:val="left"/>
        </w:tabs>
        <w:rPr>
          <w:sz w:val="20"/>
          <w:szCs w:val="20"/>
          <w:color w:val="auto"/>
        </w:rPr>
      </w:pPr>
      <w:r>
        <w:rPr>
          <w:rFonts w:ascii="Times New Roman" w:cs="Times New Roman" w:eastAsia="Times New Roman" w:hAnsi="Times New Roman"/>
          <w:sz w:val="21"/>
          <w:szCs w:val="21"/>
          <w:color w:val="auto"/>
        </w:rPr>
        <w:t>12.4.</w:t>
        <w:tab/>
        <w:t>If any restriction set forth in this Section 12 is found by any court of competent jurisdiction to be unenforceable, it is hereby agreed that this Section 12 shall be interpreted to extend only over the maximum period of time, range of activities or geographic area as to which it may be enforceable.</w:t>
      </w:r>
    </w:p>
    <w:p>
      <w:pPr>
        <w:spacing w:after="0" w:line="201" w:lineRule="exact"/>
        <w:rPr>
          <w:sz w:val="20"/>
          <w:szCs w:val="20"/>
          <w:color w:val="auto"/>
        </w:rPr>
      </w:pPr>
    </w:p>
    <w:p>
      <w:pPr>
        <w:jc w:val="both"/>
        <w:ind w:left="1520" w:hanging="635"/>
        <w:spacing w:after="0" w:line="266" w:lineRule="auto"/>
        <w:tabs>
          <w:tab w:leader="none" w:pos="1500" w:val="left"/>
        </w:tabs>
        <w:rPr>
          <w:sz w:val="20"/>
          <w:szCs w:val="20"/>
          <w:color w:val="auto"/>
        </w:rPr>
      </w:pPr>
      <w:r>
        <w:rPr>
          <w:rFonts w:ascii="Times New Roman" w:cs="Times New Roman" w:eastAsia="Times New Roman" w:hAnsi="Times New Roman"/>
          <w:sz w:val="21"/>
          <w:szCs w:val="21"/>
          <w:color w:val="auto"/>
        </w:rPr>
        <w:t>12.5.</w:t>
        <w:tab/>
        <w:t>For the avoidance of doubt, it is expressly agreed that the rights and obligations of the parties set forth in this Section 12, and any other right or obligation of the parties set forth in this Agreement that, by its express terms or nature and context is intended to survive the termination or expiration of this Agreement, will survive any such termination or expiration.</w:t>
      </w:r>
    </w:p>
    <w:p>
      <w:pPr>
        <w:spacing w:after="0" w:line="95" w:lineRule="exact"/>
        <w:rPr>
          <w:sz w:val="20"/>
          <w:szCs w:val="20"/>
          <w:color w:val="auto"/>
        </w:rPr>
      </w:pPr>
    </w:p>
    <w:p>
      <w:pPr>
        <w:ind w:left="880" w:hanging="634"/>
        <w:spacing w:after="0"/>
        <w:tabs>
          <w:tab w:leader="none" w:pos="88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Equitable Relief and Legal Action</w:t>
      </w:r>
      <w:r>
        <w:rPr>
          <w:rFonts w:ascii="Times New Roman" w:cs="Times New Roman" w:eastAsia="Times New Roman" w:hAnsi="Times New Roman"/>
          <w:sz w:val="21"/>
          <w:szCs w:val="21"/>
          <w:color w:val="auto"/>
        </w:rPr>
        <w:t>.</w:t>
      </w:r>
    </w:p>
    <w:p>
      <w:pPr>
        <w:spacing w:after="0" w:line="248" w:lineRule="exact"/>
        <w:rPr>
          <w:rFonts w:ascii="Times New Roman" w:cs="Times New Roman" w:eastAsia="Times New Roman" w:hAnsi="Times New Roman"/>
          <w:sz w:val="21"/>
          <w:szCs w:val="21"/>
          <w:color w:val="auto"/>
        </w:rPr>
      </w:pPr>
    </w:p>
    <w:p>
      <w:pPr>
        <w:ind w:left="1520" w:right="20" w:hanging="636"/>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13.1. Employee acknowledges and agrees that Employee’s breach of Section 11 or Section 12 of this Agreement will cause Company substantial and irreparable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860"/>
          </w:cols>
          <w:pgMar w:left="400" w:top="1238" w:right="639" w:bottom="1440" w:gutter="0" w:footer="0" w:header="0"/>
        </w:sectPr>
      </w:pPr>
    </w:p>
    <w:bookmarkStart w:id="20" w:name="page21"/>
    <w:bookmarkEnd w:id="20"/>
    <w:p>
      <w:pPr>
        <w:ind w:left="1520"/>
        <w:spacing w:after="0"/>
        <w:rPr>
          <w:sz w:val="20"/>
          <w:szCs w:val="20"/>
          <w:color w:val="auto"/>
        </w:rPr>
      </w:pPr>
      <w:r>
        <w:rPr>
          <w:rFonts w:ascii="Times New Roman" w:cs="Times New Roman" w:eastAsia="Times New Roman" w:hAnsi="Times New Roman"/>
          <w:sz w:val="21"/>
          <w:szCs w:val="21"/>
          <w:color w:val="auto"/>
        </w:rPr>
        <w:t>harm, and therefore, in the event of any such breach, in addition to such other remedies</w:t>
      </w:r>
    </w:p>
    <w:p>
      <w:pPr>
        <w:spacing w:after="0" w:line="35" w:lineRule="exact"/>
        <w:rPr>
          <w:sz w:val="20"/>
          <w:szCs w:val="20"/>
          <w:color w:val="auto"/>
        </w:rPr>
      </w:pPr>
    </w:p>
    <w:p>
      <w:pPr>
        <w:ind w:left="1520"/>
        <w:spacing w:after="0" w:line="273" w:lineRule="auto"/>
        <w:rPr>
          <w:sz w:val="20"/>
          <w:szCs w:val="20"/>
          <w:color w:val="auto"/>
        </w:rPr>
      </w:pPr>
      <w:r>
        <w:rPr>
          <w:rFonts w:ascii="Times New Roman" w:cs="Times New Roman" w:eastAsia="Times New Roman" w:hAnsi="Times New Roman"/>
          <w:sz w:val="21"/>
          <w:szCs w:val="21"/>
          <w:color w:val="auto"/>
        </w:rPr>
        <w:t>that may be available to Company, Company shall be entitled to equitable relief, including specific performance and injunctive relief.</w:t>
      </w:r>
    </w:p>
    <w:p>
      <w:pPr>
        <w:spacing w:after="0" w:line="194" w:lineRule="exact"/>
        <w:rPr>
          <w:sz w:val="20"/>
          <w:szCs w:val="20"/>
          <w:color w:val="auto"/>
        </w:rPr>
      </w:pPr>
    </w:p>
    <w:p>
      <w:pPr>
        <w:jc w:val="both"/>
        <w:ind w:left="1520" w:hanging="635"/>
        <w:spacing w:after="0" w:line="267" w:lineRule="auto"/>
        <w:tabs>
          <w:tab w:leader="none" w:pos="1500" w:val="left"/>
        </w:tabs>
        <w:rPr>
          <w:sz w:val="20"/>
          <w:szCs w:val="20"/>
          <w:color w:val="auto"/>
        </w:rPr>
      </w:pPr>
      <w:r>
        <w:rPr>
          <w:rFonts w:ascii="Times New Roman" w:cs="Times New Roman" w:eastAsia="Times New Roman" w:hAnsi="Times New Roman"/>
          <w:sz w:val="21"/>
          <w:szCs w:val="21"/>
          <w:color w:val="auto"/>
        </w:rPr>
        <w:t>13.2.</w:t>
        <w:tab/>
        <w:t>In the event that legal action is commenced to enforce this Agreement and Company is the prevailing party, Employee acknowledges and agrees that Company shall be entitled to an award of costs and reasonable attorneys’ fees, plus interest.</w:t>
      </w:r>
    </w:p>
    <w:p>
      <w:pPr>
        <w:spacing w:after="0" w:line="201" w:lineRule="exact"/>
        <w:rPr>
          <w:sz w:val="20"/>
          <w:szCs w:val="20"/>
          <w:color w:val="auto"/>
        </w:rPr>
      </w:pPr>
    </w:p>
    <w:p>
      <w:pPr>
        <w:ind w:left="880" w:hanging="634"/>
        <w:spacing w:after="0"/>
        <w:tabs>
          <w:tab w:leader="none" w:pos="8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Ownership of Intellectual Property</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ind w:left="1520" w:hanging="636"/>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14.1. For purposes of this Agreement, the term “Intellectual Property” shall mean all trade secrets, ideas, inventions, designs, developments, devices, methods and processes (whether or not patented or patentable, reduced to practice) and all patents and patent applications related thereto, all copyrights, copyrightable works and mask works and all registrations and applications for registration related thereto, all confidential information, and all other proprietary rights contributed to, or conceived or created by, Employee or anyone acting on Employee’s behalf (whether alone or jointly with others) at any time during the course of Employee’s employment that (i) relate to the business or to actual or anticipated research or development for Company; (ii) result from any services that Employee or anyone acting on Employee’s behalf performs for Company; or (iii) are created using the equipment, supplies, or facilities of Company.</w:t>
      </w:r>
    </w:p>
    <w:p>
      <w:pPr>
        <w:spacing w:after="0" w:line="212" w:lineRule="exact"/>
        <w:rPr>
          <w:rFonts w:ascii="Times New Roman" w:cs="Times New Roman" w:eastAsia="Times New Roman" w:hAnsi="Times New Roman"/>
          <w:sz w:val="21"/>
          <w:szCs w:val="21"/>
          <w:color w:val="auto"/>
        </w:rPr>
      </w:pPr>
    </w:p>
    <w:p>
      <w:pPr>
        <w:ind w:left="1520" w:hanging="636"/>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14.2. All Intellectual Property is, shall be and shall remain the exclusive property of Company. Employee hereby assigns to Company all right, title and interest, if any, in and to the Intellectual Property; provided, however, that, when applicable, Company shall own the copyrights in all copyrightable works included in the Intellectual Property pursuant to the “work-made-for-hire” doctrine (rather than by assignment), as such term is defined in the Copyright Act of 1976. All Intellectual Property shall be owned by Company irrespective of any copyright notices or confidentiality legends to the contrary that may be placed on such works by Employee or by others. Employee shall ensure that all copyright notices and confidentiality legends on all work product authored by Employee or anyone acting on Employee’s behalf shall conform to Company’s practices and shall specify Company as the owner of the work.</w:t>
      </w:r>
    </w:p>
    <w:p>
      <w:pPr>
        <w:spacing w:after="0" w:line="212" w:lineRule="exact"/>
        <w:rPr>
          <w:rFonts w:ascii="Times New Roman" w:cs="Times New Roman" w:eastAsia="Times New Roman" w:hAnsi="Times New Roman"/>
          <w:sz w:val="21"/>
          <w:szCs w:val="21"/>
          <w:color w:val="auto"/>
        </w:rPr>
      </w:pPr>
    </w:p>
    <w:p>
      <w:pPr>
        <w:ind w:left="880" w:hanging="634"/>
        <w:spacing w:after="0"/>
        <w:tabs>
          <w:tab w:leader="none" w:pos="8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Right and Conflict of Interest</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ind w:left="1520" w:right="20" w:hanging="635"/>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15.1. Employee covenants and warrants that Employee has the unlimited legal right to enter into this Agreement and to perform in accordance with its terms without violating the rights of others or any applicable law, and that Employee has not and shall not become a party to any other agreement of any kind and shall not perform a</w:t>
      </w:r>
      <w:r>
        <w:rPr>
          <w:rFonts w:ascii="Times New Roman" w:cs="Times New Roman" w:eastAsia="Times New Roman" w:hAnsi="Times New Roman"/>
          <w:sz w:val="19"/>
          <w:szCs w:val="19"/>
          <w:color w:val="auto"/>
        </w:rPr>
        <w:t>ny work or service on behalf of any individual, business, corporation, or organization that would create a conflict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interest in the performance of Employee’s obligations under this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860"/>
          </w:cols>
          <w:pgMar w:left="400" w:top="1238" w:right="639" w:bottom="1440" w:gutter="0" w:footer="0" w:header="0"/>
        </w:sectPr>
      </w:pPr>
    </w:p>
    <w:bookmarkStart w:id="21" w:name="page22"/>
    <w:bookmarkEnd w:id="21"/>
    <w:p>
      <w:pPr>
        <w:spacing w:after="0" w:line="51" w:lineRule="exact"/>
        <w:rPr>
          <w:sz w:val="20"/>
          <w:szCs w:val="20"/>
          <w:color w:val="auto"/>
        </w:rPr>
      </w:pPr>
    </w:p>
    <w:p>
      <w:pPr>
        <w:jc w:val="both"/>
        <w:ind w:left="1520" w:right="20" w:hanging="635"/>
        <w:spacing w:after="0" w:line="262" w:lineRule="auto"/>
        <w:tabs>
          <w:tab w:leader="none" w:pos="1500" w:val="left"/>
        </w:tabs>
        <w:rPr>
          <w:sz w:val="20"/>
          <w:szCs w:val="20"/>
          <w:color w:val="auto"/>
        </w:rPr>
      </w:pPr>
      <w:r>
        <w:rPr>
          <w:rFonts w:ascii="Times New Roman" w:cs="Times New Roman" w:eastAsia="Times New Roman" w:hAnsi="Times New Roman"/>
          <w:sz w:val="21"/>
          <w:szCs w:val="21"/>
          <w:color w:val="auto"/>
        </w:rPr>
        <w:t>15.2.</w:t>
        <w:tab/>
        <w:t>Employee agrees to conduct Employee’s personal affairs in a manner that does not conflict with Company’s interests. Employee agrees not to enter into any transaction, acquire any interest, or take any action that is contrary to Company’s</w:t>
      </w:r>
    </w:p>
    <w:p>
      <w:pPr>
        <w:spacing w:after="0" w:line="2" w:lineRule="exact"/>
        <w:rPr>
          <w:sz w:val="20"/>
          <w:szCs w:val="20"/>
          <w:color w:val="auto"/>
        </w:rPr>
      </w:pPr>
    </w:p>
    <w:p>
      <w:pPr>
        <w:ind w:left="1520"/>
        <w:spacing w:after="0" w:line="261" w:lineRule="auto"/>
        <w:rPr>
          <w:sz w:val="20"/>
          <w:szCs w:val="20"/>
          <w:color w:val="auto"/>
        </w:rPr>
      </w:pPr>
      <w:r>
        <w:rPr>
          <w:rFonts w:ascii="Times New Roman" w:cs="Times New Roman" w:eastAsia="Times New Roman" w:hAnsi="Times New Roman"/>
          <w:sz w:val="21"/>
          <w:szCs w:val="21"/>
          <w:color w:val="auto"/>
        </w:rPr>
        <w:t>interests or incompatible with Employee’s duty of loyalty to Company and Employee’s obligations under this Agreement.</w:t>
      </w:r>
    </w:p>
    <w:p>
      <w:pPr>
        <w:spacing w:after="0" w:line="206" w:lineRule="exact"/>
        <w:rPr>
          <w:sz w:val="20"/>
          <w:szCs w:val="20"/>
          <w:color w:val="auto"/>
        </w:rPr>
      </w:pPr>
    </w:p>
    <w:p>
      <w:pPr>
        <w:jc w:val="both"/>
        <w:ind w:left="1520" w:hanging="635"/>
        <w:spacing w:after="0" w:line="261" w:lineRule="auto"/>
        <w:tabs>
          <w:tab w:leader="none" w:pos="1500" w:val="left"/>
        </w:tabs>
        <w:rPr>
          <w:sz w:val="20"/>
          <w:szCs w:val="20"/>
          <w:color w:val="auto"/>
        </w:rPr>
      </w:pPr>
      <w:r>
        <w:rPr>
          <w:rFonts w:ascii="Times New Roman" w:cs="Times New Roman" w:eastAsia="Times New Roman" w:hAnsi="Times New Roman"/>
          <w:sz w:val="21"/>
          <w:szCs w:val="21"/>
          <w:color w:val="auto"/>
        </w:rPr>
        <w:t>15.3.</w:t>
        <w:tab/>
        <w:t>Employee acknowledges and agrees that Employee will not, directly or indirectly (whether as a director, officer, partner, employee, agent, or stockholder of another company), compete with Company, or furnish any service to Company or its customers, as an independent contractor, while employed by Company. Employee further agrees that Employee will not use Company’s name to further Employee’s personal interests.</w:t>
      </w:r>
    </w:p>
    <w:p>
      <w:pPr>
        <w:spacing w:after="0" w:line="208" w:lineRule="exact"/>
        <w:rPr>
          <w:sz w:val="20"/>
          <w:szCs w:val="20"/>
          <w:color w:val="auto"/>
        </w:rPr>
      </w:pPr>
    </w:p>
    <w:p>
      <w:pPr>
        <w:jc w:val="both"/>
        <w:ind w:left="880" w:hanging="634"/>
        <w:spacing w:after="0" w:line="267" w:lineRule="auto"/>
        <w:tabs>
          <w:tab w:leader="none" w:pos="8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Company shall have no liability under this Agreement if performance by Company of its obligations hereunder shall be prevented, interfered with, interrupted or omitted because of any act of God, act of terrorism, failure of facilities, labor dispute, or government or court action, or any other cause beyond the control of Company.</w:t>
      </w:r>
    </w:p>
    <w:p>
      <w:pPr>
        <w:spacing w:after="0" w:line="201" w:lineRule="exact"/>
        <w:rPr>
          <w:rFonts w:ascii="Times New Roman" w:cs="Times New Roman" w:eastAsia="Times New Roman" w:hAnsi="Times New Roman"/>
          <w:sz w:val="21"/>
          <w:szCs w:val="21"/>
          <w:color w:val="auto"/>
        </w:rPr>
      </w:pPr>
    </w:p>
    <w:p>
      <w:pPr>
        <w:jc w:val="both"/>
        <w:ind w:left="880" w:hanging="634"/>
        <w:spacing w:after="0" w:line="262" w:lineRule="auto"/>
        <w:tabs>
          <w:tab w:leader="none" w:pos="8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required or permitted to be given by this Agreement shall be in writing and shall be deemed received if and when either hand delivered and a signed receipt is given thereof, delivered by electronic delivery (email, Docusign or facsimile), overnight courier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FedEx),or delivered by registered or certified United States mail, return receipt requested, postage prepaid and addressed as follows, or at such other address as any party hereto shall notify the other of in writing:</w:t>
      </w:r>
    </w:p>
    <w:p>
      <w:pPr>
        <w:spacing w:after="0" w:line="206"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21"/>
          <w:szCs w:val="21"/>
          <w:color w:val="auto"/>
        </w:rPr>
        <w:t>If to Company:</w:t>
        <w:tab/>
        <w:t>Urban One, Inc.</w:t>
      </w:r>
    </w:p>
    <w:p>
      <w:pPr>
        <w:ind w:left="4060"/>
        <w:spacing w:after="0" w:line="210" w:lineRule="auto"/>
        <w:rPr>
          <w:sz w:val="20"/>
          <w:szCs w:val="20"/>
          <w:color w:val="auto"/>
        </w:rPr>
      </w:pPr>
      <w:r>
        <w:rPr>
          <w:rFonts w:ascii="Times New Roman" w:cs="Times New Roman" w:eastAsia="Times New Roman" w:hAnsi="Times New Roman"/>
          <w:sz w:val="21"/>
          <w:szCs w:val="21"/>
          <w:color w:val="auto"/>
        </w:rPr>
        <w:t>1010 Wayne Avenue,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Silver Spring, Maryland 20910</w:t>
      </w:r>
    </w:p>
    <w:p>
      <w:pPr>
        <w:spacing w:after="0" w:line="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Attention: Chief Administrative Officer</w:t>
      </w:r>
    </w:p>
    <w:p>
      <w:pPr>
        <w:spacing w:after="0" w:line="225" w:lineRule="exact"/>
        <w:rPr>
          <w:sz w:val="20"/>
          <w:szCs w:val="20"/>
          <w:color w:val="auto"/>
        </w:rPr>
      </w:pPr>
    </w:p>
    <w:p>
      <w:pPr>
        <w:ind w:left="880"/>
        <w:spacing w:after="0"/>
        <w:tabs>
          <w:tab w:leader="none" w:pos="3500" w:val="left"/>
        </w:tabs>
        <w:rPr>
          <w:sz w:val="20"/>
          <w:szCs w:val="20"/>
          <w:color w:val="auto"/>
        </w:rPr>
      </w:pPr>
      <w:r>
        <w:rPr>
          <w:rFonts w:ascii="Times New Roman" w:cs="Times New Roman" w:eastAsia="Times New Roman" w:hAnsi="Times New Roman"/>
          <w:sz w:val="21"/>
          <w:szCs w:val="21"/>
          <w:color w:val="auto"/>
        </w:rPr>
        <w:t>Copy to Company Attorney:</w:t>
        <w:tab/>
        <w:t>Urban One, Inc.</w:t>
      </w:r>
    </w:p>
    <w:p>
      <w:pPr>
        <w:ind w:left="4060"/>
        <w:spacing w:after="0" w:line="221" w:lineRule="auto"/>
        <w:rPr>
          <w:sz w:val="20"/>
          <w:szCs w:val="20"/>
          <w:color w:val="auto"/>
        </w:rPr>
      </w:pPr>
      <w:r>
        <w:rPr>
          <w:rFonts w:ascii="Times New Roman" w:cs="Times New Roman" w:eastAsia="Times New Roman" w:hAnsi="Times New Roman"/>
          <w:sz w:val="21"/>
          <w:szCs w:val="21"/>
          <w:color w:val="auto"/>
        </w:rPr>
        <w:t>1010 Wayne Avenue,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Silver Spring, Maryland</w:t>
      </w:r>
    </w:p>
    <w:p>
      <w:pPr>
        <w:ind w:left="4060"/>
        <w:spacing w:after="0"/>
        <w:rPr>
          <w:sz w:val="20"/>
          <w:szCs w:val="20"/>
          <w:color w:val="auto"/>
        </w:rPr>
      </w:pPr>
      <w:r>
        <w:rPr>
          <w:rFonts w:ascii="Times New Roman" w:cs="Times New Roman" w:eastAsia="Times New Roman" w:hAnsi="Times New Roman"/>
          <w:sz w:val="21"/>
          <w:szCs w:val="21"/>
          <w:color w:val="auto"/>
        </w:rPr>
        <w:t>20910 Attention: Chief Legal Officer</w:t>
      </w:r>
    </w:p>
    <w:p>
      <w:pPr>
        <w:spacing w:after="0" w:line="225" w:lineRule="exact"/>
        <w:rPr>
          <w:sz w:val="20"/>
          <w:szCs w:val="20"/>
          <w:color w:val="auto"/>
        </w:rPr>
      </w:pPr>
    </w:p>
    <w:p>
      <w:pPr>
        <w:ind w:left="880"/>
        <w:spacing w:after="0"/>
        <w:tabs>
          <w:tab w:leader="none" w:pos="2400" w:val="left"/>
        </w:tabs>
        <w:rPr>
          <w:sz w:val="20"/>
          <w:szCs w:val="20"/>
          <w:color w:val="auto"/>
        </w:rPr>
      </w:pPr>
      <w:r>
        <w:rPr>
          <w:rFonts w:ascii="Times New Roman" w:cs="Times New Roman" w:eastAsia="Times New Roman" w:hAnsi="Times New Roman"/>
          <w:sz w:val="21"/>
          <w:szCs w:val="21"/>
          <w:color w:val="auto"/>
        </w:rPr>
        <w:t>If to Employee:</w:t>
        <w:tab/>
        <w:t>Peter D. Thompson</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(At last known address on file with Company)</w:t>
      </w:r>
    </w:p>
    <w:p>
      <w:pPr>
        <w:spacing w:after="0" w:line="238" w:lineRule="exact"/>
        <w:rPr>
          <w:sz w:val="20"/>
          <w:szCs w:val="20"/>
          <w:color w:val="auto"/>
        </w:rPr>
      </w:pPr>
    </w:p>
    <w:p>
      <w:pPr>
        <w:jc w:val="both"/>
        <w:ind w:left="880" w:hanging="634"/>
        <w:spacing w:after="0" w:line="260" w:lineRule="auto"/>
        <w:tabs>
          <w:tab w:leader="none" w:pos="8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 Compliance</w:t>
      </w:r>
      <w:r>
        <w:rPr>
          <w:rFonts w:ascii="Times New Roman" w:cs="Times New Roman" w:eastAsia="Times New Roman" w:hAnsi="Times New Roman"/>
          <w:sz w:val="21"/>
          <w:szCs w:val="21"/>
          <w:color w:val="auto"/>
        </w:rPr>
        <w:t xml:space="preserve">. To the extent applicable, it is intended that the compensation and benefits arrangements under this Agreement be in full compliance with Code Section 409A. This Agreement shall be construed in a manner to give effect to such intention. In no event whatsoever (including, but not limited to as a result of this Section or otherwise) shall Company or any of its subsidiaries or affiliates be liable for any tax, </w:t>
      </w:r>
      <w:r>
        <w:rPr>
          <w:rFonts w:ascii="Times New Roman" w:cs="Times New Roman" w:eastAsia="Times New Roman" w:hAnsi="Times New Roman"/>
          <w:sz w:val="19"/>
          <w:szCs w:val="19"/>
          <w:color w:val="auto"/>
        </w:rPr>
        <w:t>interest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penalties that may be imposed on Employee by Code Section 409A. Neither Company nor any of its subsidiaries or affiliates shall have any obligation to indemnify or otherwise hold Employee harmless from any or all such taxes, interest or penalties or liability for any damages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0860"/>
          </w:cols>
          <w:pgMar w:left="400" w:top="1440" w:right="639" w:bottom="1440" w:gutter="0" w:footer="0" w:header="0"/>
        </w:sectPr>
      </w:pPr>
    </w:p>
    <w:bookmarkStart w:id="22" w:name="page23"/>
    <w:bookmarkEnd w:id="22"/>
    <w:p>
      <w:pPr>
        <w:ind w:left="880"/>
        <w:spacing w:after="0" w:line="300" w:lineRule="auto"/>
        <w:rPr>
          <w:sz w:val="20"/>
          <w:szCs w:val="20"/>
          <w:color w:val="auto"/>
        </w:rPr>
      </w:pPr>
      <w:r>
        <w:rPr>
          <w:rFonts w:ascii="Times New Roman" w:cs="Times New Roman" w:eastAsia="Times New Roman" w:hAnsi="Times New Roman"/>
          <w:sz w:val="19"/>
          <w:szCs w:val="19"/>
          <w:color w:val="auto"/>
        </w:rPr>
        <w:t>related thereto. Employee acknowledges that Employee has been advised to obtain independent legal, tax or other counsel in connection with Code Section409A.</w:t>
      </w:r>
    </w:p>
    <w:p>
      <w:pPr>
        <w:spacing w:after="0" w:line="204" w:lineRule="exact"/>
        <w:rPr>
          <w:sz w:val="20"/>
          <w:szCs w:val="20"/>
          <w:color w:val="auto"/>
        </w:rPr>
      </w:pPr>
    </w:p>
    <w:p>
      <w:pPr>
        <w:ind w:left="880" w:hanging="634"/>
        <w:spacing w:after="0"/>
        <w:tabs>
          <w:tab w:leader="none" w:pos="8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 Provisions</w:t>
      </w:r>
      <w:r>
        <w:rPr>
          <w:rFonts w:ascii="Times New Roman" w:cs="Times New Roman" w:eastAsia="Times New Roman" w:hAnsi="Times New Roman"/>
          <w:sz w:val="21"/>
          <w:szCs w:val="21"/>
          <w:color w:val="auto"/>
        </w:rPr>
        <w:t>.</w:t>
      </w:r>
    </w:p>
    <w:p>
      <w:pPr>
        <w:spacing w:after="0" w:line="262" w:lineRule="exact"/>
        <w:rPr>
          <w:rFonts w:ascii="Times New Roman" w:cs="Times New Roman" w:eastAsia="Times New Roman" w:hAnsi="Times New Roman"/>
          <w:sz w:val="21"/>
          <w:szCs w:val="21"/>
          <w:color w:val="auto"/>
        </w:rPr>
      </w:pPr>
    </w:p>
    <w:p>
      <w:pPr>
        <w:ind w:left="1520" w:hanging="638"/>
        <w:spacing w:after="0"/>
        <w:tabs>
          <w:tab w:leader="none" w:pos="152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or Delegation</w:t>
      </w:r>
      <w:r>
        <w:rPr>
          <w:rFonts w:ascii="Times New Roman" w:cs="Times New Roman" w:eastAsia="Times New Roman" w:hAnsi="Times New Roman"/>
          <w:sz w:val="21"/>
          <w:szCs w:val="21"/>
          <w:color w:val="auto"/>
        </w:rPr>
        <w:t>. Employee acknowledges that the services to be</w:t>
      </w:r>
    </w:p>
    <w:p>
      <w:pPr>
        <w:spacing w:after="0" w:line="34" w:lineRule="exact"/>
        <w:rPr>
          <w:rFonts w:ascii="Times New Roman" w:cs="Times New Roman" w:eastAsia="Times New Roman" w:hAnsi="Times New Roman"/>
          <w:sz w:val="21"/>
          <w:szCs w:val="21"/>
          <w:color w:val="auto"/>
        </w:rPr>
      </w:pPr>
    </w:p>
    <w:p>
      <w:pPr>
        <w:ind w:left="1520" w:right="20"/>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rendered by Employee pursuant to this Agreement are unique and personal, and agrees that Employee shall not assign any of Employee’s rights nor delegate any of Employee’s duties under this Agreement.</w:t>
      </w:r>
    </w:p>
    <w:p>
      <w:pPr>
        <w:spacing w:after="0" w:line="192" w:lineRule="exact"/>
        <w:rPr>
          <w:rFonts w:ascii="Times New Roman" w:cs="Times New Roman" w:eastAsia="Times New Roman" w:hAnsi="Times New Roman"/>
          <w:sz w:val="21"/>
          <w:szCs w:val="21"/>
          <w:color w:val="auto"/>
        </w:rPr>
      </w:pPr>
    </w:p>
    <w:p>
      <w:pPr>
        <w:ind w:left="1520" w:right="20" w:hanging="638"/>
        <w:spacing w:after="0" w:line="272" w:lineRule="auto"/>
        <w:tabs>
          <w:tab w:leader="none" w:pos="151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Inurement</w:t>
      </w:r>
      <w:r>
        <w:rPr>
          <w:rFonts w:ascii="Times New Roman" w:cs="Times New Roman" w:eastAsia="Times New Roman" w:hAnsi="Times New Roman"/>
          <w:sz w:val="21"/>
          <w:szCs w:val="21"/>
          <w:color w:val="auto"/>
        </w:rPr>
        <w:t>. This Agreement shall inure to the benefit of, and be enforceable by, any successors or assigns of Company.</w:t>
      </w:r>
    </w:p>
    <w:p>
      <w:pPr>
        <w:spacing w:after="0" w:line="207" w:lineRule="exact"/>
        <w:rPr>
          <w:rFonts w:ascii="Times New Roman" w:cs="Times New Roman" w:eastAsia="Times New Roman" w:hAnsi="Times New Roman"/>
          <w:sz w:val="21"/>
          <w:szCs w:val="21"/>
          <w:color w:val="auto"/>
        </w:rPr>
      </w:pPr>
    </w:p>
    <w:p>
      <w:pPr>
        <w:ind w:left="1520" w:right="20" w:hanging="638"/>
        <w:spacing w:after="0" w:line="285" w:lineRule="auto"/>
        <w:tabs>
          <w:tab w:leader="none" w:pos="1517"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Failure to invoke any right, condition, or covenant in this Agreement by either party shall not be deemed to imply or constitute a waiver of any right, condition, or covenant of this Agreement.</w:t>
      </w:r>
    </w:p>
    <w:p>
      <w:pPr>
        <w:spacing w:after="0" w:line="168" w:lineRule="exact"/>
        <w:rPr>
          <w:rFonts w:ascii="Times New Roman" w:cs="Times New Roman" w:eastAsia="Times New Roman" w:hAnsi="Times New Roman"/>
          <w:sz w:val="21"/>
          <w:szCs w:val="21"/>
          <w:color w:val="auto"/>
        </w:rPr>
      </w:pPr>
    </w:p>
    <w:p>
      <w:pPr>
        <w:jc w:val="both"/>
        <w:ind w:left="1520" w:hanging="638"/>
        <w:spacing w:after="0" w:line="260" w:lineRule="auto"/>
        <w:tabs>
          <w:tab w:leader="none" w:pos="151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 and Enforceability</w:t>
      </w:r>
      <w:r>
        <w:rPr>
          <w:rFonts w:ascii="Times New Roman" w:cs="Times New Roman" w:eastAsia="Times New Roman" w:hAnsi="Times New Roman"/>
          <w:sz w:val="21"/>
          <w:szCs w:val="21"/>
          <w:color w:val="auto"/>
        </w:rPr>
        <w:t>. In the event that any provision of this Agreement shall be held invalid by a court of competent jurisdiction, such provision shall be deleted from the Agreement, which shall then be construed to give effect to the remaining provisions thereof. The invalidity or unenforceability of any provision of this Agreement shall not affect the validity or enforceability of any other provision. Similarly, if the scope of any restriction or covenant contained herein should be or become too broad or extensive to permit enforcement thereof to its full extent, then the parties hereto agree that a court of competent jurisdiction should enforce any such restriction or covenant to the maximum extent permitted by law.</w:t>
      </w:r>
    </w:p>
    <w:p>
      <w:pPr>
        <w:spacing w:after="0" w:line="196" w:lineRule="exact"/>
        <w:rPr>
          <w:rFonts w:ascii="Times New Roman" w:cs="Times New Roman" w:eastAsia="Times New Roman" w:hAnsi="Times New Roman"/>
          <w:sz w:val="21"/>
          <w:szCs w:val="21"/>
          <w:color w:val="auto"/>
        </w:rPr>
      </w:pPr>
    </w:p>
    <w:p>
      <w:pPr>
        <w:ind w:left="1520" w:right="20" w:hanging="638"/>
        <w:spacing w:after="0" w:line="298" w:lineRule="auto"/>
        <w:tabs>
          <w:tab w:leader="none" w:pos="1517"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the relationship among the parties shall be construed under and governed by the laws of the State of Delaware without regard to the conflict of laws rules thereof.</w:t>
      </w:r>
    </w:p>
    <w:p>
      <w:pPr>
        <w:spacing w:after="0" w:line="155" w:lineRule="exact"/>
        <w:rPr>
          <w:rFonts w:ascii="Times New Roman" w:cs="Times New Roman" w:eastAsia="Times New Roman" w:hAnsi="Times New Roman"/>
          <w:sz w:val="21"/>
          <w:szCs w:val="21"/>
          <w:color w:val="auto"/>
        </w:rPr>
      </w:pPr>
    </w:p>
    <w:p>
      <w:pPr>
        <w:ind w:left="1520" w:right="20" w:hanging="638"/>
        <w:spacing w:after="0" w:line="272" w:lineRule="auto"/>
        <w:tabs>
          <w:tab w:leader="none" w:pos="152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in this Agreement are solely for convenience of reference and shall be given no effect in the construction or interpretation of this Agreement.</w:t>
      </w:r>
    </w:p>
    <w:p>
      <w:pPr>
        <w:spacing w:after="0" w:line="194" w:lineRule="exact"/>
        <w:rPr>
          <w:rFonts w:ascii="Times New Roman" w:cs="Times New Roman" w:eastAsia="Times New Roman" w:hAnsi="Times New Roman"/>
          <w:sz w:val="21"/>
          <w:szCs w:val="21"/>
          <w:color w:val="auto"/>
        </w:rPr>
      </w:pPr>
    </w:p>
    <w:p>
      <w:pPr>
        <w:jc w:val="both"/>
        <w:ind w:left="1520" w:right="20" w:hanging="638"/>
        <w:spacing w:after="0" w:line="258" w:lineRule="auto"/>
        <w:tabs>
          <w:tab w:leader="none" w:pos="1516" w:val="left"/>
        </w:tabs>
        <w:numPr>
          <w:ilvl w:val="1"/>
          <w:numId w:val="26"/>
        </w:numPr>
        <w:rPr>
          <w:rFonts w:ascii="Times New Roman" w:cs="Times New Roman" w:eastAsia="Times New Roman" w:hAnsi="Times New Roman"/>
          <w:sz w:val="21"/>
          <w:szCs w:val="21"/>
          <w:color w:val="242424"/>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Agreement may be executed in one or more counterparts, each of which shall be deemed an original, but all of which together shall constitute one instrument. </w:t>
      </w:r>
      <w:r>
        <w:rPr>
          <w:rFonts w:ascii="Times New Roman" w:cs="Times New Roman" w:eastAsia="Times New Roman" w:hAnsi="Times New Roman"/>
          <w:sz w:val="21"/>
          <w:szCs w:val="21"/>
          <w:color w:val="242424"/>
        </w:rPr>
        <w:t>Each party agrees that any electronic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signature, whether digital or encrypted, of the parties included in this Agreement are intended to authenticate this writing and to have the same force and effect as manual signature. Electronic signature means any electronic sound, symbol, or process attached to or logically associated with a record and executed and adopted by a party with the intent to sign such record[, including Docusign (or similar system) facsimile or email electronic signature.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0860"/>
          </w:cols>
          <w:pgMar w:left="400" w:top="1230" w:right="639" w:bottom="1440" w:gutter="0" w:footer="0" w:header="0"/>
        </w:sectPr>
      </w:pPr>
    </w:p>
    <w:bookmarkStart w:id="23" w:name="page24"/>
    <w:bookmarkEnd w:id="23"/>
    <w:p>
      <w:pPr>
        <w:jc w:val="both"/>
        <w:ind w:left="1580" w:right="60" w:hanging="638"/>
        <w:spacing w:after="0" w:line="262" w:lineRule="auto"/>
        <w:tabs>
          <w:tab w:leader="none" w:pos="157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and understanding between the parties with respect to the subject matter hereof and supersedes all previous written or oral agreements, offers, representations, warranties, statements, correspondence, and understandings between the parties with respect to the subject matter hereof. This Agreement cannot be amended or modified except by a written agreement signed by all parties hereto.</w:t>
      </w:r>
    </w:p>
    <w:p>
      <w:pPr>
        <w:spacing w:after="0" w:line="200" w:lineRule="exact"/>
        <w:rPr>
          <w:sz w:val="20"/>
          <w:szCs w:val="20"/>
          <w:color w:val="auto"/>
        </w:rPr>
      </w:pPr>
    </w:p>
    <w:p>
      <w:pPr>
        <w:spacing w:after="0" w:line="3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day and year first above written.</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1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URBAN ONE, INC.</w:t>
            </w:r>
          </w:p>
        </w:tc>
        <w:tc>
          <w:tcPr>
            <w:tcW w:w="3740" w:type="dxa"/>
            <w:vAlign w:val="bottom"/>
          </w:tcPr>
          <w:p>
            <w:pPr>
              <w:ind w:left="1480"/>
              <w:spacing w:after="0"/>
              <w:rPr>
                <w:sz w:val="20"/>
                <w:szCs w:val="20"/>
                <w:color w:val="auto"/>
              </w:rPr>
            </w:pPr>
            <w:r>
              <w:rPr>
                <w:rFonts w:ascii="Times New Roman" w:cs="Times New Roman" w:eastAsia="Times New Roman" w:hAnsi="Times New Roman"/>
                <w:sz w:val="21"/>
                <w:szCs w:val="21"/>
                <w:b w:val="1"/>
                <w:bCs w:val="1"/>
                <w:color w:val="auto"/>
              </w:rPr>
              <w:t>PETER D. THOMPSON</w:t>
            </w:r>
          </w:p>
        </w:tc>
      </w:tr>
      <w:tr>
        <w:trPr>
          <w:trHeight w:val="518"/>
        </w:trPr>
        <w:tc>
          <w:tcPr>
            <w:tcW w:w="41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By:</w:t>
            </w:r>
          </w:p>
        </w:tc>
        <w:tc>
          <w:tcPr>
            <w:tcW w:w="3740" w:type="dxa"/>
            <w:vAlign w:val="bottom"/>
          </w:tcPr>
          <w:p>
            <w:pPr>
              <w:ind w:left="1480"/>
              <w:spacing w:after="0"/>
              <w:rPr>
                <w:sz w:val="20"/>
                <w:szCs w:val="20"/>
                <w:color w:val="auto"/>
              </w:rPr>
            </w:pPr>
            <w:r>
              <w:rPr>
                <w:rFonts w:ascii="Times New Roman" w:cs="Times New Roman" w:eastAsia="Times New Roman" w:hAnsi="Times New Roman"/>
                <w:sz w:val="21"/>
                <w:szCs w:val="21"/>
                <w:color w:val="auto"/>
              </w:rPr>
              <w:t>Signature:</w:t>
            </w:r>
          </w:p>
        </w:tc>
      </w:tr>
      <w:tr>
        <w:trPr>
          <w:trHeight w:val="277"/>
        </w:trPr>
        <w:tc>
          <w:tcPr>
            <w:tcW w:w="50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Karen Wishart</w:t>
            </w:r>
          </w:p>
        </w:tc>
        <w:tc>
          <w:tcPr>
            <w:tcW w:w="3740" w:type="dxa"/>
            <w:vAlign w:val="bottom"/>
          </w:tcPr>
          <w:p>
            <w:pPr>
              <w:spacing w:after="0"/>
              <w:rPr>
                <w:sz w:val="24"/>
                <w:szCs w:val="24"/>
                <w:color w:val="auto"/>
              </w:rPr>
            </w:pPr>
          </w:p>
        </w:tc>
      </w:tr>
      <w:tr>
        <w:trPr>
          <w:trHeight w:val="479"/>
        </w:trPr>
        <w:tc>
          <w:tcPr>
            <w:tcW w:w="41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Title: Executive Vice President</w:t>
            </w:r>
          </w:p>
        </w:tc>
        <w:tc>
          <w:tcPr>
            <w:tcW w:w="3740" w:type="dxa"/>
            <w:vAlign w:val="bottom"/>
          </w:tcPr>
          <w:p>
            <w:pPr>
              <w:ind w:left="1480"/>
              <w:spacing w:after="0"/>
              <w:rPr>
                <w:sz w:val="20"/>
                <w:szCs w:val="20"/>
                <w:color w:val="auto"/>
              </w:rPr>
            </w:pPr>
            <w:r>
              <w:rPr>
                <w:rFonts w:ascii="Times New Roman" w:cs="Times New Roman" w:eastAsia="Times New Roman" w:hAnsi="Times New Roman"/>
                <w:sz w:val="21"/>
                <w:szCs w:val="21"/>
                <w:color w:val="auto"/>
              </w:rPr>
              <w:t>Address: [*]</w:t>
            </w:r>
          </w:p>
        </w:tc>
      </w:tr>
      <w:tr>
        <w:trPr>
          <w:trHeight w:val="826"/>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214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3740" w:type="dxa"/>
            <w:vAlign w:val="bottom"/>
          </w:tcPr>
          <w:p>
            <w:pPr>
              <w:ind w:left="1480"/>
              <w:spacing w:after="0"/>
              <w:rPr>
                <w:sz w:val="20"/>
                <w:szCs w:val="20"/>
                <w:color w:val="auto"/>
              </w:rPr>
            </w:pPr>
            <w:r>
              <w:rPr>
                <w:rFonts w:ascii="Times New Roman" w:cs="Times New Roman" w:eastAsia="Times New Roman" w:hAnsi="Times New Roman"/>
                <w:sz w:val="21"/>
                <w:szCs w:val="21"/>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19</w:t>
      </w:r>
    </w:p>
    <w:sectPr>
      <w:pgSz w:w="11900" w:h="16838" w:orient="portrait"/>
      <w:cols w:equalWidth="0" w:num="1">
        <w:col w:w="10980"/>
      </w:cols>
      <w:pgMar w:left="340" w:top="123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decimal"/>
      <w:start w:val="1"/>
    </w:lvl>
    <w:lvl w:ilvl="1">
      <w:lvlJc w:val="left"/>
      <w:lvlText w:val="(%2)"/>
      <w:numFmt w:val="lowerLetter"/>
      <w:start w:val="1"/>
    </w:lvl>
  </w:abstractNum>
  <w:abstractNum w:abstractNumId="2">
    <w:nsid w:val="1BEFD79F"/>
    <w:multiLevelType w:val="hybridMultilevel"/>
    <w:lvl w:ilvl="0">
      <w:lvlJc w:val="left"/>
      <w:lvlText w:val="%1."/>
      <w:numFmt w:val="decimal"/>
      <w:start w:val="3"/>
    </w:lvl>
    <w:lvl w:ilvl="1">
      <w:lvlJc w:val="left"/>
      <w:lvlText w:val="(%2)"/>
      <w:numFmt w:val="lowerLetter"/>
      <w:start w:val="1"/>
    </w:lvl>
  </w:abstractNum>
  <w:abstractNum w:abstractNumId="3">
    <w:nsid w:val="41A7C4C9"/>
    <w:multiLevelType w:val="hybridMultilevel"/>
    <w:lvl w:ilvl="0">
      <w:lvlJc w:val="left"/>
      <w:lvlText w:val="%1."/>
      <w:numFmt w:val="decimal"/>
      <w:start w:val="4"/>
    </w:lvl>
    <w:lvl w:ilvl="1">
      <w:lvlJc w:val="left"/>
      <w:lvlText w:val="(%2)"/>
      <w:numFmt w:val="lowerLetter"/>
      <w:start w:val="1"/>
    </w:lvl>
  </w:abstractNum>
  <w:abstractNum w:abstractNumId="4">
    <w:nsid w:val="6B68079A"/>
    <w:multiLevelType w:val="hybridMultilevel"/>
    <w:lvl w:ilvl="0">
      <w:lvlJc w:val="left"/>
      <w:lvlText w:val="(%1)"/>
      <w:numFmt w:val="lowerLetter"/>
      <w:start w:val="4"/>
    </w:lvl>
  </w:abstractNum>
  <w:abstractNum w:abstractNumId="5">
    <w:nsid w:val="4E6AFB6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
    <w:nsid w:val="25E45D32"/>
    <w:multiLevelType w:val="hybridMultilevel"/>
    <w:lvl w:ilvl="0">
      <w:lvlJc w:val="left"/>
      <w:lvlText w:val="(%1)"/>
      <w:numFmt w:val="lowerLetter"/>
      <w:start w:val="6"/>
    </w:lvl>
    <w:lvl w:ilvl="1">
      <w:lvlJc w:val="left"/>
      <w:lvlText w:val="(%2)"/>
      <w:numFmt w:val="lowerLetter"/>
      <w:start w:val="9"/>
    </w:lvl>
    <w:lvl w:ilvl="2">
      <w:lvlJc w:val="left"/>
      <w:lvlText w:val="%3"/>
      <w:numFmt w:val="lowerRoman"/>
      <w:start w:val="1"/>
    </w:lvl>
  </w:abstractNum>
  <w:abstractNum w:abstractNumId="7">
    <w:nsid w:val="519B500D"/>
    <w:multiLevelType w:val="hybridMultilevel"/>
    <w:lvl w:ilvl="0">
      <w:lvlJc w:val="left"/>
      <w:lvlText w:val="(%1)"/>
      <w:numFmt w:val="lowerRoman"/>
      <w:start w:val="2"/>
    </w:lvl>
  </w:abstractNum>
  <w:abstractNum w:abstractNumId="8">
    <w:nsid w:val="431BD7B7"/>
    <w:multiLevelType w:val="hybridMultilevel"/>
    <w:lvl w:ilvl="0">
      <w:lvlJc w:val="left"/>
      <w:lvlText w:val="%1"/>
      <w:numFmt w:val="lowerLetter"/>
      <w:start w:val="1"/>
    </w:lvl>
    <w:lvl w:ilvl="1">
      <w:lvlJc w:val="left"/>
      <w:lvlText w:val="(%2)"/>
      <w:numFmt w:val="lowerRoman"/>
      <w:start w:val="4"/>
    </w:lvl>
  </w:abstractNum>
  <w:abstractNum w:abstractNumId="9">
    <w:nsid w:val="3F2DBA31"/>
    <w:multiLevelType w:val="hybridMultilevel"/>
    <w:lvl w:ilvl="0">
      <w:lvlJc w:val="left"/>
      <w:lvlText w:val="(%1)"/>
      <w:numFmt w:val="lowerLetter"/>
      <w:start w:val="7"/>
    </w:lvl>
    <w:lvl w:ilvl="1">
      <w:lvlJc w:val="left"/>
      <w:lvlText w:val="%2"/>
      <w:numFmt w:val="lowerRoman"/>
      <w:start w:val="1"/>
    </w:lvl>
  </w:abstractNum>
  <w:abstractNum w:abstractNumId="10">
    <w:nsid w:val="7C83E458"/>
    <w:multiLevelType w:val="hybridMultilevel"/>
    <w:lvl w:ilvl="0">
      <w:lvlJc w:val="left"/>
      <w:lvlText w:val="%1."/>
      <w:numFmt w:val="decimal"/>
      <w:start w:val="5"/>
    </w:lvl>
  </w:abstractNum>
  <w:abstractNum w:abstractNumId="11">
    <w:nsid w:val="257130A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
    <w:nsid w:val="62BBD95A"/>
    <w:multiLevelType w:val="hybridMultilevel"/>
    <w:lvl w:ilvl="0">
      <w:lvlJc w:val="left"/>
      <w:lvlText w:val="%1"/>
      <w:numFmt w:val="lowerLetter"/>
      <w:start w:val="1"/>
    </w:lvl>
    <w:lvl w:ilvl="1">
      <w:lvlJc w:val="left"/>
      <w:lvlText w:val="(%2)"/>
      <w:numFmt w:val="lowerRoman"/>
      <w:start w:val="5"/>
    </w:lvl>
  </w:abstractNum>
  <w:abstractNum w:abstractNumId="13">
    <w:nsid w:val="436C6125"/>
    <w:multiLevelType w:val="hybridMultilevel"/>
    <w:lvl w:ilvl="0">
      <w:lvlJc w:val="left"/>
      <w:lvlText w:val="(%1)"/>
      <w:numFmt w:val="lowerLetter"/>
      <w:start w:val="2"/>
    </w:lvl>
    <w:lvl w:ilvl="1">
      <w:lvlJc w:val="left"/>
      <w:lvlText w:val="%2"/>
      <w:numFmt w:val="lowerRoman"/>
      <w:start w:val="1"/>
    </w:lvl>
  </w:abstractNum>
  <w:abstractNum w:abstractNumId="14">
    <w:nsid w:val="628C895D"/>
    <w:multiLevelType w:val="hybridMultilevel"/>
    <w:lvl w:ilvl="0">
      <w:lvlJc w:val="left"/>
      <w:lvlText w:val="(%1)"/>
      <w:numFmt w:val="lowerLetter"/>
      <w:start w:val="3"/>
    </w:lvl>
    <w:lvl w:ilvl="1">
      <w:lvlJc w:val="left"/>
      <w:lvlText w:val="(%2)"/>
      <w:numFmt w:val="lowerRoman"/>
      <w:start w:val="1"/>
    </w:lvl>
  </w:abstractNum>
  <w:abstractNum w:abstractNumId="15">
    <w:nsid w:val="333AB105"/>
    <w:multiLevelType w:val="hybridMultilevel"/>
    <w:lvl w:ilvl="0">
      <w:lvlJc w:val="left"/>
      <w:lvlText w:val="%1"/>
      <w:numFmt w:val="decimal"/>
      <w:start w:val="1"/>
    </w:lvl>
    <w:lvl w:ilvl="1">
      <w:lvlJc w:val="left"/>
      <w:lvlText w:val="(%2)"/>
      <w:numFmt w:val="lowerLetter"/>
      <w:start w:val="5"/>
    </w:lvl>
  </w:abstractNum>
  <w:abstractNum w:abstractNumId="16">
    <w:nsid w:val="721DA317"/>
    <w:multiLevelType w:val="hybridMultilevel"/>
    <w:lvl w:ilvl="0">
      <w:lvlJc w:val="left"/>
      <w:lvlText w:val="%1."/>
      <w:numFmt w:val="decimal"/>
      <w:start w:val="11"/>
    </w:lvl>
    <w:lvl w:ilvl="1">
      <w:lvlJc w:val="left"/>
      <w:lvlText w:val="%2"/>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Roman"/>
      <w:start w:val="4"/>
    </w:lvl>
  </w:abstractNum>
  <w:abstractNum w:abstractNumId="19">
    <w:nsid w:val="6763845E"/>
    <w:multiLevelType w:val="hybridMultilevel"/>
    <w:lvl w:ilvl="0">
      <w:lvlJc w:val="left"/>
      <w:lvlText w:val="%1."/>
      <w:numFmt w:val="decimal"/>
      <w:start w:val="12"/>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3"/>
    </w:lvl>
  </w:abstractNum>
  <w:abstractNum w:abstractNumId="22">
    <w:nsid w:val="79838CB2"/>
    <w:multiLevelType w:val="hybridMultilevel"/>
    <w:lvl w:ilvl="0">
      <w:lvlJc w:val="left"/>
      <w:lvlText w:val="%1."/>
      <w:numFmt w:val="decimal"/>
      <w:start w:val="14"/>
    </w:lvl>
  </w:abstractNum>
  <w:abstractNum w:abstractNumId="23">
    <w:nsid w:val="4353D0CD"/>
    <w:multiLevelType w:val="hybridMultilevel"/>
    <w:lvl w:ilvl="0">
      <w:lvlJc w:val="left"/>
      <w:lvlText w:val="%1."/>
      <w:numFmt w:val="decimal"/>
      <w:start w:val="16"/>
    </w:lvl>
  </w:abstractNum>
  <w:abstractNum w:abstractNumId="24">
    <w:nsid w:val="B03E0C6"/>
    <w:multiLevelType w:val="hybridMultilevel"/>
    <w:lvl w:ilvl="0">
      <w:lvlJc w:val="left"/>
      <w:lvlText w:val="%1."/>
      <w:numFmt w:val="decimal"/>
      <w:start w:val="18"/>
    </w:lvl>
  </w:abstractNum>
  <w:abstractNum w:abstractNumId="25">
    <w:nsid w:val="189A769B"/>
    <w:multiLevelType w:val="hybridMultilevel"/>
    <w:lvl w:ilvl="0">
      <w:lvlJc w:val="left"/>
      <w:lvlText w:val="%1."/>
      <w:numFmt w:val="decimal"/>
      <w:start w:val="19"/>
    </w:lvl>
    <w:lvl w:ilvl="1">
      <w:lvlJc w:val="left"/>
      <w:lvlText w:val="(%2)"/>
      <w:numFmt w:val="lowerLetter"/>
      <w:start w:val="1"/>
    </w:lvl>
  </w:abstractNum>
  <w:abstractNum w:abstractNumId="26">
    <w:nsid w:val="54E49EB4"/>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2026-06-16T16:26:13Z</dcterms:created>
  <dcterms:modified xsi:type="dcterms:W3CDTF">2026-06-16T16:26:13Z</dcterms:modified>
</cp:coreProperties>
</file>