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May 14, 2026</w:t>
      </w:r>
    </w:p>
    <w:p>
      <w:pPr>
        <w:pStyle w:val="TextBody"/>
        <w:bidi w:val="0"/>
        <w:spacing w:before="200" w:after="120"/>
        <w:jc w:val="center"/>
        <w:rPr/>
      </w:pPr>
      <w:r>
        <w:rPr/>
        <w:drawing>
          <wp:inline distT="0" distB="0" distL="0" distR="0">
            <wp:extent cx="18669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URBAN ONE,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610" w:type="dxa"/>
        <w:jc w:val="left"/>
        <w:tblInd w:w="0" w:type="dxa"/>
        <w:tblLayout w:type="fixed"/>
        <w:tblCellMar>
          <w:top w:w="28" w:type="dxa"/>
          <w:left w:w="28" w:type="dxa"/>
          <w:bottom w:w="28" w:type="dxa"/>
          <w:right w:w="28" w:type="dxa"/>
        </w:tblCellMar>
      </w:tblPr>
      <w:tblGrid>
        <w:gridCol w:w="808"/>
        <w:gridCol w:w="711"/>
        <w:gridCol w:w="716"/>
        <w:gridCol w:w="603"/>
        <w:gridCol w:w="603"/>
        <w:gridCol w:w="609"/>
        <w:gridCol w:w="455"/>
        <w:gridCol w:w="455"/>
        <w:gridCol w:w="650"/>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0-25969</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52-1166660</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 File No.)</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1010 Wayne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Silver Spring, Maryland 20910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(301) 429-3200</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02" w:type="dxa"/>
        <w:jc w:val="left"/>
        <w:tblInd w:w="0" w:type="dxa"/>
        <w:tblLayout w:type="fixed"/>
        <w:tblCellMar>
          <w:top w:w="28" w:type="dxa"/>
          <w:left w:w="28" w:type="dxa"/>
          <w:bottom w:w="28" w:type="dxa"/>
          <w:right w:w="28" w:type="dxa"/>
        </w:tblCellMar>
      </w:tblPr>
      <w:tblGrid>
        <w:gridCol w:w="1116"/>
        <w:gridCol w:w="981"/>
        <w:gridCol w:w="993"/>
        <w:gridCol w:w="109"/>
        <w:gridCol w:w="109"/>
        <w:gridCol w:w="109"/>
        <w:gridCol w:w="454"/>
        <w:gridCol w:w="454"/>
        <w:gridCol w:w="456"/>
        <w:gridCol w:w="109"/>
        <w:gridCol w:w="109"/>
        <w:gridCol w:w="109"/>
        <w:gridCol w:w="934"/>
        <w:gridCol w:w="934"/>
        <w:gridCol w:w="1326"/>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30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D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UONEK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under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p>
      <w:pPr>
        <w:pStyle w:val="TextBody"/>
        <w:bidi w:val="0"/>
        <w:spacing w:lineRule="auto" w:line="288" w:before="24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Urban One, Inc. (the “Company”) issued a press release setting forth the results for the three months ended March 31, 2026. A copy of the press release is attached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its earnings call and/or in its press release, the Company gave certain updates with respect to its current outlook. First, the Company noted it anticipates Adjusted EBITDA of approximately $60.0 million for the full year ending December 31, 2026. The Company also noted it was exploring the sale of certain non-core real estate related assets as it effectuates its capital allocation and debt management strategy.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30"/>
        <w:jc w:val="left"/>
        <w:rPr/>
      </w:pPr>
      <w:r>
        <w:rPr>
          <w:rFonts w:ascii="Times New Roman;serif" w:hAnsi="Times New Roman;serif"/>
          <w:b/>
          <w:color w:val="000000"/>
          <w:sz w:val="20"/>
        </w:rPr>
        <w:t>(c)</w:t>
      </w:r>
      <w:r>
        <w:rPr>
          <w:color w:val="000000"/>
        </w:rPr>
        <w:t>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8"/>
        <w:gridCol w:w="2648"/>
        <w:gridCol w:w="377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both"/>
              <w:rPr/>
            </w:pPr>
            <w:hyperlink w:anchor="uone-20260514xexx991.htm">
              <w:r>
                <w:rPr>
                  <w:rStyle w:val="InternetLink"/>
                  <w:rFonts w:ascii="Times New Roman;serif" w:hAnsi="Times New Roman;serif"/>
                  <w:b w:val="false"/>
                  <w:color w:val="000080"/>
                  <w:sz w:val="20"/>
                  <w:u w:val="single"/>
                </w:rPr>
                <w:t>Press release dated Ma</w:t>
              </w:r>
            </w:hyperlink>
            <w:hyperlink w:anchor="uone-20260514xexx991.htm">
              <w:r>
                <w:rPr>
                  <w:rStyle w:val="InternetLink"/>
                  <w:rFonts w:ascii="Times New Roman;serif" w:hAnsi="Times New Roman;serif"/>
                  <w:b w:val="false"/>
                  <w:color w:val="000080"/>
                  <w:sz w:val="20"/>
                  <w:u w:val="single"/>
                </w:rPr>
                <w:t>y</w:t>
              </w:r>
            </w:hyperlink>
            <w:hyperlink w:anchor="uone-20260514xexx991.htm">
              <w:r>
                <w:rPr>
                  <w:rStyle w:val="InternetLink"/>
                  <w:rFonts w:ascii="Times New Roman;serif" w:hAnsi="Times New Roman;serif"/>
                  <w:b w:val="false"/>
                  <w:color w:val="000080"/>
                  <w:sz w:val="20"/>
                  <w:u w:val="single"/>
                </w:rPr>
                <w:t xml:space="preserve"> 1</w:t>
              </w:r>
            </w:hyperlink>
            <w:hyperlink w:anchor="uone-20260514xexx991.htm">
              <w:r>
                <w:rPr>
                  <w:rStyle w:val="InternetLink"/>
                  <w:rFonts w:ascii="Times New Roman;serif" w:hAnsi="Times New Roman;serif"/>
                  <w:b w:val="false"/>
                  <w:color w:val="000080"/>
                  <w:sz w:val="20"/>
                  <w:u w:val="single"/>
                </w:rPr>
                <w:t>4</w:t>
              </w:r>
            </w:hyperlink>
            <w:hyperlink w:anchor="uone-20260514xexx991.htm">
              <w:r>
                <w:rPr>
                  <w:rStyle w:val="InternetLink"/>
                  <w:rFonts w:ascii="Times New Roman;serif" w:hAnsi="Times New Roman;serif"/>
                  <w:b w:val="false"/>
                  <w:color w:val="000080"/>
                  <w:sz w:val="20"/>
                  <w:u w:val="single"/>
                </w:rPr>
                <w:t>, 2026: Urban One Reports F</w:t>
              </w:r>
            </w:hyperlink>
            <w:hyperlink w:anchor="uone-20260514xexx991.htm">
              <w:r>
                <w:rPr>
                  <w:rStyle w:val="InternetLink"/>
                  <w:rFonts w:ascii="Times New Roman;serif" w:hAnsi="Times New Roman;serif"/>
                  <w:b w:val="false"/>
                  <w:color w:val="000080"/>
                  <w:sz w:val="20"/>
                  <w:u w:val="single"/>
                </w:rPr>
                <w:t>irst</w:t>
              </w:r>
            </w:hyperlink>
            <w:hyperlink w:anchor="uone-20260514xexx991.htm">
              <w:r>
                <w:rPr>
                  <w:rStyle w:val="InternetLink"/>
                  <w:rFonts w:ascii="Times New Roman;serif" w:hAnsi="Times New Roman;serif"/>
                  <w:b w:val="false"/>
                  <w:color w:val="000080"/>
                  <w:sz w:val="20"/>
                  <w:u w:val="single"/>
                </w:rPr>
                <w:t xml:space="preserve"> Quarter 202</w:t>
              </w:r>
            </w:hyperlink>
            <w:hyperlink w:anchor="uone-20260514xexx991.htm">
              <w:r>
                <w:rPr>
                  <w:rStyle w:val="InternetLink"/>
                  <w:rFonts w:ascii="Times New Roman;serif" w:hAnsi="Times New Roman;serif"/>
                  <w:b w:val="false"/>
                  <w:color w:val="000080"/>
                  <w:sz w:val="20"/>
                  <w:u w:val="single"/>
                </w:rPr>
                <w:t>6</w:t>
              </w:r>
            </w:hyperlink>
            <w:hyperlink w:anchor="uone-20260514xexx991.htm">
              <w:r>
                <w:rPr>
                  <w:rStyle w:val="InternetLink"/>
                  <w:rFonts w:ascii="Times New Roman;serif" w:hAnsi="Times New Roman;serif"/>
                  <w:b w:val="false"/>
                  <w:color w:val="000080"/>
                  <w:sz w:val="20"/>
                  <w:u w:val="single"/>
                </w:rPr>
                <w:t xml:space="preserve"> Results</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20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certain of the statements in this Form 8-K or in this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factors, including but not limited to the following: economic, public health, and/or political conditions that impact consumer confidence and spending;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10-Q, and Form 8-K reports (including all amendments to those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00" w:type="dxa"/>
        <w:jc w:val="left"/>
        <w:tblInd w:w="0" w:type="dxa"/>
        <w:tblLayout w:type="fixed"/>
        <w:tblCellMar>
          <w:top w:w="28" w:type="dxa"/>
          <w:left w:w="28" w:type="dxa"/>
          <w:bottom w:w="28" w:type="dxa"/>
          <w:right w:w="28" w:type="dxa"/>
        </w:tblCellMar>
      </w:tblPr>
      <w:tblGrid>
        <w:gridCol w:w="455"/>
        <w:gridCol w:w="401"/>
        <w:gridCol w:w="404"/>
        <w:gridCol w:w="1387"/>
        <w:gridCol w:w="1387"/>
        <w:gridCol w:w="1966"/>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URBAN ONE,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7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200" w:after="283"/>
        <w:jc w:val="left"/>
        <w:rPr>
          <w:rFonts w:ascii="Times New Roman;serif" w:hAnsi="Times New Roman;serif"/>
          <w:b/>
          <w:color w:val="FFFFFF"/>
          <w:sz w:val="50"/>
          <w:shd w:fill="000000" w:val="clear"/>
        </w:rPr>
      </w:pPr>
      <w:r>
        <w:rPr>
          <w:rFonts w:ascii="Times New Roman;serif" w:hAnsi="Times New Roman;serif"/>
          <w:b/>
          <w:color w:val="FFFFFF"/>
          <w:sz w:val="50"/>
          <w:shd w:fill="000000" w:val="clear"/>
        </w:rPr>
        <w:t>NEWS RELEASE</w:t>
      </w:r>
    </w:p>
    <w:tbl>
      <w:tblPr>
        <w:tblW w:w="7783" w:type="dxa"/>
        <w:jc w:val="left"/>
        <w:tblInd w:w="0" w:type="dxa"/>
        <w:tblLayout w:type="fixed"/>
        <w:tblCellMar>
          <w:top w:w="28" w:type="dxa"/>
          <w:left w:w="28" w:type="dxa"/>
          <w:bottom w:w="28" w:type="dxa"/>
          <w:right w:w="28" w:type="dxa"/>
        </w:tblCellMar>
      </w:tblPr>
      <w:tblGrid>
        <w:gridCol w:w="1224"/>
        <w:gridCol w:w="1078"/>
        <w:gridCol w:w="1087"/>
        <w:gridCol w:w="1285"/>
        <w:gridCol w:w="1285"/>
        <w:gridCol w:w="1824"/>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May 14, 2026</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Contact: Peter D. Thompson, EVP and CFO</w:t>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FOR IMMEDIATE RELEASE</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(301) 429-4638</w:t>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Silver Spring, MD</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34"/>
        </w:rPr>
      </w:pPr>
      <w:r>
        <w:rPr>
          <w:rFonts w:ascii="Times New Roman;serif" w:hAnsi="Times New Roman;serif"/>
          <w:b/>
          <w:color w:val="000000"/>
          <w:sz w:val="34"/>
        </w:rPr>
        <w:t>URBAN ONE, INC. REPORTS FIRST QUARTER 2026 RESULTS</w:t>
      </w:r>
    </w:p>
    <w:p>
      <w:pPr>
        <w:pStyle w:val="TextBody"/>
        <w:bidi w:val="0"/>
        <w:spacing w:lineRule="auto" w:line="288" w:before="240" w:after="283"/>
        <w:jc w:val="both"/>
        <w:rPr/>
      </w:pPr>
      <w:r>
        <w:rPr>
          <w:rFonts w:ascii="Times New Roman;serif" w:hAnsi="Times New Roman;serif"/>
          <w:b/>
          <w:color w:val="000000"/>
          <w:sz w:val="20"/>
          <w:u w:val="single"/>
        </w:rPr>
        <w:t>Silver Spring, MD</w:t>
      </w:r>
      <w:r>
        <w:rPr>
          <w:rFonts w:ascii="Times New Roman;serif" w:hAnsi="Times New Roman;serif"/>
          <w:b/>
          <w:color w:val="000000"/>
          <w:sz w:val="20"/>
        </w:rPr>
        <w:t>: -</w:t>
      </w:r>
      <w:r>
        <w:rPr>
          <w:color w:val="000000"/>
        </w:rPr>
        <w:t xml:space="preserve"> </w:t>
      </w:r>
      <w:r>
        <w:rPr>
          <w:rFonts w:ascii="Times New Roman;serif" w:hAnsi="Times New Roman;serif"/>
          <w:b w:val="false"/>
          <w:color w:val="000000"/>
          <w:sz w:val="20"/>
        </w:rPr>
        <w:t>Urban One, Inc. (NASDAQ: UONEK and UONE, referred to as, “Urban One,” the “Company”, “we”, “our” and/or “us”) today reported its results for the three months ended March 31, 2026. For the three months ended March 31, 2026, net revenue was approximately $77.7 million, a decrease of 15.8% from the same period in 2025. The Company reported operating loss of approximately $2.2 million for the three months ended March 31, 2026, compared to operating income of approximately $2.1 million for the three months ended March 31, 2025. Broadcast and digital operating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approximately $14.9 million for the three months ended March 31, 2026, a decrease of 35.4% from the same period in 2025. Net loss was approximately $3.1 million</w:t>
      </w:r>
      <w:r>
        <w:rPr>
          <w:color w:val="000000"/>
          <w:shd w:fill="FFFFFF" w:val="clear"/>
        </w:rPr>
        <w:t xml:space="preserve"> </w:t>
      </w:r>
      <w:r>
        <w:rPr>
          <w:rFonts w:ascii="Times New Roman;serif" w:hAnsi="Times New Roman;serif"/>
          <w:b w:val="false"/>
          <w:color w:val="000000"/>
          <w:sz w:val="20"/>
          <w:shd w:fill="FFFFFF" w:val="clear"/>
        </w:rPr>
        <w:t>or $(0.69) per sh</w:t>
      </w:r>
      <w:r>
        <w:rPr>
          <w:rFonts w:ascii="Times New Roman;serif" w:hAnsi="Times New Roman;serif"/>
          <w:b w:val="false"/>
          <w:color w:val="000000"/>
          <w:sz w:val="20"/>
        </w:rPr>
        <w:t>are (basic) for the three months ended March 31, 2026, compared to net loss of $11.7 million or $(2.64)</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per share (basic) for the same period in 2025.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approximately $4.7 million for the three months ended March 31, 2026, compared to approximately $12.9 million for the same period in 2025.</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Alfred C. Liggins, III, Urban One’s CEO and President stated, "First quarter revenue was soft across all divisions, with TV down 18.5%, Digital down 33.5%, Radio down 6.4% and Reach Media dropped by 17.0%. We had budgeted for a down-quarter in our Radio and TV divisions, but not at Reach Media and Digital. The integration of Nielsen DASH data gave a boost to linear cable TV inventory, but combined with a weak scatter market, led to more commercial units being allocated to Direct Response advertising, at a lower average unit rate. Post DASH, prime C3 ratings 25-54 were up 49.0% from the fourth quarter and Total Day was up 35.0% from the fourth quarter. In Radio, our Miller Kaplan local Radio revenues were down 5.5% year-over-year vs the market 7.1% and national was down 8.2%, vs the market down 6.7%. Including local digital, first quarter Radio revenue was down 2.8%. We did approximately $1.0 million in gross political advertising in the first quarter and have another $1.0 million on the books for the second quarter. Radio second quarter is pacing down 2.6%. We are in a turnaround situation at Reach Media, where we continue to be impacted by a weak marketplace, key client attrition and sales team re-building. Digital also had a soft first quarter, driven by weak advertiser demand but second quarter is forecasted to be up, and there is optimism for the back half of the year based on the current sales pipeline. Our first quarter cashflow from operations was stronger than expected as we made a concerted effort to collect receivables, and we were helped by the fact that we prepaid a portion of the typical semi-annual cash interest payments in the fourth quarter as part of the debt refinancing transaction. We repurchased $4.3 million of 2028 Notes at 51.0% of par. We also repurchased $32.45 million of 2031 Second Lien Notes at 40.7% of par in the first quarter and an additional $23.46 million of 2031 Second Lien Notes in the second quarter at 42.0% of par. Year-to-date, that is a total reduction in long-term debt of $60.2 million for an annual interest savings of $4.6 million and an increase in short-term debt of $10.0 million, which is expected to be fully repaid by year-end. During the quarter and in April, we announced the acquisition of Dallas radio stations KKDA, KRNB and the disposition of KZMJ, and also the disposition of WLNK and WMXG in Charlotte. The combined net cash outflow upon closing is approximately $11.1 million, and the incremental pro-forma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is approximately $5.0 million on an annual basis. Our revised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guide for 2026 is approximately $60.0 million, of which $2.0 million relates to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2260"/>
                <wp:effectExtent l="0" t="0" r="0" b="0"/>
                <wp:wrapNone/>
                <wp:docPr id="5" name="Frame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2 -- URBAN ONE, INC. REPORTS FIRST QUARTER 2026 RESULTS</w:t>
      </w:r>
    </w:p>
    <w:tbl>
      <w:tblPr>
        <w:tblW w:w="10205" w:type="dxa"/>
        <w:jc w:val="left"/>
        <w:tblInd w:w="0" w:type="dxa"/>
        <w:tblLayout w:type="fixed"/>
        <w:tblCellMar>
          <w:top w:w="28" w:type="dxa"/>
          <w:left w:w="28" w:type="dxa"/>
          <w:bottom w:w="28" w:type="dxa"/>
          <w:right w:w="28" w:type="dxa"/>
        </w:tblCellMar>
      </w:tblPr>
      <w:tblGrid>
        <w:gridCol w:w="2414"/>
        <w:gridCol w:w="2125"/>
        <w:gridCol w:w="2129"/>
        <w:gridCol w:w="443"/>
        <w:gridCol w:w="344"/>
        <w:gridCol w:w="344"/>
        <w:gridCol w:w="227"/>
        <w:gridCol w:w="227"/>
        <w:gridCol w:w="227"/>
        <w:gridCol w:w="443"/>
        <w:gridCol w:w="397"/>
        <w:gridCol w:w="397"/>
        <w:gridCol w:w="109"/>
        <w:gridCol w:w="109"/>
        <w:gridCol w:w="109"/>
        <w:gridCol w:w="161"/>
      </w:tblGrid>
      <w:tr>
        <w:trPr/>
        <w:tc>
          <w:tcPr>
            <w:tcW w:w="241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tc>
        <w:tc>
          <w:tcPr>
            <w:tcW w:w="3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77,651</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excluding stock-based compensation</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30,005</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excluding stock-based compensation</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43,483</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79,866</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shares outstanding - basic</w:t>
            </w:r>
            <w:r>
              <w:rPr>
                <w:rFonts w:ascii="Times New Roman;serif" w:hAnsi="Times New Roman;serif"/>
                <w:b w:val="false"/>
                <w:color w:val="000000"/>
                <w:sz w:val="13"/>
              </w:rPr>
              <w:t>(3, a)</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4,449,258</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4,442,165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shares outstanding - diluted</w:t>
            </w:r>
            <w:r>
              <w:rPr>
                <w:rFonts w:ascii="Times New Roman;serif" w:hAnsi="Times New Roman;serif"/>
                <w:b w:val="false"/>
                <w:color w:val="000000"/>
                <w:sz w:val="13"/>
              </w:rPr>
              <w:t>(4, a)</w:t>
            </w:r>
          </w:p>
        </w:tc>
        <w:tc>
          <w:tcPr>
            <w:tcW w:w="113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4,449,258</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4,442,165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3"/>
        </w:rPr>
      </w:pPr>
      <w:r>
        <w:rPr>
          <w:rFonts w:ascii="Times New Roman;serif" w:hAnsi="Times New Roman;serif"/>
          <w:b w:val="false"/>
          <w:color w:val="000000"/>
          <w:sz w:val="13"/>
        </w:rPr>
        <w:t>(a) Weighted-average shares outstanding used in the computation of basic and diluted net loss to common stockholders per share have been retroactively adjusted to reflect the 1-for-10 Reverse Stock Split that occurred on January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2260"/>
                <wp:effectExtent l="0" t="0" r="0" b="0"/>
                <wp:wrapNone/>
                <wp:docPr id="6" name="Frame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3 -- URBAN ONE, INC. REPORTS FIRST QUARTER 2026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Detailed segment data for the three months ended March 31, 2026 and 2025 is presented in the following tables:</w:t>
      </w:r>
    </w:p>
    <w:tbl>
      <w:tblPr>
        <w:tblW w:w="10205" w:type="dxa"/>
        <w:jc w:val="left"/>
        <w:tblInd w:w="0" w:type="dxa"/>
        <w:tblLayout w:type="fixed"/>
        <w:tblCellMar>
          <w:top w:w="28" w:type="dxa"/>
          <w:left w:w="28" w:type="dxa"/>
          <w:bottom w:w="28" w:type="dxa"/>
          <w:right w:w="28" w:type="dxa"/>
        </w:tblCellMar>
      </w:tblPr>
      <w:tblGrid>
        <w:gridCol w:w="854"/>
        <w:gridCol w:w="505"/>
        <w:gridCol w:w="469"/>
        <w:gridCol w:w="236"/>
        <w:gridCol w:w="691"/>
        <w:gridCol w:w="124"/>
        <w:gridCol w:w="109"/>
        <w:gridCol w:w="109"/>
        <w:gridCol w:w="109"/>
        <w:gridCol w:w="276"/>
        <w:gridCol w:w="807"/>
        <w:gridCol w:w="143"/>
        <w:gridCol w:w="109"/>
        <w:gridCol w:w="109"/>
        <w:gridCol w:w="109"/>
        <w:gridCol w:w="226"/>
        <w:gridCol w:w="541"/>
        <w:gridCol w:w="117"/>
        <w:gridCol w:w="109"/>
        <w:gridCol w:w="109"/>
        <w:gridCol w:w="109"/>
        <w:gridCol w:w="211"/>
        <w:gridCol w:w="651"/>
        <w:gridCol w:w="109"/>
        <w:gridCol w:w="109"/>
        <w:gridCol w:w="109"/>
        <w:gridCol w:w="109"/>
        <w:gridCol w:w="227"/>
        <w:gridCol w:w="779"/>
        <w:gridCol w:w="117"/>
        <w:gridCol w:w="109"/>
        <w:gridCol w:w="109"/>
        <w:gridCol w:w="109"/>
        <w:gridCol w:w="303"/>
        <w:gridCol w:w="955"/>
        <w:gridCol w:w="229"/>
      </w:tblGrid>
      <w:tr>
        <w:trPr/>
        <w:tc>
          <w:tcPr>
            <w:tcW w:w="8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8,564</w:t>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(8,217)</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4"/>
        <w:gridCol w:w="489"/>
        <w:gridCol w:w="451"/>
        <w:gridCol w:w="213"/>
        <w:gridCol w:w="727"/>
        <w:gridCol w:w="111"/>
        <w:gridCol w:w="109"/>
        <w:gridCol w:w="109"/>
        <w:gridCol w:w="109"/>
        <w:gridCol w:w="244"/>
        <w:gridCol w:w="835"/>
        <w:gridCol w:w="126"/>
        <w:gridCol w:w="109"/>
        <w:gridCol w:w="109"/>
        <w:gridCol w:w="109"/>
        <w:gridCol w:w="218"/>
        <w:gridCol w:w="638"/>
        <w:gridCol w:w="112"/>
        <w:gridCol w:w="109"/>
        <w:gridCol w:w="109"/>
        <w:gridCol w:w="109"/>
        <w:gridCol w:w="211"/>
        <w:gridCol w:w="721"/>
        <w:gridCol w:w="109"/>
        <w:gridCol w:w="109"/>
        <w:gridCol w:w="109"/>
        <w:gridCol w:w="109"/>
        <w:gridCol w:w="225"/>
        <w:gridCol w:w="771"/>
        <w:gridCol w:w="116"/>
        <w:gridCol w:w="109"/>
        <w:gridCol w:w="109"/>
        <w:gridCol w:w="109"/>
        <w:gridCol w:w="346"/>
        <w:gridCol w:w="791"/>
        <w:gridCol w:w="262"/>
      </w:tblGrid>
      <w:tr>
        <w:trPr/>
        <w:tc>
          <w:tcPr>
            <w:tcW w:w="8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26</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1,054</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2260"/>
                <wp:effectExtent l="0" t="0" r="0" b="0"/>
                <wp:wrapNone/>
                <wp:docPr id="7" name="Frame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PAGE 4 -- URBAN ONE, INC. REPORTS FIRST QUARTER 2026 RESULTS</w:t>
      </w:r>
    </w:p>
    <w:tbl>
      <w:tblPr>
        <w:tblW w:w="10205" w:type="dxa"/>
        <w:jc w:val="left"/>
        <w:tblInd w:w="0" w:type="dxa"/>
        <w:tblLayout w:type="fixed"/>
        <w:tblCellMar>
          <w:top w:w="28" w:type="dxa"/>
          <w:left w:w="28" w:type="dxa"/>
          <w:bottom w:w="28" w:type="dxa"/>
          <w:right w:w="28" w:type="dxa"/>
        </w:tblCellMar>
      </w:tblPr>
      <w:tblGrid>
        <w:gridCol w:w="2678"/>
        <w:gridCol w:w="2185"/>
        <w:gridCol w:w="2192"/>
        <w:gridCol w:w="231"/>
        <w:gridCol w:w="745"/>
        <w:gridCol w:w="119"/>
        <w:gridCol w:w="119"/>
        <w:gridCol w:w="119"/>
        <w:gridCol w:w="119"/>
        <w:gridCol w:w="231"/>
        <w:gridCol w:w="860"/>
        <w:gridCol w:w="119"/>
        <w:gridCol w:w="109"/>
        <w:gridCol w:w="109"/>
        <w:gridCol w:w="109"/>
        <w:gridCol w:w="161"/>
      </w:tblGrid>
      <w:tr>
        <w:trPr/>
        <w:tc>
          <w:tcPr>
            <w:tcW w:w="267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 - basic and diluted:</w:t>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loss attributable to common stockholders (basic)</w:t>
            </w:r>
            <w:r>
              <w:rPr>
                <w:rFonts w:ascii="Times New Roman;serif" w:hAnsi="Times New Roman;serif"/>
                <w:b w:val="false"/>
                <w:color w:val="000000"/>
                <w:sz w:val="13"/>
              </w:rPr>
              <w:t>(a)</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loss attributable to common stockholders (diluted)</w:t>
            </w:r>
            <w:r>
              <w:rPr>
                <w:rFonts w:ascii="Times New Roman;serif" w:hAnsi="Times New Roman;serif"/>
                <w:b w:val="false"/>
                <w:color w:val="000000"/>
                <w:sz w:val="13"/>
              </w:rPr>
              <w:t>(a)</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Broadcast and digital operating income</w:t>
            </w:r>
            <w:r>
              <w:rPr>
                <w:rFonts w:ascii="Times New Roman;serif" w:hAnsi="Times New Roman;serif"/>
                <w:b/>
                <w:color w:val="000000"/>
                <w:sz w:val="13"/>
              </w:rPr>
              <w:t>(1)</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14,864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Broadcast and digital operating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 certain non-broadcast and digital operating income items included in net (loss) income:</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selling, general and administrative expenses</w:t>
            </w:r>
            <w:r>
              <w:rPr>
                <w:rFonts w:ascii="Times New Roman;serif" w:hAnsi="Times New Roman;serif"/>
                <w:b w:val="false"/>
                <w:color w:val="000000"/>
                <w:sz w:val="13"/>
              </w:rPr>
              <w:t>(b)</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 net</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Broadcast and digital operating income</w:t>
            </w:r>
            <w:r>
              <w:rPr>
                <w:rFonts w:ascii="Times New Roman;serif" w:hAnsi="Times New Roman;serif"/>
                <w:b/>
                <w:color w:val="000000"/>
                <w:sz w:val="13"/>
              </w:rPr>
              <w:t>(1)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14,864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(2)</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4,656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12,857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reconciliation:</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EBITDA</w:t>
            </w:r>
            <w:r>
              <w:rPr>
                <w:rFonts w:ascii="Times New Roman;serif" w:hAnsi="Times New Roman;serif"/>
                <w:b w:val="false"/>
                <w:color w:val="000000"/>
                <w:sz w:val="13"/>
              </w:rPr>
              <w:t>(2)</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businesses initiatives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(2)</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4,656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12,857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(a) Weighted-average shares outstanding used in the computation of basic and diluted net loss to common stockholders per share have been retroactively adjusted to reflect the 1-for-10 Reverse Stock Split that occurred on January 22, 2026.</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(b) Corporate selling, general and administrative expenses consist of expenses associated with our corporate headquarters and facilities, including personnel as well as other corporate overhead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2260"/>
                <wp:effectExtent l="0" t="0" r="0" b="0"/>
                <wp:wrapNone/>
                <wp:docPr id="8" name="Frame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120"/>
        <w:jc w:val="left"/>
        <w:rPr>
          <w:rFonts w:ascii="Times New Roman;serif" w:hAnsi="Times New Roman;serif"/>
          <w:b/>
          <w:color w:val="000000"/>
          <w:sz w:val="24"/>
        </w:rPr>
      </w:pPr>
      <w:r>
        <w:rPr>
          <w:rFonts w:ascii="Times New Roman;serif" w:hAnsi="Times New Roman;serif"/>
          <w:b/>
          <w:color w:val="000000"/>
          <w:sz w:val="24"/>
        </w:rPr>
        <w:t>PAGE 5 -- URBAN ONE, INC. REPORTS FIRST QUARTER 2026 RESULTS</w:t>
      </w:r>
    </w:p>
    <w:tbl>
      <w:tblPr>
        <w:tblW w:w="8816" w:type="dxa"/>
        <w:jc w:val="left"/>
        <w:tblInd w:w="0" w:type="dxa"/>
        <w:tblLayout w:type="fixed"/>
        <w:tblCellMar>
          <w:top w:w="28" w:type="dxa"/>
          <w:left w:w="28" w:type="dxa"/>
          <w:bottom w:w="28" w:type="dxa"/>
          <w:right w:w="28" w:type="dxa"/>
        </w:tblCellMar>
      </w:tblPr>
      <w:tblGrid>
        <w:gridCol w:w="1754"/>
        <w:gridCol w:w="1544"/>
        <w:gridCol w:w="1547"/>
        <w:gridCol w:w="340"/>
        <w:gridCol w:w="1164"/>
        <w:gridCol w:w="176"/>
        <w:gridCol w:w="109"/>
        <w:gridCol w:w="109"/>
        <w:gridCol w:w="109"/>
        <w:gridCol w:w="380"/>
        <w:gridCol w:w="1304"/>
        <w:gridCol w:w="280"/>
      </w:tblGrid>
      <w:tr>
        <w:trPr/>
        <w:tc>
          <w:tcPr>
            <w:tcW w:w="175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w:t>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CONSOLIDATED BALANCE SHEET DATA:</w:t>
            </w:r>
          </w:p>
        </w:tc>
        <w:tc>
          <w:tcPr>
            <w:tcW w:w="39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(a)</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279,653 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(a) Intangible assets, net include Goodwill, net, Radio Broadcasting Licenses, net, Other Intangible Assets, net, and Current Portion of Launch Assets, net.</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(b) On February 25, 2026, Reach Media closed on the Put Interest increasing the Company’s interest in Reach Media to 100.0%. Reach Media paid the last of the non-controlling interest shareholders approximately $1.3 million for the 5.4% interest.</w:t>
      </w:r>
    </w:p>
    <w:p>
      <w:pPr>
        <w:pStyle w:val="TextBody"/>
        <w:bidi w:val="0"/>
        <w:spacing w:before="0" w:after="0"/>
        <w:jc w:val="both"/>
        <w:rPr/>
      </w:pPr>
      <w:r>
        <w:rPr/>
      </w:r>
    </w:p>
    <w:tbl>
      <w:tblPr>
        <w:tblW w:w="8501" w:type="dxa"/>
        <w:jc w:val="left"/>
        <w:tblInd w:w="0" w:type="dxa"/>
        <w:tblLayout w:type="fixed"/>
        <w:tblCellMar>
          <w:top w:w="28" w:type="dxa"/>
          <w:left w:w="28" w:type="dxa"/>
          <w:bottom w:w="28" w:type="dxa"/>
          <w:right w:w="28" w:type="dxa"/>
        </w:tblCellMar>
      </w:tblPr>
      <w:tblGrid>
        <w:gridCol w:w="1640"/>
        <w:gridCol w:w="1441"/>
        <w:gridCol w:w="1449"/>
        <w:gridCol w:w="309"/>
        <w:gridCol w:w="1211"/>
        <w:gridCol w:w="159"/>
        <w:gridCol w:w="109"/>
        <w:gridCol w:w="109"/>
        <w:gridCol w:w="109"/>
        <w:gridCol w:w="348"/>
        <w:gridCol w:w="1363"/>
        <w:gridCol w:w="2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LEVERAGE DATA:</w:t>
            </w:r>
          </w:p>
        </w:tc>
        <w:tc>
          <w:tcPr>
            <w:tcW w:w="39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10.500% First Lien Senior Secured Notes due 2030</w:t>
            </w:r>
            <w:r>
              <w:rPr>
                <w:rFonts w:ascii="Times New Roman;serif" w:hAnsi="Times New Roman;serif"/>
                <w:b w:val="false"/>
                <w:color w:val="000000"/>
                <w:sz w:val="13"/>
              </w:rPr>
              <w:t>(a, c)</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7.625% Second Lien Secured Notes due 2031</w:t>
            </w:r>
            <w:r>
              <w:rPr>
                <w:rFonts w:ascii="Times New Roman;serif" w:hAnsi="Times New Roman;serif"/>
                <w:b w:val="false"/>
                <w:color w:val="000000"/>
                <w:sz w:val="13"/>
              </w:rPr>
              <w:t>(a, c)</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291,020</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7.375% senior secured notes due February 2028</w:t>
            </w:r>
            <w:r>
              <w:rPr>
                <w:rFonts w:ascii="Times New Roman;serif" w:hAnsi="Times New Roman;serif"/>
                <w:b w:val="false"/>
                <w:color w:val="000000"/>
                <w:sz w:val="13"/>
              </w:rPr>
              <w:t>(b)</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11,816</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outstanding on long-term debt</w:t>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363,436 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Add: Premium</w:t>
            </w:r>
            <w:r>
              <w:rPr>
                <w:rFonts w:ascii="Times New Roman;serif" w:hAnsi="Times New Roman;serif"/>
                <w:b w:val="false"/>
                <w:color w:val="000000"/>
                <w:sz w:val="13"/>
              </w:rPr>
              <w:t>(c)</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69,174 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412,110 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The 2030 First Lien Notes and 2031 Second Lien Notes pay interest semiannually on April 1 and October 1 of each year in arrears.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(b) Subsequent to the effectiveness of the supplemental indenture on December 18, 2025, these notes are no longer secured. While these notes are styled as senior secured notes they are no longer secured by collateral. The 2028 Notes pay interest semiannually on February 1 and August 1 of each year in arrears.</w:t>
      </w:r>
    </w:p>
    <w:p>
      <w:pPr>
        <w:pStyle w:val="TextBody"/>
        <w:bidi w:val="0"/>
        <w:spacing w:lineRule="auto" w:line="288" w:before="40" w:after="283"/>
        <w:jc w:val="both"/>
        <w:rPr/>
      </w:pPr>
      <w:r>
        <w:rPr>
          <w:rFonts w:ascii="Times New Roman;serif" w:hAnsi="Times New Roman;serif"/>
          <w:b w:val="false"/>
          <w:color w:val="000000"/>
          <w:sz w:val="13"/>
        </w:rPr>
        <w:t xml:space="preserve">(c) The 2030 First Lien Notes and 2031 Second Lien Notes are accounted for under Accounting Standards Codification No. 470-60, </w:t>
      </w:r>
      <w:r>
        <w:rPr>
          <w:rFonts w:ascii="Times New Roman;serif" w:hAnsi="Times New Roman;serif"/>
          <w:b w:val="false"/>
          <w:i/>
          <w:color w:val="000000"/>
          <w:sz w:val="13"/>
        </w:rPr>
        <w:t>Troubled Debt Restructurings by Debtors</w:t>
      </w:r>
      <w:r>
        <w:rPr>
          <w:rFonts w:ascii="Times New Roman;serif" w:hAnsi="Times New Roman;serif"/>
          <w:b w:val="false"/>
          <w:color w:val="000000"/>
          <w:sz w:val="13"/>
        </w:rPr>
        <w: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During the three months ended March 31, 2026, the Company repurchased approximately $32.4 million of its 2031 Second Lien Notes at a weighted average price of approximately 40.7% of par. </w:t>
      </w:r>
      <w:r>
        <w:rPr>
          <w:rFonts w:ascii="Times New Roman;serif" w:hAnsi="Times New Roman;serif"/>
          <w:b w:val="false"/>
          <w:color w:val="000000"/>
          <w:sz w:val="20"/>
          <w:shd w:fill="FFFFFF" w:val="clear"/>
        </w:rPr>
        <w:t xml:space="preserve">As the 2031 Second Lien Notes are accounted </w:t>
      </w:r>
      <w:r>
        <w:rPr>
          <w:rFonts w:ascii="Times New Roman;serif" w:hAnsi="Times New Roman;serif"/>
          <w:b w:val="false"/>
          <w:color w:val="000000"/>
          <w:sz w:val="20"/>
        </w:rPr>
        <w:t xml:space="preserve">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shd w:fill="FFFFFF" w:val="clear"/>
        </w:rPr>
        <w:t>, no gain was recorded. Instead, the Company recorded an additional premiu</w:t>
      </w:r>
      <w:r>
        <w:rPr>
          <w:rFonts w:ascii="Times New Roman;serif" w:hAnsi="Times New Roman;serif"/>
          <w:b w:val="false"/>
          <w:color w:val="000000"/>
          <w:sz w:val="20"/>
        </w:rPr>
        <w:t xml:space="preserve">m of $19.3 million, </w:t>
      </w:r>
      <w:r>
        <w:rPr>
          <w:rFonts w:ascii="Times New Roman;serif" w:hAnsi="Times New Roman;serif"/>
          <w:b w:val="false"/>
          <w:color w:val="000000"/>
          <w:sz w:val="20"/>
          <w:shd w:fill="FFFFFF" w:val="clear"/>
        </w:rPr>
        <w:t>which is included in long-term debt, net on the Company's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three months ended March 31, 2026, the Company repurchased approximately $</w:t>
      </w:r>
      <w:r>
        <w:rPr>
          <w:rFonts w:ascii="Times New Roman;serif" w:hAnsi="Times New Roman;serif"/>
          <w:b w:val="false"/>
          <w:color w:val="000000"/>
          <w:sz w:val="20"/>
          <w:shd w:fill="FFFFFF" w:val="clear"/>
        </w:rPr>
        <w:t xml:space="preserve">4.3 million of its 2028 Notes at a weighted average price of approximately </w:t>
      </w:r>
      <w:r>
        <w:rPr>
          <w:rFonts w:ascii="Times New Roman;serif" w:hAnsi="Times New Roman;serif"/>
          <w:b w:val="false"/>
          <w:color w:val="000000"/>
          <w:sz w:val="20"/>
        </w:rPr>
        <w:t>51.0%</w:t>
      </w:r>
      <w:r>
        <w:rPr>
          <w:color w:val="000000"/>
          <w:shd w:fill="FFFFFF" w:val="clear"/>
        </w:rPr>
        <w:t xml:space="preserve"> </w:t>
      </w:r>
      <w:r>
        <w:rPr>
          <w:rFonts w:ascii="Times New Roman;serif" w:hAnsi="Times New Roman;serif"/>
          <w:b w:val="false"/>
          <w:color w:val="000000"/>
          <w:sz w:val="20"/>
          <w:shd w:fill="FFFFFF" w:val="clear"/>
        </w:rPr>
        <w:t xml:space="preserve">of par, resulting in a net gain on retirement of debt of approximately $2.1 million, included in the unaudited consolidated statement of operations.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On December 18, 2025, the Company drew $10.0 million on the on the Current ABL Facility, which was repaid in the first quarter of 2026. In March 2026, the Company drew another $10.0 million on the Current ABL Facility with a six-month maturity at an interest rate of approximately 6.09%, which remains outstanding as of March 31, 2026. After giving effect to the</w:t>
      </w:r>
      <w:r>
        <w:rPr>
          <w:color w:val="000000"/>
          <w:shd w:fill="FFFFFF" w:val="clear"/>
        </w:rPr>
        <w:t xml:space="preserve"> </w:t>
      </w:r>
      <w:r>
        <w:rPr>
          <w:rFonts w:ascii="Times New Roman;serif" w:hAnsi="Times New Roman;serif"/>
          <w:b w:val="false"/>
          <w:color w:val="000000"/>
          <w:sz w:val="20"/>
          <w:shd w:fill="FFFFFF" w:val="clear"/>
        </w:rPr>
        <w:t>$10.0 million d</w:t>
      </w:r>
      <w:r>
        <w:rPr>
          <w:rFonts w:ascii="Times New Roman;serif" w:hAnsi="Times New Roman;serif"/>
          <w:b w:val="false"/>
          <w:color w:val="000000"/>
          <w:sz w:val="20"/>
        </w:rPr>
        <w:t>rawdown and adjustments to account for the Borrowing Base, the Company's borrowing capacity was approximately $31.8 million as of March 31, 2026.</w:t>
      </w:r>
    </w:p>
    <w:p>
      <w:pPr>
        <w:pStyle w:val="TextBody"/>
        <w:bidi w:val="0"/>
        <w:spacing w:before="0" w:after="24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2260"/>
                <wp:effectExtent l="0" t="0" r="0" b="0"/>
                <wp:wrapNone/>
                <wp:docPr id="9" name="Frame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further made two separate draws of $5.0 million each for a total of $10.0 million in the second quarter of 2026, payable at an interest rate of approximately 6.75% and 6.01%, respectively. After giving effect to the outstanding $10.0 million drawdown, the additional $10.0 million drawdown in the second quarter of 2026 and adjustments to account for the Borrowing Base, the Company's borrowing capacity was approximately $22.0 million.</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PAGE 6 -- URBAN ONE, INC. REPORTS FIRST QUARTER 2026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Dispositions and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entered into an agreement to sell its WMXG and WLNK-FM radio broadcasting licenses in Charlotte, North Carolina along with the associated station assets from the Radio Broadcasting segment to unrelated third parties for approximately $0.7 million and $4.2 million respectively, pending approval by the Federal Communication Commission ("FCC"). We anticipate to complete the sale by the end of the second quarter of 2026. All stations will continue operating in their current format until the transaction receives FCC approval and closes.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an agreement to acquire Service Broadcasting Group, LLC, including radio stations KKDA and KRNB in Dallas, Texas for $22.0 million. At the same time, the Company also entered into an agreement to sell radio station KZMJ to Fuzion Dallas, LLC for $6.0 million. The transactions include the transfer of each station’s FCC license and related assets and are subject to approval by the FCC and other customary closing conditions. All stations will continue operating in their current format until the transaction receives FCC approval and closes.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Section 27A of the Securities Act of 1933 and Section 21E of the Securities Exchange Act of 1934. Forward-looking statements represent management's current expectations and are based upon information available to Urban One at the time of this release. These forward-looking statements involve known and unknown risks, uncertainties, and other factors, some of which are beyond Urban One's control, which may cause the actual results to differ materially from any future results, performance or achievements expressed or implied by such forward-looking statements. Important factors that could cause actual results to differ materially are described in Urban One’s reports on Forms 10-K, 10-Q, 8-K and other filings with the Securities and Exchange Commission (the “SEC”). Urban One does not undertake any duty to update any forward-looking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10" name="Frame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7 -- URBAN ONE, INC. REPORTS FIRST QUARTER 2026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For the three months ended March 31, 2026, we recognized approximately $77.7 million in net revenue compared to approximately $92.2 million during the three months ended March 31, 2025. These amounts are net of agency commissions. We recognized approximately $30.5 million of revenue from our Radio Broadcasting segment during the three months ended March 31, 2026, compare</w:t>
      </w:r>
      <w:r>
        <w:rPr>
          <w:rFonts w:ascii="Times New Roman;serif" w:hAnsi="Times New Roman;serif"/>
          <w:b w:val="false"/>
          <w:color w:val="000000"/>
          <w:sz w:val="20"/>
          <w:shd w:fill="FFFFFF" w:val="clear"/>
        </w:rPr>
        <w:t xml:space="preserve">d to approximately </w:t>
      </w:r>
      <w:r>
        <w:rPr>
          <w:rFonts w:ascii="Times New Roman;serif" w:hAnsi="Times New Roman;serif"/>
          <w:b w:val="false"/>
          <w:color w:val="000000"/>
          <w:sz w:val="20"/>
        </w:rPr>
        <w:t>$32.6 million</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a</w:t>
      </w:r>
      <w:r>
        <w:rPr>
          <w:color w:val="000000"/>
        </w:rPr>
        <w:t xml:space="preserve"> </w:t>
      </w:r>
      <w:r>
        <w:rPr>
          <w:rFonts w:ascii="Times New Roman;serif" w:hAnsi="Times New Roman;serif"/>
          <w:b w:val="false"/>
          <w:color w:val="000000"/>
          <w:sz w:val="20"/>
        </w:rPr>
        <w:t>decrease o</w:t>
      </w:r>
      <w:r>
        <w:rPr>
          <w:rFonts w:ascii="Times New Roman;serif" w:hAnsi="Times New Roman;serif"/>
          <w:b w:val="false"/>
          <w:color w:val="000000"/>
          <w:sz w:val="20"/>
          <w:shd w:fill="FFFFFF" w:val="clear"/>
        </w:rPr>
        <w:t>f approximate</w:t>
      </w:r>
      <w:r>
        <w:rPr>
          <w:rFonts w:ascii="Times New Roman;serif" w:hAnsi="Times New Roman;serif"/>
          <w:b w:val="false"/>
          <w:color w:val="000000"/>
          <w:sz w:val="20"/>
        </w:rPr>
        <w:t>ly $2.1 million. This decrease was primarily driven by weaker overall market demand from the national and local advertisers. We recognized approximately $4.9 million of revenue from our Reach Media segment during the three months ended March 31, 2026, compared to approxima</w:t>
      </w:r>
      <w:r>
        <w:rPr>
          <w:rFonts w:ascii="Times New Roman;serif" w:hAnsi="Times New Roman;serif"/>
          <w:b w:val="false"/>
          <w:color w:val="000000"/>
          <w:sz w:val="20"/>
          <w:shd w:fill="FFFFFF" w:val="clear"/>
        </w:rPr>
        <w:t xml:space="preserve">tely </w:t>
      </w:r>
      <w:r>
        <w:rPr>
          <w:rFonts w:ascii="Times New Roman;serif" w:hAnsi="Times New Roman;serif"/>
          <w:b w:val="false"/>
          <w:color w:val="000000"/>
          <w:sz w:val="20"/>
        </w:rPr>
        <w:t>$5.9 million</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a decrease of approximately</w:t>
      </w:r>
      <w:r>
        <w:rPr>
          <w:color w:val="000000"/>
        </w:rPr>
        <w:t xml:space="preserve">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This decrease was primarily driven by a decrease in national sales. </w:t>
      </w:r>
      <w:r>
        <w:rPr>
          <w:rFonts w:ascii="Times New Roman;serif" w:hAnsi="Times New Roman;serif"/>
          <w:b w:val="false"/>
          <w:color w:val="000000"/>
          <w:sz w:val="20"/>
          <w:shd w:fill="FFFFFF" w:val="clear"/>
        </w:rPr>
        <w:t>W</w:t>
      </w:r>
      <w:r>
        <w:rPr>
          <w:rFonts w:ascii="Times New Roman;serif" w:hAnsi="Times New Roman;serif"/>
          <w:b w:val="false"/>
          <w:color w:val="000000"/>
          <w:sz w:val="20"/>
        </w:rPr>
        <w:t xml:space="preserve">e recognized approximately $6.8 million of revenue from our Digital segment during the three months ended March 31, 2026, compared to approximately $10.2 million during the three months ended March 31, 2025, a decrease of approximately $3.4 million. </w:t>
      </w:r>
      <w:r>
        <w:rPr>
          <w:rFonts w:ascii="Times New Roman;serif" w:hAnsi="Times New Roman;serif"/>
          <w:b w:val="false"/>
          <w:color w:val="000000"/>
          <w:sz w:val="20"/>
          <w:shd w:fill="FFFFFF" w:val="clear"/>
        </w:rPr>
        <w:t>The decrease was primarily driven by the decrease in direct revenue streams revenue</w:t>
      </w:r>
      <w:r>
        <w:rPr>
          <w:rFonts w:ascii="Times New Roman;serif" w:hAnsi="Times New Roman;serif"/>
          <w:b w:val="false"/>
          <w:color w:val="000000"/>
          <w:sz w:val="20"/>
        </w:rPr>
        <w:t xml:space="preserve">, reflecting reduced advertising spend from diversity, equity and inclusion-focused campaigns. </w:t>
      </w:r>
      <w:r>
        <w:rPr>
          <w:rFonts w:ascii="Times New Roman;serif" w:hAnsi="Times New Roman;serif"/>
          <w:b w:val="false"/>
          <w:color w:val="000000"/>
          <w:sz w:val="20"/>
          <w:shd w:fill="FFFFFF" w:val="clear"/>
        </w:rPr>
        <w:t xml:space="preserve">We recognized approximately </w:t>
      </w:r>
      <w:r>
        <w:rPr>
          <w:rFonts w:ascii="Times New Roman;serif" w:hAnsi="Times New Roman;serif"/>
          <w:b w:val="false"/>
          <w:color w:val="000000"/>
          <w:sz w:val="20"/>
        </w:rPr>
        <w:t>$36.0 million of</w:t>
      </w:r>
      <w:r>
        <w:rPr>
          <w:color w:val="000000"/>
          <w:shd w:fill="FFFFFF" w:val="clear"/>
        </w:rPr>
        <w:t xml:space="preserve"> </w:t>
      </w:r>
      <w:r>
        <w:rPr>
          <w:rFonts w:ascii="Times New Roman;serif" w:hAnsi="Times New Roman;serif"/>
          <w:b w:val="false"/>
          <w:color w:val="000000"/>
          <w:sz w:val="20"/>
          <w:shd w:fill="FFFFFF" w:val="clear"/>
        </w:rPr>
        <w:t>revenue from our Cable Television segment during the three months ended</w:t>
      </w:r>
      <w:r>
        <w:rPr>
          <w:color w:val="000000"/>
        </w:rPr>
        <w:t xml:space="preserve"> </w:t>
      </w:r>
      <w:r>
        <w:rPr>
          <w:rFonts w:ascii="Times New Roman;serif" w:hAnsi="Times New Roman;serif"/>
          <w:b w:val="false"/>
          <w:color w:val="000000"/>
          <w:sz w:val="20"/>
        </w:rPr>
        <w:t xml:space="preserve">March 31, 2026, compared to approximately $44.2 million during the three months ended March 31, 2025, a decrease of approximately $8.2 million. The decrease was </w:t>
      </w:r>
      <w:r>
        <w:rPr>
          <w:rFonts w:ascii="Times New Roman;serif" w:hAnsi="Times New Roman;serif"/>
          <w:b w:val="false"/>
          <w:color w:val="000000"/>
          <w:sz w:val="20"/>
          <w:shd w:fill="FFFFFF" w:val="clear"/>
        </w:rPr>
        <w:t>primarily driven by the churn of subscribers and lower advertising sales.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charts indicate the sources of our net revenues for the three months and year ended March 31, 2026:</w:t>
      </w:r>
    </w:p>
    <w:tbl>
      <w:tblPr>
        <w:tblW w:w="7539" w:type="dxa"/>
        <w:jc w:val="left"/>
        <w:tblInd w:w="0" w:type="dxa"/>
        <w:tblLayout w:type="fixed"/>
        <w:tblCellMar>
          <w:top w:w="28" w:type="dxa"/>
          <w:left w:w="28" w:type="dxa"/>
          <w:bottom w:w="28" w:type="dxa"/>
          <w:right w:w="28" w:type="dxa"/>
        </w:tblCellMar>
      </w:tblPr>
      <w:tblGrid>
        <w:gridCol w:w="922"/>
        <w:gridCol w:w="813"/>
        <w:gridCol w:w="814"/>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68"/>
        <w:gridCol w:w="268"/>
        <w:gridCol w:w="38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7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*NM - Not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11" name="Frame1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8 -- URBAN ONE, INC. REPORTS FIRST QUARTER 2026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Operating expenses, excluding depreciation and amortization, stock-based compensation, and impairment of goodwill and intangible assets, were</w:t>
      </w:r>
      <w:r>
        <w:rPr>
          <w:color w:val="000000"/>
        </w:rPr>
        <w:t xml:space="preserve"> </w:t>
      </w:r>
      <w:r>
        <w:rPr>
          <w:rFonts w:ascii="Times New Roman;serif" w:hAnsi="Times New Roman;serif"/>
          <w:b w:val="false"/>
          <w:color w:val="000000"/>
          <w:sz w:val="20"/>
        </w:rPr>
        <w:t>approximately $73.5 million for the three months ended March 31,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compared to approximately $80.7 million for the comparable period in 2025.</w:t>
      </w:r>
      <w:r>
        <w:rPr>
          <w:color w:val="000000"/>
          <w:shd w:fill="FFFFFF" w:val="clear"/>
        </w:rPr>
        <w:t xml:space="preserve"> </w:t>
      </w:r>
      <w:r>
        <w:rPr>
          <w:rFonts w:ascii="Times New Roman;serif" w:hAnsi="Times New Roman;serif"/>
          <w:b w:val="false"/>
          <w:color w:val="000000"/>
          <w:sz w:val="20"/>
          <w:shd w:fill="FFFFFF" w:val="clear"/>
        </w:rPr>
        <w:t xml:space="preserve">Operating expenses were down by approximately </w:t>
      </w:r>
      <w:r>
        <w:rPr>
          <w:rFonts w:ascii="Times New Roman;serif" w:hAnsi="Times New Roman;serif"/>
          <w:b w:val="false"/>
          <w:color w:val="000000"/>
          <w:sz w:val="20"/>
        </w:rPr>
        <w:t>8.9%</w:t>
      </w:r>
      <w:r>
        <w:rPr>
          <w:rFonts w:ascii="Times New Roman;serif" w:hAnsi="Times New Roman;serif"/>
          <w:b w:val="false"/>
          <w:color w:val="000000"/>
          <w:sz w:val="20"/>
          <w:shd w:fill="FFFFFF" w:val="clear"/>
        </w:rPr>
        <w:t>, driven mainly by revenue-related variable expenses such as programming, media monitoring, traffic acquisition costs, commissions, sales rep fees, as well as headcount related costs and third-party professional fees.</w:t>
      </w:r>
    </w:p>
    <w:p>
      <w:pPr>
        <w:pStyle w:val="TextBody"/>
        <w:bidi w:val="0"/>
        <w:spacing w:lineRule="auto" w:line="288" w:before="140" w:after="283"/>
        <w:ind w:left="0" w:right="0" w:firstLine="360"/>
        <w:jc w:val="both"/>
        <w:rPr/>
      </w:pPr>
      <w:r>
        <w:rPr>
          <w:rFonts w:ascii="Times New Roman;serif" w:hAnsi="Times New Roman;serif"/>
          <w:b w:val="false"/>
          <w:color w:val="000000"/>
          <w:sz w:val="20"/>
        </w:rPr>
        <w:t xml:space="preserve">Depreciation and amortization expense was approximately $6.2 million for the three months ended March 31, 2026, </w:t>
      </w:r>
      <w:bookmarkStart w:id="1" w:name="i76b6ad11b58b4eb5941da0acaedbecce_4056"/>
      <w:bookmarkEnd w:id="1"/>
      <w:r>
        <w:rPr>
          <w:rFonts w:ascii="Times New Roman;serif" w:hAnsi="Times New Roman;serif"/>
          <w:b w:val="false"/>
          <w:color w:val="000000"/>
          <w:sz w:val="20"/>
        </w:rPr>
        <w:t xml:space="preserve">compared to approximately $2.3 million for the three months ended March 31, 2025, an increase of approximately </w:t>
      </w:r>
      <w:r>
        <w:rPr>
          <w:rFonts w:ascii="Times New Roman;serif" w:hAnsi="Times New Roman;serif"/>
          <w:b w:val="false"/>
          <w:color w:val="000000"/>
          <w:sz w:val="20"/>
          <w:shd w:fill="FFFFFF" w:val="clear"/>
        </w:rPr>
        <w:t>$3.9 million. This increas</w:t>
      </w:r>
      <w:r>
        <w:rPr>
          <w:rFonts w:ascii="Times New Roman;serif" w:hAnsi="Times New Roman;serif"/>
          <w:b w:val="false"/>
          <w:color w:val="000000"/>
          <w:sz w:val="20"/>
        </w:rPr>
        <w:t xml:space="preserve">e is primarily driven by the Radio Broadcasting licenses amortization, which the Company started to amortize in the second quarter of 2025. </w:t>
      </w:r>
    </w:p>
    <w:p>
      <w:pPr>
        <w:pStyle w:val="TextBody"/>
        <w:bidi w:val="0"/>
        <w:spacing w:lineRule="auto" w:line="288" w:before="140" w:after="283"/>
        <w:ind w:left="0" w:right="0" w:firstLine="360"/>
        <w:jc w:val="both"/>
        <w:rPr/>
      </w:pPr>
      <w:r>
        <w:rPr>
          <w:rFonts w:ascii="Times New Roman;serif" w:hAnsi="Times New Roman;serif"/>
          <w:b w:val="false"/>
          <w:color w:val="000000"/>
          <w:sz w:val="20"/>
        </w:rPr>
        <w:t>Inte</w:t>
      </w:r>
      <w:r>
        <w:rPr>
          <w:rFonts w:ascii="Times New Roman;serif" w:hAnsi="Times New Roman;serif"/>
          <w:b w:val="false"/>
          <w:color w:val="000000"/>
          <w:sz w:val="20"/>
          <w:shd w:fill="FFFFFF" w:val="clear"/>
        </w:rPr>
        <w:t>rest expense was appr</w:t>
      </w:r>
      <w:r>
        <w:rPr>
          <w:rFonts w:ascii="Times New Roman;serif" w:hAnsi="Times New Roman;serif"/>
          <w:b w:val="false"/>
          <w:color w:val="000000"/>
          <w:sz w:val="20"/>
        </w:rPr>
        <w:t xml:space="preserve">oximately $4.4 million for </w:t>
      </w:r>
      <w:r>
        <w:rPr>
          <w:rFonts w:ascii="Times New Roman;serif" w:hAnsi="Times New Roman;serif"/>
          <w:b w:val="false"/>
          <w:color w:val="000000"/>
          <w:sz w:val="20"/>
          <w:shd w:fill="FFFFFF" w:val="clear"/>
        </w:rPr>
        <w:t xml:space="preserve">the three 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compared to approximately $10.9 million 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a decrease of approximately $6.5 million. </w:t>
      </w:r>
      <w:r>
        <w:rPr>
          <w:rFonts w:ascii="Times New Roman;serif" w:hAnsi="Times New Roman;serif"/>
          <w:b w:val="false"/>
          <w:color w:val="000000"/>
          <w:sz w:val="20"/>
        </w:rPr>
        <w:t xml:space="preserve">This decrease was due to lower overall debt balances outstanding and lower effective interest rates. The Company recognizes interest expense using an effective interest rate of approximately 5.30% on the 2030 First Lien Notes, 1.63% on the 2031 Second Lien Notes and 7.71% on the 2028 Notes for the </w:t>
      </w:r>
      <w:r>
        <w:rPr>
          <w:rFonts w:ascii="Times New Roman;serif" w:hAnsi="Times New Roman;serif"/>
          <w:b w:val="false"/>
          <w:color w:val="000000"/>
          <w:sz w:val="20"/>
          <w:shd w:fill="FFFFFF" w:val="clear"/>
        </w:rPr>
        <w:t>three months ended March 31, 2026</w:t>
      </w:r>
      <w:r>
        <w:rPr>
          <w:rFonts w:ascii="Times New Roman;serif" w:hAnsi="Times New Roman;serif"/>
          <w:b w:val="false"/>
          <w:color w:val="000000"/>
          <w:sz w:val="20"/>
        </w:rPr>
        <w:t xml:space="preserve">. The effective interest rates on the 2030 First Lien Notes and 2031 Second Lien Notes differ from the contractual interest payment primarily as a result of the accounting for these debt instruments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w:t>
      </w:r>
    </w:p>
    <w:p>
      <w:pPr>
        <w:pStyle w:val="TextBody"/>
        <w:bidi w:val="0"/>
        <w:spacing w:lineRule="auto" w:line="288" w:before="140" w:after="283"/>
        <w:ind w:left="0" w:right="0" w:firstLine="360"/>
        <w:jc w:val="both"/>
        <w:rPr/>
      </w:pPr>
      <w:r>
        <w:rPr>
          <w:rFonts w:ascii="Times New Roman;serif" w:hAnsi="Times New Roman;serif"/>
          <w:b w:val="false"/>
          <w:color w:val="000000"/>
          <w:sz w:val="20"/>
          <w:shd w:fill="FFFFFF" w:val="clear"/>
        </w:rPr>
        <w:t xml:space="preserve">There was an approximately $2.1 million gain on retirement of debt for the three months ended March 31, 2026, compared to approximately $11.6 million for the three months ended March 31, 2025. </w:t>
      </w:r>
      <w:r>
        <w:rPr>
          <w:rFonts w:ascii="Times New Roman;serif" w:hAnsi="Times New Roman;serif"/>
          <w:b w:val="false"/>
          <w:color w:val="000000"/>
          <w:sz w:val="20"/>
        </w:rPr>
        <w:t>During the three months ended March 31, 2026, the Company repurchased approximately $4.3 million of its 2028 Notes at an average price of approximately 51.0% of par, resulting in a net gain on retirement of debt of approximately $2.1 million. During the three months March 31, 2025, the Company repurchased approximately $28.2 million of its 2028 Notes at an average price of approximately 58.0% of par, resulting in a net gain on retirement of debt of approximately $11.6 million.</w:t>
      </w:r>
    </w:p>
    <w:p>
      <w:pPr>
        <w:pStyle w:val="TextBody"/>
        <w:bidi w:val="0"/>
        <w:spacing w:lineRule="auto" w:line="288" w:before="140" w:after="283"/>
        <w:ind w:left="0" w:right="0" w:firstLine="360"/>
        <w:jc w:val="both"/>
        <w:rPr/>
      </w:pPr>
      <w:r>
        <w:rPr>
          <w:rFonts w:ascii="Times New Roman;serif" w:hAnsi="Times New Roman;serif"/>
          <w:b w:val="false"/>
          <w:color w:val="000000"/>
          <w:sz w:val="20"/>
        </w:rPr>
        <w:t>For the three months ended March 31, 2026, we recorded a benefit from income taxes of approximately $1.4 million on the pre-tax loss of approximately $4.5 million resulting with an annual effective tax rate of 31.7%. For the three months ended March 31, 2025, we recorded a provision for income taxes of approximately $15.7 million on pre-tax income of approximately $3.9 million resulting with an annual effective tax rate of 399.5%</w:t>
      </w:r>
      <w:r>
        <w:rPr>
          <w:rFonts w:ascii="Times New Roman;serif" w:hAnsi="Times New Roman;serif"/>
          <w:b w:val="false"/>
          <w:color w:val="000000"/>
          <w:sz w:val="20"/>
          <w:shd w:fill="FFFFFF" w:val="clear"/>
        </w:rPr>
        <w:t xml:space="preserve">, which includes </w:t>
      </w:r>
      <w:r>
        <w:rPr>
          <w:rFonts w:ascii="Times New Roman;serif" w:hAnsi="Times New Roman;serif"/>
          <w:b w:val="false"/>
          <w:color w:val="000000"/>
          <w:sz w:val="20"/>
        </w:rPr>
        <w:t>$14.6 million</w:t>
      </w:r>
      <w:r>
        <w:rPr>
          <w:color w:val="000000"/>
          <w:shd w:fill="FFFFFF" w:val="clear"/>
        </w:rPr>
        <w:t xml:space="preserve"> </w:t>
      </w:r>
      <w:r>
        <w:rPr>
          <w:rFonts w:ascii="Times New Roman;serif" w:hAnsi="Times New Roman;serif"/>
          <w:b w:val="false"/>
          <w:color w:val="000000"/>
          <w:sz w:val="20"/>
          <w:shd w:fill="FFFFFF" w:val="clear"/>
        </w:rPr>
        <w:t xml:space="preserve">of discrete tax expense related to valuation allowance for net operating losses, and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of discrete tax expense related to stock-based compensation.</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Other pertinent financial information includes capital expenditures of approximately $3.4 million and $2.5 million for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The increase in capital expenditure is driven by the build-out of a studio in the Indianapolis radio market.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comparative purposes, the following more detailed statements of operations for the three months March 31, 2026 are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2260"/>
                <wp:effectExtent l="0" t="0" r="0" b="0"/>
                <wp:wrapNone/>
                <wp:docPr id="12" name="Frame1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76" w:before="240" w:after="283"/>
        <w:jc w:val="both"/>
        <w:rPr>
          <w:rFonts w:ascii="Times New Roman;serif" w:hAnsi="Times New Roman;serif"/>
          <w:b/>
          <w:color w:val="000000"/>
          <w:sz w:val="24"/>
        </w:rPr>
      </w:pPr>
      <w:r>
        <w:rPr>
          <w:rFonts w:ascii="Times New Roman;serif" w:hAnsi="Times New Roman;serif"/>
          <w:b/>
          <w:color w:val="000000"/>
          <w:sz w:val="24"/>
        </w:rPr>
        <w:t>PAGE 9 -- URBAN ONE, INC. REPORTS FIRST QUARTER 2026 RESULTS</w:t>
      </w:r>
    </w:p>
    <w:tbl>
      <w:tblPr>
        <w:tblW w:w="10205" w:type="dxa"/>
        <w:jc w:val="left"/>
        <w:tblInd w:w="0" w:type="dxa"/>
        <w:tblLayout w:type="fixed"/>
        <w:tblCellMar>
          <w:top w:w="28" w:type="dxa"/>
          <w:left w:w="28" w:type="dxa"/>
          <w:bottom w:w="28" w:type="dxa"/>
          <w:right w:w="28" w:type="dxa"/>
        </w:tblCellMar>
      </w:tblPr>
      <w:tblGrid>
        <w:gridCol w:w="1339"/>
        <w:gridCol w:w="463"/>
        <w:gridCol w:w="439"/>
        <w:gridCol w:w="516"/>
        <w:gridCol w:w="337"/>
        <w:gridCol w:w="339"/>
        <w:gridCol w:w="109"/>
        <w:gridCol w:w="109"/>
        <w:gridCol w:w="109"/>
        <w:gridCol w:w="524"/>
        <w:gridCol w:w="336"/>
        <w:gridCol w:w="340"/>
        <w:gridCol w:w="109"/>
        <w:gridCol w:w="109"/>
        <w:gridCol w:w="109"/>
        <w:gridCol w:w="273"/>
        <w:gridCol w:w="284"/>
        <w:gridCol w:w="287"/>
        <w:gridCol w:w="109"/>
        <w:gridCol w:w="109"/>
        <w:gridCol w:w="109"/>
        <w:gridCol w:w="324"/>
        <w:gridCol w:w="328"/>
        <w:gridCol w:w="306"/>
        <w:gridCol w:w="109"/>
        <w:gridCol w:w="109"/>
        <w:gridCol w:w="109"/>
        <w:gridCol w:w="406"/>
        <w:gridCol w:w="336"/>
        <w:gridCol w:w="340"/>
        <w:gridCol w:w="109"/>
        <w:gridCol w:w="109"/>
        <w:gridCol w:w="109"/>
        <w:gridCol w:w="211"/>
        <w:gridCol w:w="686"/>
        <w:gridCol w:w="156"/>
      </w:tblGrid>
      <w:tr>
        <w:trPr/>
        <w:tc>
          <w:tcPr>
            <w:tcW w:w="13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Radio</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(8,899)</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(8,399)</w:t>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(8,217)</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20"/>
        <w:jc w:val="both"/>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PAGE 10 -- URBAN ONE, INC. REPORTS FIRST QUARTER 2026 RESULTS</w:t>
      </w:r>
    </w:p>
    <w:tbl>
      <w:tblPr>
        <w:tblW w:w="10205" w:type="dxa"/>
        <w:jc w:val="left"/>
        <w:tblInd w:w="0" w:type="dxa"/>
        <w:tblLayout w:type="fixed"/>
        <w:tblCellMar>
          <w:top w:w="28" w:type="dxa"/>
          <w:left w:w="28" w:type="dxa"/>
          <w:bottom w:w="28" w:type="dxa"/>
          <w:right w:w="28" w:type="dxa"/>
        </w:tblCellMar>
      </w:tblPr>
      <w:tblGrid>
        <w:gridCol w:w="1335"/>
        <w:gridCol w:w="457"/>
        <w:gridCol w:w="433"/>
        <w:gridCol w:w="516"/>
        <w:gridCol w:w="337"/>
        <w:gridCol w:w="339"/>
        <w:gridCol w:w="109"/>
        <w:gridCol w:w="109"/>
        <w:gridCol w:w="109"/>
        <w:gridCol w:w="524"/>
        <w:gridCol w:w="336"/>
        <w:gridCol w:w="340"/>
        <w:gridCol w:w="109"/>
        <w:gridCol w:w="109"/>
        <w:gridCol w:w="109"/>
        <w:gridCol w:w="273"/>
        <w:gridCol w:w="284"/>
        <w:gridCol w:w="287"/>
        <w:gridCol w:w="109"/>
        <w:gridCol w:w="109"/>
        <w:gridCol w:w="109"/>
        <w:gridCol w:w="296"/>
        <w:gridCol w:w="335"/>
        <w:gridCol w:w="341"/>
        <w:gridCol w:w="109"/>
        <w:gridCol w:w="109"/>
        <w:gridCol w:w="109"/>
        <w:gridCol w:w="407"/>
        <w:gridCol w:w="336"/>
        <w:gridCol w:w="340"/>
        <w:gridCol w:w="109"/>
        <w:gridCol w:w="109"/>
        <w:gridCol w:w="109"/>
        <w:gridCol w:w="211"/>
        <w:gridCol w:w="686"/>
        <w:gridCol w:w="157"/>
      </w:tblGrid>
      <w:tr>
        <w:trPr/>
        <w:tc>
          <w:tcPr>
            <w:tcW w:w="133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Radio</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Digital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 xml:space="preserve">Television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8,893</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(loss) </w:t>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benefit from income taxes</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13,709 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(8,090)</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2260"/>
                <wp:effectExtent l="0" t="0" r="0" b="0"/>
                <wp:wrapNone/>
                <wp:docPr id="14" name="Frame1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PAGE 11 -- URBAN ONE, INC. REPORTS FIRST QUARTER 2026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Urban One, Inc. will hold a conference call to discuss its results for the first fiscal quarter of 2026. The conference call is scheduled for Thursday </w:t>
      </w:r>
      <w:r>
        <w:rPr>
          <w:rFonts w:ascii="Times New Roman;serif" w:hAnsi="Times New Roman;serif"/>
          <w:b w:val="false"/>
          <w:color w:val="000000"/>
          <w:sz w:val="20"/>
          <w:shd w:fill="FFFFFF" w:val="clear"/>
        </w:rPr>
        <w:t>May 14, 2026</w:t>
      </w:r>
      <w:r>
        <w:rPr>
          <w:color w:val="000000"/>
        </w:rPr>
        <w:t xml:space="preserve"> </w:t>
      </w:r>
      <w:r>
        <w:rPr>
          <w:rFonts w:ascii="Times New Roman;serif" w:hAnsi="Times New Roman;serif"/>
          <w:b w:val="false"/>
          <w:color w:val="000000"/>
          <w:sz w:val="20"/>
        </w:rPr>
        <w:t xml:space="preserve">at 10:00 a.m. EDT. To participate on this call, U.S. callers may dial toll-free (+1) 888-596-4144; international callers may dial direct </w:t>
      </w:r>
      <w:r>
        <w:rPr>
          <w:rFonts w:ascii="Times New Roman;serif" w:hAnsi="Times New Roman;serif"/>
          <w:b w:val="false"/>
          <w:color w:val="000000"/>
          <w:sz w:val="20"/>
          <w:shd w:fill="FFFFFF" w:val="clear"/>
        </w:rPr>
        <w:t>(+1) 646-968-2525</w:t>
      </w:r>
      <w:r>
        <w:rPr>
          <w:rFonts w:ascii="Times New Roman;serif" w:hAnsi="Times New Roman;serif"/>
          <w:b w:val="false"/>
          <w:color w:val="000000"/>
          <w:sz w:val="20"/>
        </w:rPr>
        <w:t xml:space="preserve">. The Access Code is 3438559.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A replay of the conference call will be available from 2:00 p.m. EDT </w:t>
      </w:r>
      <w:r>
        <w:rPr>
          <w:rFonts w:ascii="Times New Roman;serif" w:hAnsi="Times New Roman;serif"/>
          <w:b w:val="false"/>
          <w:color w:val="000000"/>
          <w:sz w:val="20"/>
          <w:shd w:fill="FFFFFF" w:val="clear"/>
        </w:rPr>
        <w:t>May 14, 2026</w:t>
      </w:r>
      <w:r>
        <w:rPr>
          <w:color w:val="000000"/>
        </w:rPr>
        <w:t xml:space="preserve"> </w:t>
      </w:r>
      <w:r>
        <w:rPr>
          <w:rFonts w:ascii="Times New Roman;serif" w:hAnsi="Times New Roman;serif"/>
          <w:b w:val="false"/>
          <w:color w:val="000000"/>
          <w:sz w:val="20"/>
        </w:rPr>
        <w:t>until 11:59 p.m. EDT May 21, 2026. Callers may access the replay by calling (+1) 800-770-2030; international callers may dial direct (+1) 609-800-9909. The replay Access Code is 3438559.</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Access to live audio and a replay of the conference call will also be available on Urban One's corporate website at www.urban1.com. The replay will be made available on the website for seven days after the call.</w:t>
      </w:r>
    </w:p>
    <w:p>
      <w:pPr>
        <w:pStyle w:val="TextBody"/>
        <w:bidi w:val="0"/>
        <w:spacing w:lineRule="auto" w:line="288" w:before="240" w:after="283"/>
        <w:ind w:left="0" w:right="0" w:firstLine="360"/>
        <w:jc w:val="both"/>
        <w:rPr/>
      </w:pPr>
      <w:r>
        <w:rPr>
          <w:rFonts w:ascii="Times New Roman;serif" w:hAnsi="Times New Roman;serif"/>
          <w:b/>
          <w:color w:val="000000"/>
          <w:sz w:val="20"/>
        </w:rPr>
        <w:t>Urban One Inc.</w:t>
      </w:r>
      <w:r>
        <w:rPr>
          <w:color w:val="000000"/>
        </w:rPr>
        <w:t xml:space="preserve"> </w:t>
      </w:r>
      <w:r>
        <w:rPr>
          <w:rFonts w:ascii="Times New Roman;serif" w:hAnsi="Times New Roman;serif"/>
          <w:b w:val="false"/>
          <w:color w:val="000000"/>
          <w:sz w:val="20"/>
        </w:rPr>
        <w:t xml:space="preserve">(urban1.com), together with its subsidiaries, is the largest diversified media company that primarily targets Black Americans and urban consumers in the United States. The Company owns </w:t>
      </w:r>
      <w:r>
        <w:rPr>
          <w:rFonts w:ascii="Times New Roman;serif" w:hAnsi="Times New Roman;serif"/>
          <w:b/>
          <w:color w:val="000000"/>
          <w:sz w:val="20"/>
        </w:rPr>
        <w:t>TV One, LLC</w:t>
      </w:r>
      <w:r>
        <w:rPr>
          <w:color w:val="000000"/>
        </w:rPr>
        <w:t xml:space="preserve"> </w:t>
      </w:r>
      <w:r>
        <w:rPr>
          <w:rFonts w:ascii="Times New Roman;serif" w:hAnsi="Times New Roman;serif"/>
          <w:b w:val="false"/>
          <w:color w:val="000000"/>
          <w:sz w:val="20"/>
        </w:rPr>
        <w:t xml:space="preserve">(tvone.tv), a television network serving more than 30 million households, offering a broad range of original programming, classic series and movies designed to entertain, inform, and inspire a diverse audience of adult Black viewers. As of March 31, 2026, the Company owned and/or operated 75 independently formatted, revenue producing broadcast stations (including 58 FM or AM stations, 15 HD stations, and the 2 low power television stations the Company operates), located in 13 of the most populous African-American markets in the United States. Through </w:t>
      </w:r>
      <w:r>
        <w:rPr>
          <w:rFonts w:ascii="Times New Roman;serif" w:hAnsi="Times New Roman;serif"/>
          <w:b/>
          <w:color w:val="000000"/>
          <w:sz w:val="20"/>
        </w:rPr>
        <w:t>Reach Media, Inc.</w:t>
      </w:r>
      <w:r>
        <w:rPr>
          <w:color w:val="000000"/>
        </w:rPr>
        <w:t xml:space="preserve"> </w:t>
      </w:r>
      <w:r>
        <w:rPr>
          <w:rFonts w:ascii="Times New Roman;serif" w:hAnsi="Times New Roman;serif"/>
          <w:b w:val="false"/>
          <w:color w:val="000000"/>
          <w:sz w:val="20"/>
        </w:rPr>
        <w:t xml:space="preserve">(blackamericaweb.com), the Company also operates syndicated programming including the Rickey Smiley Morning Show, and the DL Hughley Show. In addition to its radio and television broadcast assets, Urban One owns </w:t>
      </w:r>
      <w:r>
        <w:rPr>
          <w:rFonts w:ascii="Times New Roman;serif" w:hAnsi="Times New Roman;serif"/>
          <w:b/>
          <w:color w:val="000000"/>
          <w:sz w:val="20"/>
        </w:rPr>
        <w:t>iOne Digital</w:t>
      </w:r>
      <w:r>
        <w:rPr>
          <w:color w:val="000000"/>
        </w:rPr>
        <w:t xml:space="preserve"> </w:t>
      </w:r>
      <w:r>
        <w:rPr>
          <w:rFonts w:ascii="Times New Roman;serif" w:hAnsi="Times New Roman;serif"/>
          <w:b w:val="false"/>
          <w:color w:val="000000"/>
          <w:sz w:val="20"/>
        </w:rPr>
        <w:t>(ionedigital.com), our wholly owned digital platform serving the African American community through social content, news, information, and entertainment websites, including its Cassius, Bossip, HipHopWired and MadameNoire digital platforms and brands. Through our national multi-media operations, we provide advertisers with a unique and powerful delivery mechanism to the African American and urban audiences.</w:t>
      </w:r>
    </w:p>
    <w:p>
      <w:pPr>
        <w:pStyle w:val="TextBody"/>
        <w:bidi w:val="0"/>
        <w:spacing w:lineRule="auto" w:line="276" w:before="180" w:after="283"/>
        <w:jc w:val="both"/>
        <w:rPr>
          <w:rFonts w:ascii="Times New Roman;serif" w:hAnsi="Times New Roman;serif"/>
          <w:b/>
          <w:color w:val="000000"/>
          <w:sz w:val="16"/>
        </w:rPr>
      </w:pPr>
      <w:r>
        <w:rPr>
          <w:rFonts w:ascii="Times New Roman;serif" w:hAnsi="Times New Roman;serif"/>
          <w:b/>
          <w:color w:val="000000"/>
          <w:sz w:val="16"/>
        </w:rPr>
        <w:t>Notes:</w:t>
      </w:r>
    </w:p>
    <w:p>
      <w:pPr>
        <w:pStyle w:val="TextBody"/>
        <w:bidi w:val="0"/>
        <w:spacing w:lineRule="auto" w:line="288" w:before="120" w:after="283"/>
        <w:ind w:left="0" w:right="0" w:hanging="180"/>
        <w:jc w:val="both"/>
        <w:rPr/>
      </w:pPr>
      <w:r>
        <w:rPr>
          <w:rFonts w:ascii="Times New Roman;serif" w:hAnsi="Times New Roman;serif"/>
          <w:b w:val="false"/>
          <w:color w:val="000000"/>
          <w:sz w:val="10"/>
        </w:rPr>
        <w:t>1</w:t>
      </w:r>
      <w:r>
        <w:rPr>
          <w:color w:val="000000"/>
        </w:rPr>
        <w:t>“</w:t>
      </w:r>
      <w:r>
        <w:rPr>
          <w:rFonts w:ascii="Times New Roman;serif" w:hAnsi="Times New Roman;serif"/>
          <w:b w:val="false"/>
          <w:color w:val="000000"/>
          <w:sz w:val="16"/>
        </w:rPr>
        <w:t>Broadcast and digital operating income”: 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pStyle w:val="TextBody"/>
        <w:bidi w:val="0"/>
        <w:spacing w:lineRule="auto" w:line="288" w:before="120" w:after="283"/>
        <w:ind w:left="0" w:right="0" w:hanging="180"/>
        <w:jc w:val="both"/>
        <w:rPr/>
      </w:pPr>
      <w:r>
        <w:rPr>
          <w:rFonts w:ascii="Times New Roman;serif" w:hAnsi="Times New Roman;serif"/>
          <w:b w:val="false"/>
          <w:color w:val="000000"/>
          <w:sz w:val="10"/>
        </w:rPr>
        <w:t>2</w:t>
      </w:r>
      <w:r>
        <w:rPr>
          <w:color w:val="000000"/>
        </w:rPr>
        <w:t>“</w:t>
      </w:r>
      <w:r>
        <w:rPr>
          <w:rFonts w:ascii="Times New Roman;serif" w:hAnsi="Times New Roman;serif"/>
          <w:b w:val="false"/>
          <w:color w:val="000000"/>
          <w:sz w:val="16"/>
        </w:rPr>
        <w:t>Adjusted EBITDA": Adjusted EBITDA consists of net (loss) income plus (1) depreciation and amortization, income taxes, interest expense, net income attributable to non-controlling interests, impairment of goodwill and intangible assets, stock-based compensation, (gain) loss on retirement of debt, employment agreement award and other compensation, corporate costs, non-recurring litigation settlement costs, non-recurring debt refinancing costs, severance-related costs, investment income, loss from unconsolidated joint venture, loss from ceased non-core business initiatives less (2) 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pStyle w:val="TextBody"/>
        <w:bidi w:val="0"/>
        <w:spacing w:lineRule="auto" w:line="288" w:before="120" w:after="283"/>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 xml:space="preserve">For the three months ended March 31, 2026 and 2025, Urban One had 4,449,258 and 4,442,165 shares of common stock outstanding on a weighted average basis (basic), respectively. </w:t>
      </w:r>
    </w:p>
    <w:p>
      <w:pPr>
        <w:pStyle w:val="TextBody"/>
        <w:bidi w:val="0"/>
        <w:spacing w:lineRule="auto" w:line="288" w:before="120" w:after="283"/>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 xml:space="preserve">For the three months ended March 31, 2026 and 2025, Urban One had 4,449,258 and 4,442,165 shares of common stock outstanding on a weighted average basis (fully diluted for outstanding stock awards), respectively.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5374</Words>
  <Characters>29972</Characters>
  <CharactersWithSpaces>34650</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