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771525</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797560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0-25969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88265</wp:posOffset>
            </wp:positionV>
            <wp:extent cx="1680210"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URBAN ONE, INC.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60" w:type="dxa"/>
            <w:vAlign w:val="bottom"/>
            <w:gridSpan w:val="3"/>
          </w:tcPr>
          <w:p>
            <w:pPr>
              <w:jc w:val="center"/>
              <w:ind w:left="179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tcPr>
          <w:p>
            <w:pPr>
              <w:jc w:val="center"/>
              <w:ind w:right="1456"/>
              <w:spacing w:after="0"/>
              <w:rPr>
                <w:sz w:val="20"/>
                <w:szCs w:val="20"/>
                <w:color w:val="auto"/>
              </w:rPr>
            </w:pPr>
            <w:r>
              <w:rPr>
                <w:rFonts w:ascii="Times New Roman" w:cs="Times New Roman" w:eastAsia="Times New Roman" w:hAnsi="Times New Roman"/>
                <w:sz w:val="14"/>
                <w:szCs w:val="14"/>
                <w:b w:val="1"/>
                <w:bCs w:val="1"/>
                <w:color w:val="auto"/>
              </w:rPr>
              <w:t>52-1166660</w:t>
            </w:r>
          </w:p>
        </w:tc>
      </w:tr>
      <w:tr>
        <w:trPr>
          <w:trHeight w:val="280"/>
        </w:trPr>
        <w:tc>
          <w:tcPr>
            <w:tcW w:w="4260" w:type="dxa"/>
            <w:vAlign w:val="bottom"/>
            <w:gridSpan w:val="3"/>
          </w:tcPr>
          <w:p>
            <w:pPr>
              <w:jc w:val="center"/>
              <w:ind w:left="179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jc w:val="center"/>
              <w:ind w:right="1476"/>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70"/>
        </w:trPr>
        <w:tc>
          <w:tcPr>
            <w:tcW w:w="4260" w:type="dxa"/>
            <w:vAlign w:val="bottom"/>
            <w:gridSpan w:val="3"/>
          </w:tcPr>
          <w:p>
            <w:pPr>
              <w:jc w:val="center"/>
              <w:ind w:left="1797"/>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0" w:type="dxa"/>
            <w:vAlign w:val="bottom"/>
          </w:tcPr>
          <w:p>
            <w:pPr>
              <w:jc w:val="center"/>
              <w:ind w:right="1456"/>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35"/>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1010 Wayne Avenue,</w:t>
            </w:r>
          </w:p>
        </w:tc>
        <w:tc>
          <w:tcPr>
            <w:tcW w:w="3600" w:type="dxa"/>
            <w:vAlign w:val="bottom"/>
          </w:tcPr>
          <w:p>
            <w:pPr>
              <w:spacing w:after="0"/>
              <w:rPr>
                <w:sz w:val="24"/>
                <w:szCs w:val="24"/>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8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14th Floor</w:t>
            </w:r>
          </w:p>
        </w:tc>
        <w:tc>
          <w:tcPr>
            <w:tcW w:w="3600" w:type="dxa"/>
            <w:vAlign w:val="bottom"/>
          </w:tcPr>
          <w:p>
            <w:pPr>
              <w:spacing w:after="0"/>
              <w:rPr>
                <w:sz w:val="17"/>
                <w:szCs w:val="17"/>
                <w:color w:val="auto"/>
              </w:rPr>
            </w:pPr>
          </w:p>
        </w:tc>
      </w:tr>
      <w:tr>
        <w:trPr>
          <w:trHeight w:val="189"/>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Silver Spring, Maryland 20910</w:t>
            </w:r>
          </w:p>
        </w:tc>
        <w:tc>
          <w:tcPr>
            <w:tcW w:w="3600" w:type="dxa"/>
            <w:vAlign w:val="bottom"/>
          </w:tcPr>
          <w:p>
            <w:pPr>
              <w:spacing w:after="0"/>
              <w:rPr>
                <w:sz w:val="16"/>
                <w:szCs w:val="16"/>
                <w:color w:val="auto"/>
              </w:rPr>
            </w:pPr>
          </w:p>
        </w:tc>
      </w:tr>
      <w:tr>
        <w:trPr>
          <w:trHeight w:val="212"/>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3600" w:type="dxa"/>
            <w:vAlign w:val="bottom"/>
          </w:tcPr>
          <w:p>
            <w:pPr>
              <w:spacing w:after="0"/>
              <w:rPr>
                <w:sz w:val="18"/>
                <w:szCs w:val="18"/>
                <w:color w:val="auto"/>
              </w:rPr>
            </w:pPr>
          </w:p>
        </w:tc>
      </w:tr>
      <w:tr>
        <w:trPr>
          <w:trHeight w:val="287"/>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(301) 429-3200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7640" w:type="dxa"/>
            <w:vAlign w:val="bottom"/>
            <w:gridSpan w:val="6"/>
          </w:tcPr>
          <w:p>
            <w:pPr>
              <w:jc w:val="center"/>
              <w:ind w:left="351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00" w:type="dxa"/>
            <w:vAlign w:val="bottom"/>
          </w:tcPr>
          <w:p>
            <w:pPr>
              <w:spacing w:after="0"/>
              <w:rPr>
                <w:sz w:val="18"/>
                <w:szCs w:val="18"/>
                <w:color w:val="auto"/>
              </w:rPr>
            </w:pPr>
          </w:p>
        </w:tc>
      </w:tr>
      <w:tr>
        <w:trPr>
          <w:trHeight w:val="594"/>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80"/>
        </w:trPr>
        <w:tc>
          <w:tcPr>
            <w:tcW w:w="4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r>
      <w:tr>
        <w:trPr>
          <w:trHeight w:val="237"/>
        </w:trPr>
        <w:tc>
          <w:tcPr>
            <w:tcW w:w="4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Class A Common Stock</w:t>
            </w:r>
          </w:p>
        </w:tc>
        <w:tc>
          <w:tcPr>
            <w:tcW w:w="338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UONE</w:t>
            </w:r>
          </w:p>
        </w:tc>
        <w:tc>
          <w:tcPr>
            <w:tcW w:w="3600" w:type="dxa"/>
            <w:vAlign w:val="bottom"/>
          </w:tcPr>
          <w:p>
            <w:pPr>
              <w:jc w:val="center"/>
              <w:ind w:right="316"/>
              <w:spacing w:after="0"/>
              <w:rPr>
                <w:sz w:val="20"/>
                <w:szCs w:val="20"/>
                <w:color w:val="auto"/>
              </w:rPr>
            </w:pPr>
            <w:r>
              <w:rPr>
                <w:rFonts w:ascii="Times New Roman" w:cs="Times New Roman" w:eastAsia="Times New Roman" w:hAnsi="Times New Roman"/>
                <w:sz w:val="18"/>
                <w:szCs w:val="18"/>
                <w:color w:val="auto"/>
                <w:w w:val="99"/>
              </w:rPr>
              <w:t>NASDAQ Stock Market</w:t>
            </w:r>
          </w:p>
        </w:tc>
      </w:tr>
      <w:tr>
        <w:trPr>
          <w:trHeight w:val="270"/>
        </w:trPr>
        <w:tc>
          <w:tcPr>
            <w:tcW w:w="4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Class D Common Stock</w:t>
            </w:r>
          </w:p>
        </w:tc>
        <w:tc>
          <w:tcPr>
            <w:tcW w:w="338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rPr>
              <w:t>UONEK</w:t>
            </w:r>
          </w:p>
        </w:tc>
        <w:tc>
          <w:tcPr>
            <w:tcW w:w="3600" w:type="dxa"/>
            <w:vAlign w:val="bottom"/>
          </w:tcPr>
          <w:p>
            <w:pPr>
              <w:jc w:val="center"/>
              <w:ind w:right="316"/>
              <w:spacing w:after="0"/>
              <w:rPr>
                <w:sz w:val="20"/>
                <w:szCs w:val="20"/>
                <w:color w:val="auto"/>
              </w:rPr>
            </w:pPr>
            <w:r>
              <w:rPr>
                <w:rFonts w:ascii="Times New Roman" w:cs="Times New Roman" w:eastAsia="Times New Roman" w:hAnsi="Times New Roman"/>
                <w:sz w:val="18"/>
                <w:szCs w:val="18"/>
                <w:color w:val="auto"/>
                <w:w w:val="99"/>
              </w:rPr>
              <w:t>NASDAQ Stock Market</w:t>
            </w:r>
          </w:p>
        </w:tc>
      </w:tr>
    </w:tbl>
    <w:p>
      <w:pPr>
        <w:spacing w:after="0" w:line="200" w:lineRule="exact"/>
        <w:rPr>
          <w:sz w:val="24"/>
          <w:szCs w:val="24"/>
          <w:color w:val="auto"/>
        </w:rPr>
      </w:pPr>
    </w:p>
    <w:p>
      <w:pPr>
        <w:spacing w:after="0" w:line="24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6"/>
          <w:szCs w:val="16"/>
          <w:b w:val="1"/>
          <w:bCs w:val="1"/>
          <w:color w:val="auto"/>
        </w:rPr>
        <w:t>o</w:t>
      </w:r>
    </w:p>
    <w:p>
      <w:pPr>
        <w:spacing w:after="0" w:line="6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6"/>
          <w:szCs w:val="16"/>
          <w:b w:val="1"/>
          <w:bCs w:val="1"/>
          <w:color w:val="auto"/>
        </w:rPr>
        <w:t>o</w:t>
      </w:r>
    </w:p>
    <w:p>
      <w:pPr>
        <w:spacing w:after="0" w:line="6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10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20" w:type="dxa"/>
            <w:vAlign w:val="bottom"/>
          </w:tcPr>
          <w:p>
            <w:pPr>
              <w:ind w:left="260"/>
              <w:spacing w:after="0"/>
              <w:rPr>
                <w:sz w:val="20"/>
                <w:szCs w:val="20"/>
                <w:color w:val="auto"/>
              </w:rPr>
            </w:pPr>
            <w:r>
              <w:rPr>
                <w:rFonts w:ascii="Wingdings" w:cs="Wingdings" w:eastAsia="Wingdings" w:hAnsi="Wingdings"/>
                <w:sz w:val="16"/>
                <w:szCs w:val="16"/>
                <w:b w:val="1"/>
                <w:bCs w:val="1"/>
                <w:color w:val="auto"/>
              </w:rPr>
              <w:t>o</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r>
        <w:trPr>
          <w:trHeight w:val="26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tcPr>
          <w:p>
            <w:pPr>
              <w:ind w:left="260"/>
              <w:spacing w:after="0"/>
              <w:rPr>
                <w:sz w:val="20"/>
                <w:szCs w:val="20"/>
                <w:color w:val="auto"/>
              </w:rPr>
            </w:pPr>
            <w:r>
              <w:rPr>
                <w:rFonts w:ascii="Wingdings" w:cs="Wingdings" w:eastAsia="Wingdings" w:hAnsi="Wingdings"/>
                <w:sz w:val="16"/>
                <w:szCs w:val="16"/>
                <w:b w:val="1"/>
                <w:bCs w:val="1"/>
                <w:color w:val="auto"/>
              </w:rPr>
              <w:t>x</w:t>
            </w: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82"/>
              </w:rPr>
              <w:t>x</w:t>
            </w:r>
          </w:p>
        </w:tc>
      </w:tr>
      <w:tr>
        <w:trPr>
          <w:trHeight w:val="250"/>
        </w:trPr>
        <w:tc>
          <w:tcPr>
            <w:tcW w:w="1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10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4" w:lineRule="exact"/>
        <w:rPr>
          <w:sz w:val="24"/>
          <w:szCs w:val="24"/>
          <w:color w:val="auto"/>
        </w:rPr>
      </w:pPr>
    </w:p>
    <w:p>
      <w:pPr>
        <w:ind w:left="660" w:right="1560"/>
        <w:spacing w:after="0" w:line="402"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5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52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Outstanding at May 8, 2026</w:t>
            </w:r>
          </w:p>
        </w:tc>
        <w:tc>
          <w:tcPr>
            <w:tcW w:w="60" w:type="dxa"/>
            <w:vAlign w:val="bottom"/>
          </w:tcPr>
          <w:p>
            <w:pPr>
              <w:spacing w:after="0"/>
              <w:rPr>
                <w:sz w:val="16"/>
                <w:szCs w:val="16"/>
                <w:color w:val="auto"/>
              </w:rPr>
            </w:pPr>
          </w:p>
        </w:tc>
      </w:tr>
      <w:tr>
        <w:trPr>
          <w:trHeight w:val="37"/>
        </w:trPr>
        <w:tc>
          <w:tcPr>
            <w:tcW w:w="380" w:type="dxa"/>
            <w:vAlign w:val="bottom"/>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38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A Common Stock, $.001 Par Value</w:t>
            </w:r>
          </w:p>
        </w:tc>
        <w:tc>
          <w:tcPr>
            <w:tcW w:w="5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615,000</w:t>
            </w:r>
          </w:p>
        </w:tc>
        <w:tc>
          <w:tcPr>
            <w:tcW w:w="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5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B Common Stock, $.001 Par Value</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286,183</w:t>
            </w:r>
          </w:p>
        </w:tc>
        <w:tc>
          <w:tcPr>
            <w:tcW w:w="6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C Common Stock, $.001 Par Value</w:t>
            </w:r>
          </w:p>
        </w:tc>
        <w:tc>
          <w:tcPr>
            <w:tcW w:w="5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204,501</w:t>
            </w:r>
          </w:p>
        </w:tc>
        <w:tc>
          <w:tcPr>
            <w:tcW w:w="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5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D Common Stock, $.001 Par Value</w:t>
            </w: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3,411,761</w:t>
            </w:r>
          </w:p>
        </w:tc>
        <w:tc>
          <w:tcPr>
            <w:tcW w:w="60" w:type="dxa"/>
            <w:vAlign w:val="bottom"/>
          </w:tcPr>
          <w:p>
            <w:pPr>
              <w:spacing w:after="0"/>
              <w:rPr>
                <w:sz w:val="21"/>
                <w:szCs w:val="21"/>
                <w:color w:val="auto"/>
              </w:rPr>
            </w:pPr>
          </w:p>
        </w:tc>
      </w:tr>
      <w:tr>
        <w:trPr>
          <w:trHeight w:val="243"/>
        </w:trPr>
        <w:tc>
          <w:tcPr>
            <w:tcW w:w="38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3" w:right="339" w:bottom="23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20" w:type="dxa"/>
            <w:vAlign w:val="bottom"/>
            <w:gridSpan w:val="8"/>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8"/>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0" w:type="dxa"/>
            <w:vAlign w:val="bottom"/>
            <w:gridSpan w:val="3"/>
            <w:vMerge w:val="restart"/>
          </w:tcPr>
          <w:p>
            <w:pPr>
              <w:spacing w:after="0"/>
              <w:rPr>
                <w:sz w:val="2"/>
                <w:szCs w:val="2"/>
                <w:color w:val="auto"/>
              </w:rPr>
            </w:pPr>
          </w:p>
        </w:tc>
        <w:tc>
          <w:tcPr>
            <w:tcW w:w="84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w:t>
            </w:r>
          </w:p>
        </w:tc>
        <w:tc>
          <w:tcPr>
            <w:tcW w:w="20" w:type="dxa"/>
            <w:vAlign w:val="bottom"/>
            <w:vMerge w:val="restart"/>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520" w:type="dxa"/>
            <w:vAlign w:val="bottom"/>
            <w:tcBorders>
              <w:bottom w:val="single" w:sz="8" w:color="0000EE"/>
            </w:tcBorders>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420" w:type="dxa"/>
            <w:vAlign w:val="bottom"/>
            <w:tcBorders>
              <w:bottom w:val="single" w:sz="8" w:color="0000EE"/>
            </w:tcBorders>
            <w:gridSpan w:val="1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March 31, 2026 and 2025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 (Unaudited)</w:t>
            </w:r>
          </w:p>
        </w:tc>
        <w:tc>
          <w:tcPr>
            <w:tcW w:w="1240" w:type="dxa"/>
            <w:vAlign w:val="bottom"/>
            <w:gridSpan w:val="3"/>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March 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2026 and 2025 (Unaudited)</w:t>
            </w:r>
          </w:p>
        </w:tc>
        <w:tc>
          <w:tcPr>
            <w:tcW w:w="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3260" w:type="dxa"/>
            <w:vAlign w:val="bottom"/>
            <w:gridSpan w:val="5"/>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080" w:type="dxa"/>
            <w:vAlign w:val="bottom"/>
            <w:gridSpan w:val="2"/>
          </w:tcPr>
          <w:p>
            <w:pPr>
              <w:spacing w:after="0"/>
              <w:rPr>
                <w:sz w:val="21"/>
                <w:szCs w:val="21"/>
                <w:color w:val="auto"/>
              </w:rPr>
            </w:pPr>
          </w:p>
        </w:tc>
        <w:tc>
          <w:tcPr>
            <w:tcW w:w="6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980" w:type="dxa"/>
            <w:vAlign w:val="bottom"/>
            <w:gridSpan w:val="4"/>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1080" w:type="dxa"/>
            <w:vAlign w:val="bottom"/>
            <w:gridSpan w:val="2"/>
          </w:tcPr>
          <w:p>
            <w:pPr>
              <w:spacing w:after="0"/>
              <w:rPr>
                <w:sz w:val="21"/>
                <w:szCs w:val="21"/>
                <w:color w:val="auto"/>
              </w:rPr>
            </w:pPr>
          </w:p>
        </w:tc>
        <w:tc>
          <w:tcPr>
            <w:tcW w:w="43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080" w:type="dxa"/>
            <w:vAlign w:val="bottom"/>
            <w:gridSpan w:val="6"/>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20" w:type="dxa"/>
            <w:vAlign w:val="bottom"/>
            <w:gridSpan w:val="8"/>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0" w:type="dxa"/>
            <w:vAlign w:val="bottom"/>
            <w:gridSpan w:val="3"/>
          </w:tcPr>
          <w:p>
            <w:pPr>
              <w:spacing w:after="0"/>
              <w:rPr>
                <w:sz w:val="19"/>
                <w:szCs w:val="19"/>
                <w:color w:val="auto"/>
              </w:rPr>
            </w:pP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100" w:type="dxa"/>
            <w:vAlign w:val="bottom"/>
            <w:gridSpan w:val="11"/>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200" w:type="dxa"/>
            <w:vAlign w:val="bottom"/>
            <w:gridSpan w:val="3"/>
          </w:tcPr>
          <w:p>
            <w:pPr>
              <w:spacing w:after="0"/>
              <w:rPr>
                <w:sz w:val="21"/>
                <w:szCs w:val="21"/>
                <w:color w:val="auto"/>
              </w:rPr>
            </w:pPr>
          </w:p>
        </w:tc>
        <w:tc>
          <w:tcPr>
            <w:tcW w:w="4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100" w:type="dxa"/>
            <w:vAlign w:val="bottom"/>
            <w:gridSpan w:val="7"/>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200" w:type="dxa"/>
            <w:vAlign w:val="bottom"/>
            <w:gridSpan w:val="3"/>
          </w:tcPr>
          <w:p>
            <w:pPr>
              <w:spacing w:after="0"/>
              <w:rPr>
                <w:sz w:val="21"/>
                <w:szCs w:val="21"/>
                <w:color w:val="auto"/>
              </w:rPr>
            </w:pP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120" w:type="dxa"/>
            <w:vAlign w:val="bottom"/>
            <w:gridSpan w:val="8"/>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0" w:type="dxa"/>
            <w:vAlign w:val="bottom"/>
            <w:gridSpan w:val="3"/>
          </w:tcPr>
          <w:p>
            <w:pPr>
              <w:spacing w:after="0"/>
              <w:rPr>
                <w:sz w:val="21"/>
                <w:szCs w:val="21"/>
                <w:color w:val="auto"/>
              </w:rPr>
            </w:pPr>
          </w:p>
        </w:tc>
        <w:tc>
          <w:tcPr>
            <w:tcW w:w="1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1"/>
                <w:szCs w:val="21"/>
                <w:color w:val="auto"/>
              </w:rPr>
            </w:pPr>
          </w:p>
        </w:tc>
        <w:tc>
          <w:tcPr>
            <w:tcW w:w="6680" w:type="dxa"/>
            <w:vAlign w:val="bottom"/>
            <w:gridSpan w:val="10"/>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0" w:type="dxa"/>
            <w:vAlign w:val="bottom"/>
            <w:gridSpan w:val="3"/>
          </w:tcPr>
          <w:p>
            <w:pPr>
              <w:spacing w:after="0"/>
              <w:rPr>
                <w:sz w:val="21"/>
                <w:szCs w:val="21"/>
                <w:color w:val="auto"/>
              </w:rPr>
            </w:pPr>
          </w:p>
        </w:tc>
        <w:tc>
          <w:tcPr>
            <w:tcW w:w="8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9"/>
          </w:tcPr>
          <w:p>
            <w:pPr>
              <w:ind w:left="38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throughout this report, the terms “Urban One,” the “Company,” “we,” “our” and “us” refer to Urban One, Inc. together with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disclosure and analysis in this quarterly report on Form 10-Q concerning our operations, cash flows, and financial position contain forward-looking statements within the meaning of Section 27A of the Securities Act of 1933, as amended (the "Securities Act"), and Section 21E of the Securities Exchange Act of 1934, as amended. These forward-looking statements do not relay historical facts, but rather reflect our current expectations concerning future operations, results, and events. All statements other than statements of historical fact are “forward-looking statements” including any projections of earnings, revenues or other financial items; any statements of the plans, strategies and objectives of management for future operations; any statements concerning proposed new activities, services or developments; any statements regarding future economic conditions or performance; any statements of belief; and any statements of assumptions underlying any of the foregoing. You can identify some of these forward-looking statements by our use of words such as “anticipates,” “expects,” “intends,” “plans,” “believes,” “seeks,” “likely,” “may,” “estimates” and similar expressions. You can also identify a forward-looking statement in that such statements discuss matters in a way that anticipates operations, results or events that have not already occurred but rather will or may occur in future periods. We cannot guarantee that we will achieve any forward-looking plans, intentions, results, operations, or expectations. Because these statements apply to future events, they are subject to risks and uncertainties, some of which are beyond our control and could cause actual results to differ materially from those forecasted or anticipated in the forward-looking statements. These risks, uncertainties and factors include (in no particular order), but are not limited to:</w:t>
      </w:r>
    </w:p>
    <w:p>
      <w:pPr>
        <w:spacing w:after="0" w:line="187" w:lineRule="exact"/>
        <w:rPr>
          <w:sz w:val="20"/>
          <w:szCs w:val="20"/>
          <w:color w:val="auto"/>
        </w:rPr>
      </w:pPr>
    </w:p>
    <w:p>
      <w:pPr>
        <w:ind w:left="1040" w:hanging="358"/>
        <w:spacing w:after="0" w:line="282"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consumer spending, recession, economic volatility, financial market unpredictability and fluctuations in the United States and other world economies that may affect our business and financial condition, and the business and financial conditions of our advertisers;</w:t>
      </w:r>
    </w:p>
    <w:p>
      <w:pPr>
        <w:spacing w:after="0" w:line="161" w:lineRule="exact"/>
        <w:rPr>
          <w:rFonts w:ascii="Times New Roman" w:cs="Times New Roman" w:eastAsia="Times New Roman" w:hAnsi="Times New Roman"/>
          <w:sz w:val="18"/>
          <w:szCs w:val="18"/>
          <w:color w:val="auto"/>
        </w:rPr>
      </w:pPr>
    </w:p>
    <w:p>
      <w:pPr>
        <w:ind w:left="1040" w:right="20" w:hanging="358"/>
        <w:spacing w:after="0" w:line="282"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leverage, certain cash commitments related thereto, and potential inability to finance strategic transactions, including potential refinance transactions, given fluctuations in market conditions;</w:t>
      </w:r>
    </w:p>
    <w:p>
      <w:pPr>
        <w:spacing w:after="0" w:line="161" w:lineRule="exact"/>
        <w:rPr>
          <w:rFonts w:ascii="Times New Roman" w:cs="Times New Roman" w:eastAsia="Times New Roman" w:hAnsi="Times New Roman"/>
          <w:sz w:val="18"/>
          <w:szCs w:val="18"/>
          <w:color w:val="auto"/>
        </w:rPr>
      </w:pPr>
    </w:p>
    <w:p>
      <w:pPr>
        <w:jc w:val="both"/>
        <w:ind w:left="1040" w:hanging="358"/>
        <w:spacing w:after="0" w:line="266"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local economies of the markets in which we operate (particularly our largest markets, Atlanta; Baltimore; Charlotte; Dallas; Houston; Indianapolis; and Washington, DC) or fluctuations within individual business sectors experiencing a downturn even in the absence of a broader recession could negatively impact our ability to meet our cash needs;</w:t>
      </w:r>
    </w:p>
    <w:p>
      <w:pPr>
        <w:spacing w:after="0" w:line="175" w:lineRule="exact"/>
        <w:rPr>
          <w:rFonts w:ascii="Times New Roman" w:cs="Times New Roman" w:eastAsia="Times New Roman" w:hAnsi="Times New Roman"/>
          <w:sz w:val="18"/>
          <w:szCs w:val="18"/>
          <w:color w:val="auto"/>
        </w:rPr>
      </w:pPr>
    </w:p>
    <w:p>
      <w:pPr>
        <w:ind w:left="1020" w:hanging="338"/>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due to tariffs, inflation, or any changes in music royalty fees;</w:t>
      </w:r>
    </w:p>
    <w:p>
      <w:pPr>
        <w:spacing w:after="0" w:line="225" w:lineRule="exact"/>
        <w:rPr>
          <w:rFonts w:ascii="Times New Roman" w:cs="Times New Roman" w:eastAsia="Times New Roman" w:hAnsi="Times New Roman"/>
          <w:sz w:val="18"/>
          <w:szCs w:val="18"/>
          <w:color w:val="auto"/>
        </w:rPr>
      </w:pPr>
    </w:p>
    <w:p>
      <w:pPr>
        <w:ind w:left="1020" w:hanging="338"/>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implementation and execution of our business diversification strategy, including any strategic initiatives;</w:t>
      </w:r>
    </w:p>
    <w:p>
      <w:pPr>
        <w:spacing w:after="0" w:line="225" w:lineRule="exact"/>
        <w:rPr>
          <w:rFonts w:ascii="Times New Roman" w:cs="Times New Roman" w:eastAsia="Times New Roman" w:hAnsi="Times New Roman"/>
          <w:sz w:val="18"/>
          <w:szCs w:val="18"/>
          <w:color w:val="auto"/>
        </w:rPr>
      </w:pPr>
    </w:p>
    <w:p>
      <w:pPr>
        <w:ind w:left="1020" w:hanging="338"/>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investments or potential investment in gaming or other businesses;</w:t>
      </w:r>
    </w:p>
    <w:p>
      <w:pPr>
        <w:spacing w:after="0" w:line="225" w:lineRule="exact"/>
        <w:rPr>
          <w:rFonts w:ascii="Times New Roman" w:cs="Times New Roman" w:eastAsia="Times New Roman" w:hAnsi="Times New Roman"/>
          <w:sz w:val="18"/>
          <w:szCs w:val="18"/>
          <w:color w:val="auto"/>
        </w:rPr>
      </w:pPr>
    </w:p>
    <w:p>
      <w:pPr>
        <w:ind w:left="1040" w:hanging="358"/>
        <w:spacing w:after="0" w:line="282"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by the Federal Communications Commission (“FCC”) relative to maintaining our broadcasting licenses, enacting media ownership rules, enforcing of indecency rules, and any changes in enforcement priorities;</w:t>
      </w:r>
    </w:p>
    <w:p>
      <w:pPr>
        <w:spacing w:after="0" w:line="161" w:lineRule="exact"/>
        <w:rPr>
          <w:rFonts w:ascii="Times New Roman" w:cs="Times New Roman" w:eastAsia="Times New Roman" w:hAnsi="Times New Roman"/>
          <w:sz w:val="18"/>
          <w:szCs w:val="18"/>
          <w:color w:val="auto"/>
        </w:rPr>
      </w:pPr>
    </w:p>
    <w:p>
      <w:pPr>
        <w:ind w:left="1020" w:hanging="338"/>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key personnel and on-air talent;</w:t>
      </w:r>
    </w:p>
    <w:p>
      <w:pPr>
        <w:spacing w:after="0" w:line="225" w:lineRule="exact"/>
        <w:rPr>
          <w:rFonts w:ascii="Times New Roman" w:cs="Times New Roman" w:eastAsia="Times New Roman" w:hAnsi="Times New Roman"/>
          <w:sz w:val="18"/>
          <w:szCs w:val="18"/>
          <w:color w:val="auto"/>
        </w:rPr>
      </w:pPr>
    </w:p>
    <w:p>
      <w:pPr>
        <w:ind w:left="1040" w:right="20" w:hanging="358"/>
        <w:spacing w:after="0" w:line="282"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competition for and in the costs of our programming and content, including on-air talent and content production or acquisitions availability/costs;</w:t>
      </w:r>
    </w:p>
    <w:p>
      <w:pPr>
        <w:spacing w:after="0" w:line="161" w:lineRule="exact"/>
        <w:rPr>
          <w:rFonts w:ascii="Times New Roman" w:cs="Times New Roman" w:eastAsia="Times New Roman" w:hAnsi="Times New Roman"/>
          <w:sz w:val="18"/>
          <w:szCs w:val="18"/>
          <w:color w:val="auto"/>
        </w:rPr>
      </w:pPr>
    </w:p>
    <w:p>
      <w:pPr>
        <w:ind w:left="1020" w:hanging="338"/>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 that may be incurred due to impairment charges against our broadcasting licenses, goodwill, and other intangible assets;</w:t>
      </w:r>
    </w:p>
    <w:p>
      <w:pPr>
        <w:spacing w:after="0" w:line="225" w:lineRule="exact"/>
        <w:rPr>
          <w:rFonts w:ascii="Times New Roman" w:cs="Times New Roman" w:eastAsia="Times New Roman" w:hAnsi="Times New Roman"/>
          <w:sz w:val="18"/>
          <w:szCs w:val="18"/>
          <w:color w:val="auto"/>
        </w:rPr>
      </w:pPr>
    </w:p>
    <w:p>
      <w:pPr>
        <w:jc w:val="both"/>
        <w:ind w:left="1040" w:hanging="358"/>
        <w:spacing w:after="0" w:line="266" w:lineRule="auto"/>
        <w:tabs>
          <w:tab w:leader="none" w:pos="10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advertising revenues with other radio stations, broadcast and cable television, newspapers and magazines, outdoor advertising, direct mail, internet radio, satellite radio, smart phones, tablets, and other wireless media, the internet, social media, and other forms of advertising;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40" w:hanging="358"/>
        <w:spacing w:after="0" w:line="282"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acquisitions, dispositions, and similar transactions, as well as consolidation in industries in which we and our advertisers operate;</w:t>
      </w:r>
    </w:p>
    <w:p>
      <w:pPr>
        <w:spacing w:after="0" w:line="161" w:lineRule="exact"/>
        <w:rPr>
          <w:rFonts w:ascii="Times New Roman" w:cs="Times New Roman" w:eastAsia="Times New Roman" w:hAnsi="Times New Roman"/>
          <w:sz w:val="18"/>
          <w:szCs w:val="18"/>
          <w:color w:val="auto"/>
        </w:rPr>
      </w:pPr>
    </w:p>
    <w:p>
      <w:pPr>
        <w:ind w:left="1040" w:hanging="358"/>
        <w:spacing w:after="0" w:line="282"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epidemics and pandemics, or extreme weather events and their impact on our business and the businesses of our advertisers, including disruptions and inefficiencies in the supply chain;</w:t>
      </w:r>
    </w:p>
    <w:p>
      <w:pPr>
        <w:spacing w:after="0" w:line="161" w:lineRule="exact"/>
        <w:rPr>
          <w:rFonts w:ascii="Times New Roman" w:cs="Times New Roman" w:eastAsia="Times New Roman" w:hAnsi="Times New Roman"/>
          <w:sz w:val="18"/>
          <w:szCs w:val="18"/>
          <w:color w:val="auto"/>
        </w:rPr>
      </w:pPr>
    </w:p>
    <w:p>
      <w:pPr>
        <w:ind w:left="1040" w:right="20" w:hanging="358"/>
        <w:spacing w:after="0" w:line="282"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and/or changes in laws and regulations, such as the California Consumer Privacy Act or other similar federal or state regulations through legislative action and revised rules and standards;</w:t>
      </w:r>
    </w:p>
    <w:p>
      <w:pPr>
        <w:spacing w:after="0" w:line="161" w:lineRule="exact"/>
        <w:rPr>
          <w:rFonts w:ascii="Times New Roman" w:cs="Times New Roman" w:eastAsia="Times New Roman" w:hAnsi="Times New Roman"/>
          <w:sz w:val="18"/>
          <w:szCs w:val="18"/>
          <w:color w:val="auto"/>
        </w:rPr>
      </w:pPr>
    </w:p>
    <w:p>
      <w:pPr>
        <w:jc w:val="both"/>
        <w:ind w:left="1040" w:hanging="358"/>
        <w:spacing w:after="0" w:line="266"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technology network including computer systems and software, whether by human-caused or other disruptions of our operating systems, structures, or equipment, including as we further develop alternative work arrangements, as well as natural events such as pandemic, severe weather, fires, floods, and earthquakes;</w:t>
      </w:r>
    </w:p>
    <w:p>
      <w:pPr>
        <w:spacing w:after="0" w:line="175" w:lineRule="exact"/>
        <w:rPr>
          <w:rFonts w:ascii="Times New Roman" w:cs="Times New Roman" w:eastAsia="Times New Roman" w:hAnsi="Times New Roman"/>
          <w:sz w:val="18"/>
          <w:szCs w:val="18"/>
          <w:color w:val="auto"/>
        </w:rPr>
      </w:pPr>
    </w:p>
    <w:p>
      <w:pPr>
        <w:ind w:left="1040" w:hanging="358"/>
        <w:spacing w:after="0" w:line="282"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identified in our internal control over financial reporting which, if not remediated, could result in material misstatements in our unaudited condensed consolidated financial statements; and</w:t>
      </w:r>
    </w:p>
    <w:p>
      <w:pPr>
        <w:spacing w:after="0" w:line="161" w:lineRule="exact"/>
        <w:rPr>
          <w:rFonts w:ascii="Times New Roman" w:cs="Times New Roman" w:eastAsia="Times New Roman" w:hAnsi="Times New Roman"/>
          <w:sz w:val="18"/>
          <w:szCs w:val="18"/>
          <w:color w:val="auto"/>
        </w:rPr>
      </w:pPr>
    </w:p>
    <w:p>
      <w:pPr>
        <w:jc w:val="both"/>
        <w:ind w:left="1040" w:hanging="358"/>
        <w:spacing w:after="0" w:line="266" w:lineRule="auto"/>
        <w:tabs>
          <w:tab w:leader="none" w:pos="10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mentioned in our filings with the Securities and Exchange Commission (“SEC”) including the factors discussed in detail in Part I, “Item 1A. Risk Factors” in our Annual Report on Form 10-K for the year ended December 31, 2025 (“Form 10-K”) filed on March 20,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views based only on information currently available to us as of the date of this report. We undertake no obligation to publicly update or revise any forward-looking statements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0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80" w:type="dxa"/>
            <w:vAlign w:val="bottom"/>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50"/>
        </w:trPr>
        <w:tc>
          <w:tcPr>
            <w:tcW w:w="60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580" w:type="dxa"/>
            <w:vAlign w:val="bottom"/>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5"/>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technical, including stock-based compensation of $— and $15</w:t>
            </w: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30,613</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including stock-based compensation of $201</w:t>
            </w:r>
          </w:p>
        </w:tc>
        <w:tc>
          <w:tcPr>
            <w:tcW w:w="1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$662 respectively</w:t>
            </w:r>
          </w:p>
        </w:tc>
        <w:tc>
          <w:tcPr>
            <w:tcW w:w="15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37"/>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w:t>
            </w:r>
          </w:p>
        </w:tc>
      </w:tr>
      <w:tr>
        <w:trPr>
          <w:trHeight w:val="27"/>
        </w:trPr>
        <w:tc>
          <w:tcPr>
            <w:tcW w:w="6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(loss) income</w:t>
            </w: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tc>
        <w:tc>
          <w:tcPr>
            <w:tcW w:w="1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RETIREMENT OF DEBT</w:t>
            </w:r>
          </w:p>
        </w:tc>
        <w:tc>
          <w:tcPr>
            <w:tcW w:w="1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benefit from (provision for) income taxes</w:t>
            </w:r>
          </w:p>
        </w:tc>
        <w:tc>
          <w:tcPr>
            <w:tcW w:w="1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FROM (PROVISION FOR) INCOME TAXES</w:t>
            </w:r>
          </w:p>
        </w:tc>
        <w:tc>
          <w:tcPr>
            <w:tcW w:w="1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23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w:t>
            </w:r>
          </w:p>
        </w:tc>
        <w:tc>
          <w:tcPr>
            <w:tcW w:w="1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6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580" w:type="dxa"/>
            <w:vAlign w:val="bottom"/>
            <w:tcBorders>
              <w:top w:val="single" w:sz="8" w:color="auto"/>
            </w:tcBorders>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r>
      <w:tr>
        <w:trPr>
          <w:trHeight w:val="27"/>
        </w:trPr>
        <w:tc>
          <w:tcPr>
            <w:tcW w:w="6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TO COMMON STOCKHOLDERS (per share)</w:t>
            </w: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3"/>
                <w:szCs w:val="23"/>
                <w:i w:val="1"/>
                <w:iCs w:val="1"/>
                <w:color w:val="auto"/>
                <w:vertAlign w:val="superscript"/>
              </w:rPr>
              <w:t>(a)</w:t>
            </w:r>
          </w:p>
        </w:tc>
        <w:tc>
          <w:tcPr>
            <w:tcW w:w="1580" w:type="dxa"/>
            <w:vAlign w:val="bottom"/>
            <w:shd w:val="clear" w:color="auto" w:fill="CCEEFF"/>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i w:val="1"/>
                <w:iCs w:val="1"/>
                <w:color w:val="auto"/>
                <w:vertAlign w:val="superscript"/>
              </w:rPr>
              <w:t>(a)</w:t>
            </w:r>
          </w:p>
        </w:tc>
        <w:tc>
          <w:tcPr>
            <w:tcW w:w="1580" w:type="dxa"/>
            <w:vAlign w:val="bottom"/>
          </w:tcPr>
          <w:p>
            <w:pPr>
              <w:jc w:val="right"/>
              <w:ind w:right="137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3"/>
                <w:szCs w:val="23"/>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0"/>
        </w:trPr>
        <w:tc>
          <w:tcPr>
            <w:tcW w:w="60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Basic </w:t>
            </w:r>
            <w:r>
              <w:rPr>
                <w:rFonts w:ascii="Times New Roman" w:cs="Times New Roman" w:eastAsia="Times New Roman" w:hAnsi="Times New Roman"/>
                <w:sz w:val="23"/>
                <w:szCs w:val="23"/>
                <w:i w:val="1"/>
                <w:iCs w:val="1"/>
                <w:color w:val="auto"/>
                <w:vertAlign w:val="superscript"/>
              </w:rPr>
              <w:t>(a)</w:t>
            </w:r>
          </w:p>
        </w:tc>
        <w:tc>
          <w:tcPr>
            <w:tcW w:w="15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4,449,258</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4,442,165</w:t>
            </w:r>
          </w:p>
        </w:tc>
      </w:tr>
      <w:tr>
        <w:trPr>
          <w:trHeight w:val="312"/>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i w:val="1"/>
                <w:iCs w:val="1"/>
                <w:color w:val="auto"/>
                <w:vertAlign w:val="superscript"/>
              </w:rPr>
              <w:t>(a)</w:t>
            </w:r>
          </w:p>
        </w:tc>
        <w:tc>
          <w:tcPr>
            <w:tcW w:w="1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4,449,258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4,442,165</w:t>
            </w:r>
          </w:p>
        </w:tc>
      </w:tr>
    </w:tbl>
    <w:p>
      <w:pPr>
        <w:spacing w:after="0" w:line="125" w:lineRule="exact"/>
        <w:rPr>
          <w:sz w:val="20"/>
          <w:szCs w:val="20"/>
          <w:color w:val="auto"/>
        </w:rPr>
      </w:pPr>
    </w:p>
    <w:p>
      <w:pPr>
        <w:ind w:right="20" w:firstLine="8"/>
        <w:spacing w:after="0" w:line="302" w:lineRule="auto"/>
        <w:tabs>
          <w:tab w:leader="none" w:pos="20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Weighted-average shares outstanding used in the computation of basic and diluted net loss to common stockholders per share have been retroactively adjusted to reflect the 1-for-10 Reverse Stock Split that occurred on January 22, 2026. See Note </w:t>
      </w:r>
      <w:r>
        <w:rPr>
          <w:rFonts w:ascii="Times New Roman" w:cs="Times New Roman" w:eastAsia="Times New Roman" w:hAnsi="Times New Roman"/>
          <w:sz w:val="14"/>
          <w:szCs w:val="14"/>
          <w:i w:val="1"/>
          <w:iCs w:val="1"/>
          <w:color w:val="auto"/>
        </w:rPr>
        <w:t>2 - Summary of Significant Accounting Policies</w:t>
      </w:r>
      <w:r>
        <w:rPr>
          <w:rFonts w:ascii="Times New Roman" w:cs="Times New Roman" w:eastAsia="Times New Roman" w:hAnsi="Times New Roman"/>
          <w:sz w:val="14"/>
          <w:szCs w:val="14"/>
          <w:color w:val="auto"/>
        </w:rPr>
        <w:t xml:space="preserve"> for additional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600" w:right="2180"/>
        <w:spacing w:after="0" w:line="265" w:lineRule="auto"/>
        <w:rPr>
          <w:sz w:val="20"/>
          <w:szCs w:val="20"/>
          <w:color w:val="auto"/>
        </w:rPr>
      </w:pPr>
      <w:r>
        <w:rPr>
          <w:rFonts w:ascii="Times New Roman" w:cs="Times New Roman" w:eastAsia="Times New Roman" w:hAnsi="Times New Roman"/>
          <w:sz w:val="18"/>
          <w:szCs w:val="18"/>
          <w:b w:val="1"/>
          <w:bCs w:val="1"/>
          <w:color w:val="auto"/>
        </w:rPr>
        <w:t>URBAN ONE, INC. AND SUBSIDIARIES CONDENSED CONSOLIDATED STATEMENTS OF COMPREHENSIVE LOSS (In thousands, except share and per share data) (Unaudited)</w:t>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tcBorders>
              <w:bottom w:val="single" w:sz="8" w:color="CCEEFF"/>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80" w:type="dxa"/>
            <w:vAlign w:val="bottom"/>
            <w:tcBorders>
              <w:top w:val="single" w:sz="8" w:color="auto"/>
            </w:tcBorders>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COMPREHENSIVE (LOSS) INCOME TO NON-CONTROLLING</w:t>
            </w:r>
          </w:p>
        </w:tc>
        <w:tc>
          <w:tcPr>
            <w:tcW w:w="1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1"/>
        </w:trPr>
        <w:tc>
          <w:tcPr>
            <w:tcW w:w="58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COMMON</w:t>
            </w:r>
          </w:p>
        </w:tc>
        <w:tc>
          <w:tcPr>
            <w:tcW w:w="1380" w:type="dxa"/>
            <w:vAlign w:val="bottom"/>
            <w:tcBorders>
              <w:top w:val="single" w:sz="8" w:color="auto"/>
            </w:tcBorders>
            <w:vMerge w:val="restart"/>
          </w:tcPr>
          <w:p>
            <w:pPr>
              <w:jc w:val="right"/>
              <w:ind w:right="11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7"/>
                <w:szCs w:val="17"/>
                <w:color w:val="auto"/>
              </w:rPr>
            </w:pPr>
          </w:p>
        </w:tc>
        <w:tc>
          <w:tcPr>
            <w:tcW w:w="920" w:type="dxa"/>
            <w:vAlign w:val="bottom"/>
            <w:tcBorders>
              <w:top w:val="single" w:sz="8" w:color="auto"/>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3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13"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139"/>
          </w:cols>
          <w:pgMar w:left="320" w:top="513"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16"/>
                <w:szCs w:val="16"/>
                <w:color w:val="auto"/>
              </w:rPr>
            </w:pPr>
          </w:p>
        </w:tc>
      </w:tr>
      <w:tr>
        <w:trPr>
          <w:trHeight w:val="37"/>
        </w:trPr>
        <w:tc>
          <w:tcPr>
            <w:tcW w:w="79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9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$3,222 and $4,178,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88,676</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content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CONTENT ASSETS,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72,552</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 OF USE ASSETS,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35,331</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RADIO BROADCASTING LICENSES, NET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121,014</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 HELD-FOR-SALE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592,994</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8"/>
        </w:trPr>
        <w:tc>
          <w:tcPr>
            <w:tcW w:w="79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STOCKHOLDERS’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4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audience deficiency</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 under the asset-backed facility</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content payables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held-for-sale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78,309</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CONTENT PAYABLES, net of current portion</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r>
      <w:tr>
        <w:trPr>
          <w:trHeight w:val="237"/>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565,760</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 $.001 par value, 1,000,000 shares authorized; no shares outstanding at March 31,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A, $.001 par value, 30,000,000 shares authorized; 705,910 and 705,970 shares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at March 31, 2026 and December 31, 2025, respectively; 615,021 and 615,081 shares outstanding at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B, $.001 par value, 150,000,000 shares authorized; 286,183 shares issued and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each of March 31, 2026 and December 31, 2025</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C, $.001 par value, 150,000,000 shares authorized; 204,501 shares issued and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each of March 31, 2026 and December 31, 2025</w:t>
            </w: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D, $.001 par value, 150,000,000 shares authorized; 3,411,740 and 3,409,393 shares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 — 90,889 shares at each of March 31, 2026 and December 31, 2025</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7"/>
        </w:trPr>
        <w:tc>
          <w:tcPr>
            <w:tcW w:w="7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1,011,578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(985,634)</w:t>
            </w:r>
          </w:p>
        </w:tc>
      </w:tr>
      <w:tr>
        <w:trPr>
          <w:trHeight w:val="27"/>
        </w:trPr>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r>
      <w:tr>
        <w:trPr>
          <w:trHeight w:val="264"/>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592,994</w:t>
            </w:r>
          </w:p>
        </w:tc>
      </w:tr>
      <w:tr>
        <w:trPr>
          <w:trHeight w:val="21"/>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9" w:right="339" w:bottom="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69" w:right="339" w:bottom="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 at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continue"/>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20" w:type="dxa"/>
            <w:vAlign w:val="bottom"/>
          </w:tcPr>
          <w:p>
            <w:pPr>
              <w:spacing w:after="0"/>
              <w:rPr>
                <w:sz w:val="16"/>
                <w:szCs w:val="16"/>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8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$1,011,578</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(985,634)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Urban One</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 liability</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of redeemable non-controlling interests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estimated redemption value</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$1,013,056</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(988,713)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80" w:hanging="148"/>
        <w:spacing w:after="0"/>
        <w:tabs>
          <w:tab w:leader="none" w:pos="48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Adjusted retroactively for the Reverse Stock Split, refer to Note </w:t>
      </w:r>
      <w:r>
        <w:rPr>
          <w:rFonts w:ascii="Times New Roman" w:cs="Times New Roman" w:eastAsia="Times New Roman" w:hAnsi="Times New Roman"/>
          <w:sz w:val="14"/>
          <w:szCs w:val="14"/>
          <w:i w:val="1"/>
          <w:iCs w:val="1"/>
          <w:color w:val="auto"/>
        </w:rPr>
        <w:t>2 - Summary of Significant Accounting Policies</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Class A</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C</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D</w:t>
            </w:r>
            <w:r>
              <w:rPr>
                <w:rFonts w:ascii="Times New Roman" w:cs="Times New Roman" w:eastAsia="Times New Roman" w:hAnsi="Times New Roman"/>
                <w:sz w:val="9"/>
                <w:szCs w:val="9"/>
                <w:b w:val="1"/>
                <w:bCs w:val="1"/>
                <w:color w:val="auto"/>
              </w:rPr>
              <w:t>(1)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BALANCE, as of December 31, 2024</w:t>
            </w:r>
            <w:r>
              <w:rPr>
                <w:rFonts w:ascii="Times New Roman" w:cs="Times New Roman" w:eastAsia="Times New Roman" w:hAnsi="Times New Roman"/>
                <w:sz w:val="23"/>
                <w:szCs w:val="23"/>
                <w:i w:val="1"/>
                <w:iCs w:val="1"/>
                <w:color w:val="auto"/>
                <w:w w:val="99"/>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$ 1,011,051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170,945</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Urban One</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449,252 shares of Class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common stock</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303,622 shares of Class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common stock</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settlement for stock grants</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5"/>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of redeemable non-</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 to estimated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r>
              <w:rPr>
                <w:rFonts w:ascii="Times New Roman" w:cs="Times New Roman" w:eastAsia="Times New Roman" w:hAnsi="Times New Roman"/>
                <w:sz w:val="23"/>
                <w:szCs w:val="23"/>
                <w:i w:val="1"/>
                <w:i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$ 1,011,086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(850,507)</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80" w:hanging="148"/>
        <w:spacing w:after="0"/>
        <w:tabs>
          <w:tab w:leader="none" w:pos="4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Adjusted to reflect the 1-for-10 Reverse Stock Split that occurred on January 22, 2026, refer to Note </w:t>
      </w:r>
      <w:r>
        <w:rPr>
          <w:rFonts w:ascii="Times New Roman" w:cs="Times New Roman" w:eastAsia="Times New Roman" w:hAnsi="Times New Roman"/>
          <w:sz w:val="14"/>
          <w:szCs w:val="14"/>
          <w:i w:val="1"/>
          <w:iCs w:val="1"/>
          <w:color w:val="auto"/>
        </w:rPr>
        <w:t>2 - Summary of Significant Accounting Policies</w:t>
      </w:r>
    </w:p>
    <w:p>
      <w:pPr>
        <w:spacing w:after="0" w:line="21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139"/>
          </w:cols>
          <w:pgMar w:left="320" w:top="513" w:right="1440" w:bottom="1440" w:gutter="0" w:footer="0" w:header="0"/>
        </w:sectPr>
      </w:pPr>
    </w:p>
    <w:bookmarkStart w:id="13" w:name="page14"/>
    <w:bookmarkEnd w:id="13"/>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launch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content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fair value adjustment of Employment Agreement Award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assets and payables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audience deficiency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ownership interest in Reach Media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2028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line of credit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including payments for taxes related to net share settlement of equity awards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2031 Second Lien Notes, including premium of $375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dividends to non-controlling interest members of Reach Media</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of redeemable non-controlling interests to estimated redemption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stock-based compensation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additions to property and equipment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69" w:right="33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9" w:right="339" w:bottom="82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Urban One, Inc., a Delaware corporation, and its subsidiaries (collectively, “Urban One,” the “Company,” “we,” “our” and/or “us”) is an urban-oriented, multi-media company that primarily targets African-American and urban consumers. Our core business is our Radio Broadcasting franchise which is the largest radio broadcasting operation that primarily targets African-American and urban listeners. As of March 31, 2026, the Company owned and/or operated 75 independently formatted, revenue producing broadcast stations (including 58 FM or AM stations, 15 HD stations, and the 2 low power television stations the Company operates), located in 13 of the most populous African-American markets in the United States. While a core source of our revenue has historically been and remains the sale of local and national advertising for broadcast on our radio stations, our strategy is to operate the premier multi-media entertainment and information content platform targeting African-American and urban consumers. Thus, the Company has diversified its revenue streams by making acquisitions and investments in other complementary media properties. Our diverse media and entertainment interests include TV One, LLC (“TV One”), which operates two cable television networks targeting African-American and urban viewers, TV One and CLEO TV; Reach Media, Inc. (“Reach Media”) which operates the Rickey Smiley Morning Show and our other syndicated programming assets, including the Get Up! Mornings with Erica Campbell Show and the DL Hughley Show; and Interactive One, LLC (“Interactive One”), our wholly owned digital platform serving the African-American community through social content, news, information, and entertainment websites, including its iONE Digital, Cassius and Bossip, HipHopWired and MadameNoire digital platforms and brands. Through our national multi-media operations, the Company provides advertisers with a unique and powerful delivery mechanism to communicate with African-American and urban audiences.</w:t>
      </w:r>
    </w:p>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core Radio Broadcasting franchise operates under the brand “Radio One.” The Company also operates other brands, such as TV One, CLEO TV, Reach Media, iONE Digital, and One Solution, while developing additional branding reflective of our diverse media operations and our targeting of African-American and urban audiences.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part of our unaudited condensed consolidated financial statements, consistent with our financial reporting structure and how the Company currently manages its businesses, the Company has provided selected financial information on the Company’s four reportable segments: (i) Radio Broadcasting; (ii) Reach Media; (iii) Digital; and (iv) Cable Television. See Note </w:t>
      </w:r>
      <w:r>
        <w:rPr>
          <w:rFonts w:ascii="Times New Roman" w:cs="Times New Roman" w:eastAsia="Times New Roman" w:hAnsi="Times New Roman"/>
          <w:sz w:val="18"/>
          <w:szCs w:val="18"/>
          <w:i w:val="1"/>
          <w:i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of our unaudited condensed consolidated financial statements for further discussion.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conformity with accounting principles generally accepted in the United States (“GAAP”) and under the rules and regulations of the Securities and Exchange Commission (“SEC”) for interim financial information. In management’s opinion, the interim financial data presented herein includes all adjustments (which include only normal recurring adjustments) necessary for a fair statement of its financial position as of March 31, 2026, its results of operations for the three months ended March 31, 2026 and 2025, and cash flows for the three months ended March 31, 2026 and 2025. Certain information and footnote disclosures normally included in the annual financial statements prepared in accordance with US GAAP have been omitted pursuant to such rules and regulations.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and related financial information should be read in conjunction with the audited consolidated financial statements and the related notes thereto as of and for the year ended December 31, 2025 included in the Company’s Form 10-K. There have been no significant changes to the Company’s accounting policies as described in Note </w:t>
      </w:r>
      <w:r>
        <w:rPr>
          <w:rFonts w:ascii="Times New Roman" w:cs="Times New Roman" w:eastAsia="Times New Roman" w:hAnsi="Times New Roman"/>
          <w:sz w:val="18"/>
          <w:szCs w:val="18"/>
          <w:i w:val="1"/>
          <w:iCs w:val="1"/>
          <w:color w:val="auto"/>
        </w:rPr>
        <w:t>2 - Summary of Significant Accounting Policies</w:t>
      </w:r>
      <w:r>
        <w:rPr>
          <w:rFonts w:ascii="Times New Roman" w:cs="Times New Roman" w:eastAsia="Times New Roman" w:hAnsi="Times New Roman"/>
          <w:sz w:val="18"/>
          <w:szCs w:val="18"/>
          <w:color w:val="auto"/>
        </w:rPr>
        <w:t>, in the notes to the consolidated financial statements in Item 8 of Part II of Form 10-K.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amounts presented in these unaudited condensed consolidated financial statements are expressed in thousands of U.S. dollars, except share and per share amounts and unless otherwise noted.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the prior year financial statements have been reclassified to conform to the current quarter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results are subject to seasonal fluctuations and, typically, revenues are generally lowest in the first calendar quarter of the year. Due to this seasonality, the results for interim periods are not necessarily indicative of results to be expected for the full year. The Company experiences further seasonality in odd versus even years as there tends to be more political activity in even years which can have a positive impact on advertising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and operations of Urban One and subsidiaries in which Urban One has a controlling financial interest, which is generally determined to exist when the Company holds a majority voting interest. All intercompany accounts and transactions have been eliminated in consolidation. Non-controlling interests have been recognized where a controlling interest exists, but the Company owns less than 100% of the controlled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21, 2025, our Board of Directors (the “Board”) authorized a reverse stock split across all classes of the Company’s outstanding common stock. The Board's authorization was subject to the approval of the Company's stockholders, which was obtained on June 18, 2025. On January 16, 2026, the Company announced that its Board of Directors has approved the reverse stock split of all classes of its common stock, including its publicly traded shares of Class A Common Stock and Class D Common Stock at a ratio of 1-for-10 (the “Reverse Stock Split”). The Reverse Stock Split was conducted to regain compliance with the $1.00 minimum bid price requirement (the “Minimum Bid Price Requirement”) for continued listing on the Nasdaq Capital Market (“Nasdaq”) with respect shares of the Company’s Class D Common Stock.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16, 2026, the Company filed a Certificate of Amendment to its Amended and Restated Certificate of Incorporation (the “Certificate of Amendment”) with the Secretary of State of the State of Delaware to effect the Reverse Stock Split, which became effective as of 11:59 p.m. Eastern Time on January 22, 2026 (the “Effective Date”). No fractional shares were issued in connection with the Reverse Stock Split. Instead, in lieu of any fractional shares, the Company paid cash for each holder’s fractional shares in an amount equal to the closing sales price of the Company’s Class A Common Stock or Class D Common Stock, respectively, as reported on Nasdaq on the Effective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noted, all shares of Common Stock, including stock options, and restricted stock units, as well as all exercise prices, conversion prices and per share information in the consolidated financial statements have been retroactively adjusted to reflect the Reverse Stock Split, as if the split occurred at the beginning of the earliest period presented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certain estimates and assumptions. The most significant estimates and assumptions are used in determining: (i) estimates of future cash flows, projected revenues rates, operating profit margins, and discount rates used to evaluate and recognize impairments; (ii) estimates of fair value of the Employment Agreement Award (as defined in Note </w:t>
      </w:r>
      <w:r>
        <w:rPr>
          <w:rFonts w:ascii="Times New Roman" w:cs="Times New Roman" w:eastAsia="Times New Roman" w:hAnsi="Times New Roman"/>
          <w:sz w:val="18"/>
          <w:szCs w:val="18"/>
          <w:i w:val="1"/>
          <w:iCs w:val="1"/>
          <w:color w:val="auto"/>
        </w:rPr>
        <w:t>5 -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w:t>
      </w:r>
      <w:r>
        <w:rPr>
          <w:rFonts w:ascii="Times New Roman" w:cs="Times New Roman" w:eastAsia="Times New Roman" w:hAnsi="Times New Roman"/>
          <w:sz w:val="18"/>
          <w:szCs w:val="18"/>
          <w:color w:val="auto"/>
        </w:rPr>
        <w:t>); and (iii) content asset amortization curves.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estimates and assumptions may affect the reported amounts of assets and liabilities and the disclosure of contingent assets and liabilities as of the date of the financial statements. The Company bases these estimates on historical experience, the current economic environment or various other assumptions that are believed to be reasonable under the circumstances. However, economic uncertainty, changes in consumer behavior, and any disruption in financial markets increase the possibility that actual results may differ from these estimates. Estimates and assumptions are reviewed periodically, and the effects are reflected prospectively in the period they occur.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Financial Information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table presents the components of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Long-term Liabilities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0"/>
        </w:trPr>
        <w:tc>
          <w:tcPr>
            <w:tcW w:w="8180" w:type="dxa"/>
            <w:vAlign w:val="bottom"/>
          </w:tcPr>
          <w:p>
            <w:pPr>
              <w:spacing w:after="0"/>
              <w:rPr>
                <w:sz w:val="16"/>
                <w:szCs w:val="16"/>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4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advances and unearned income</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7"/>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event income</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 accrual</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7"/>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 accruals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Employment Agreement Award (as defined in Note </w:t>
            </w:r>
            <w:r>
              <w:rPr>
                <w:rFonts w:ascii="Times New Roman" w:cs="Times New Roman" w:eastAsia="Times New Roman" w:hAnsi="Times New Roman"/>
                <w:sz w:val="18"/>
                <w:szCs w:val="18"/>
                <w:i w:val="1"/>
                <w:iCs w:val="1"/>
                <w:color w:val="auto"/>
              </w:rPr>
              <w:t>5 - Fair Value Measurements</w:t>
            </w: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5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7"/>
        </w:trPr>
        <w:tc>
          <w:tcPr>
            <w:tcW w:w="8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Employment Agreement Award (as defined in Note </w:t>
            </w:r>
            <w:r>
              <w:rPr>
                <w:rFonts w:ascii="Times New Roman" w:cs="Times New Roman" w:eastAsia="Times New Roman" w:hAnsi="Times New Roman"/>
                <w:sz w:val="18"/>
                <w:szCs w:val="18"/>
                <w:i w:val="1"/>
                <w:iCs w:val="1"/>
                <w:color w:val="auto"/>
              </w:rPr>
              <w:t>5 - Fair Value Measurements</w:t>
            </w: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uncertain tax position</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7"/>
        </w:trPr>
        <w:tc>
          <w:tcPr>
            <w:tcW w:w="8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5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w:t>
            </w:r>
          </w:p>
        </w:tc>
      </w:tr>
      <w:tr>
        <w:trPr>
          <w:trHeight w:val="27"/>
        </w:trPr>
        <w:tc>
          <w:tcPr>
            <w:tcW w:w="8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unaudited condensed consolidated balance sheets to “Cash, cash equivalents and restricted cash, end of period” as reported within the unaudited condensed 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unaudited condensed consolidated statements of</w:t>
            </w:r>
          </w:p>
        </w:tc>
        <w:tc>
          <w:tcPr>
            <w:tcW w:w="920" w:type="dxa"/>
            <w:vAlign w:val="bottom"/>
            <w:vMerge w:val="restart"/>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115,568</w:t>
            </w: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5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Reach Media operates the Tom Joyner Foundation’s Fantastic Voyage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 “Fantastic Voyage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annual fund-raising event, on behalf of the Tom Joyner Foundation, Inc. (the “Foundation”), a 501(c)(3) entity. The 2024 Fantastic Voyage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agreement provided Reach Media all necessary operations of the cruise, and that Reach Media was reimbursed its expenditures and received a fee based on performance. Tom Joyner is a minority interest owner of Reach Media.</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August 12, 2024, Reach Media and the Foundation entered into a new agreement regarding the Fantastic Voyage (the “FV Revised Agreement”). The 2025 Fantastic Voyage operated under the FV Revised Agreement, which provides distribution of net operating income in the following order until the funds are depleted: up to $0.3 million to the Foundation, up to a $2.0 million performance fee to Reach, with any remaining net operating income split between the Foundation and Reach at 10.0% and 90.0%, respectively. Regardless of the net operating income, the Foundation is guaranteed a distribution of at least $0.3 million. The Foundation’s remittances to Reach Media under the agreement are limited to its Fantastic Voyage® related cash collections. Reach Media bears the risk should the Fantastic Voyage® sustain a loss and bears all credit risk associated with the related passenger cruise package sales. The FV Revised Agreement expired in 2025 and has not been renewed.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Foundation owed Reach Media an immaterial amount as of December 31, 2025.</w:t>
      </w:r>
    </w:p>
    <w:p>
      <w:pPr>
        <w:sectPr>
          <w:pgSz w:w="11900" w:h="16838" w:orient="portrait"/>
          <w:cols w:equalWidth="0" w:num="1">
            <w:col w:w="11240"/>
          </w:cols>
          <w:pgMar w:left="320" w:top="513" w:right="3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122"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(Subtopic 350-40): Targeted Improvements to the Accounting for Internal-Use Software”, which amends certain aspects of the accounting for and disclosure of software costs under ASC 350-40. The standard is effective for annual reporting periods beginning after December 15, 2027, including interim reporting periods within those annual reporting periods. Early adoption is permitted, and the standard can be applied prospectively, retrospectively, or on a modified basis for in-process projects. The Company is in the process of evaluating the impact of this new guidance on its consolidated financial statements.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Income Statement (Subtopic 220-40): Disaggregation of Income Statement Expenses</w:t>
      </w:r>
      <w:r>
        <w:rPr>
          <w:rFonts w:ascii="Times New Roman" w:cs="Times New Roman" w:eastAsia="Times New Roman" w:hAnsi="Times New Roman"/>
          <w:sz w:val="18"/>
          <w:szCs w:val="18"/>
          <w:color w:val="auto"/>
        </w:rPr>
        <w:t>”, which focuses on the disaggregation of income statement expenses. ASU No. 2024-03 requires entities to provide more detailed disclosures about certain significant expense categories in their financial statements. The amendments of ASU 2024-03 are effective for annual reporting periods beginning after December 15, 2026, and for interim reporting periods beginning after December 15, 2027. Early adoption is permitted and the amendments may be applied prospectively or retrospectively. The Company is in the process of evaluating the impact of this new guidance on the disclosures within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sources of the Company’s net revenue by contract type and segment 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Radio</w:t>
            </w: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Reach</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6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 -</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Broadcasting</w:t>
            </w:r>
          </w:p>
        </w:tc>
        <w:tc>
          <w:tcPr>
            <w:tcW w:w="240" w:type="dxa"/>
            <w:vAlign w:val="bottom"/>
          </w:tcPr>
          <w:p>
            <w:pPr>
              <w:spacing w:after="0"/>
              <w:rPr>
                <w:sz w:val="16"/>
                <w:szCs w:val="16"/>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Media</w:t>
            </w:r>
          </w:p>
        </w:tc>
        <w:tc>
          <w:tcPr>
            <w:tcW w:w="24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Television</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160" w:type="dxa"/>
            <w:vAlign w:val="bottom"/>
          </w:tcPr>
          <w:p>
            <w:pPr>
              <w:spacing w:after="0"/>
              <w:rPr>
                <w:sz w:val="16"/>
                <w:szCs w:val="16"/>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9"/>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Radio advertising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advertising</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Television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Television affiliate fees</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Event revenues &amp; other</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6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77,651</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3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Radio advertising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36,217</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Political advertising</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Television advertising</w:t>
            </w:r>
          </w:p>
        </w:tc>
        <w:tc>
          <w:tcPr>
            <w:tcW w:w="1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w:t>
            </w:r>
          </w:p>
        </w:tc>
      </w:tr>
      <w:tr>
        <w:trPr>
          <w:trHeight w:val="27"/>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Television affiliate fees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w:t>
            </w: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 revenues &amp; other</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7"/>
        </w:trPr>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Contract assets and contract liabilities that are not separately stated in the Company’s unaudited condensed consolidated balance sheet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consolidated balance sheet as of December 31, 2025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40" w:type="dxa"/>
            <w:vAlign w:val="bottom"/>
          </w:tcPr>
          <w:p>
            <w:pPr>
              <w:spacing w:after="0"/>
              <w:rPr>
                <w:sz w:val="16"/>
                <w:szCs w:val="16"/>
                <w:color w:val="auto"/>
              </w:rPr>
            </w:pPr>
          </w:p>
        </w:tc>
        <w:tc>
          <w:tcPr>
            <w:tcW w:w="17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27"/>
        </w:trPr>
        <w:tc>
          <w:tcPr>
            <w:tcW w:w="6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3"/>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9"/>
                <w:szCs w:val="19"/>
                <w:color w:val="auto"/>
              </w:rPr>
            </w:pPr>
          </w:p>
        </w:tc>
      </w:tr>
      <w:tr>
        <w:trPr>
          <w:trHeight w:val="37"/>
        </w:trPr>
        <w:tc>
          <w:tcPr>
            <w:tcW w:w="6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5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advances and unearned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1"/>
                <w:szCs w:val="21"/>
                <w:color w:val="auto"/>
              </w:rPr>
            </w:pPr>
          </w:p>
        </w:tc>
        <w:tc>
          <w:tcPr>
            <w:tcW w:w="5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audience deficiency</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r>
      <w:tr>
        <w:trPr>
          <w:trHeight w:val="243"/>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event income</w:t>
            </w:r>
          </w:p>
        </w:tc>
        <w:tc>
          <w:tcPr>
            <w:tcW w:w="3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306" w:lineRule="exact"/>
        <w:rPr>
          <w:sz w:val="20"/>
          <w:szCs w:val="20"/>
          <w:color w:val="auto"/>
        </w:rPr>
      </w:pPr>
    </w:p>
    <w:p>
      <w:pPr>
        <w:jc w:val="both"/>
        <w:ind w:left="60" w:right="60" w:firstLine="567"/>
        <w:spacing w:after="0" w:line="255" w:lineRule="auto"/>
        <w:rPr>
          <w:sz w:val="20"/>
          <w:szCs w:val="20"/>
          <w:color w:val="auto"/>
        </w:rPr>
      </w:pPr>
      <w:r>
        <w:rPr>
          <w:rFonts w:ascii="Times New Roman" w:cs="Times New Roman" w:eastAsia="Times New Roman" w:hAnsi="Times New Roman"/>
          <w:sz w:val="18"/>
          <w:szCs w:val="18"/>
          <w:color w:val="auto"/>
        </w:rPr>
        <w:t>Unbilled receivables consist of earned revenue that has not yet been billed. Contract assets are included in trade accounts receivable, net on the unaudited condensed consolidated balance sheets. Customer advances and unearned income represent advance payments by customers for future services under contract that are generally fulfilled in the near term. For advertising sold based on audience guarantees, audience deficiency typically results in an obligation to deliver additional advertising units to the customer, generally within one year of the campaign end date. To the extent that audience guarantees are not met, a reserve for audience deficiency is recorded until such a time that the audience guarantee has been satisfied. Unearned event income represents payments by customers for upcoming events. Contract liabilities are included in other current liabilities on the unaudited condensed consolidated balance sheets.</w:t>
      </w:r>
    </w:p>
    <w:p>
      <w:pPr>
        <w:spacing w:after="0" w:line="189" w:lineRule="exact"/>
        <w:rPr>
          <w:sz w:val="20"/>
          <w:szCs w:val="20"/>
          <w:color w:val="auto"/>
        </w:rPr>
      </w:pPr>
    </w:p>
    <w:p>
      <w:pPr>
        <w:jc w:val="both"/>
        <w:ind w:left="60" w:right="60" w:firstLine="567"/>
        <w:spacing w:after="0" w:line="261" w:lineRule="auto"/>
        <w:rPr>
          <w:sz w:val="20"/>
          <w:szCs w:val="20"/>
          <w:color w:val="auto"/>
        </w:rPr>
      </w:pPr>
      <w:r>
        <w:rPr>
          <w:rFonts w:ascii="Times New Roman" w:cs="Times New Roman" w:eastAsia="Times New Roman" w:hAnsi="Times New Roman"/>
          <w:sz w:val="18"/>
          <w:szCs w:val="18"/>
          <w:color w:val="auto"/>
        </w:rPr>
        <w:t>For customer advances and unearned income as of January 1, 2026, approximately $1.2 million was recognized as revenue during the three months ended March 31, 2026. For the reserve for audience deficiency as of January 1, 2026, approximately $2.3 million was recognized as revenue during the three months ended March 31, 2026. For unearned event income as of January 1, 2026, no revenue was recognized during the three months ended March 31, 2026.</w:t>
      </w:r>
    </w:p>
    <w:p>
      <w:pPr>
        <w:spacing w:after="0" w:line="180" w:lineRule="exact"/>
        <w:rPr>
          <w:sz w:val="20"/>
          <w:szCs w:val="20"/>
          <w:color w:val="auto"/>
        </w:rPr>
      </w:pPr>
    </w:p>
    <w:p>
      <w:pPr>
        <w:jc w:val="both"/>
        <w:ind w:left="60" w:right="60" w:firstLine="567"/>
        <w:spacing w:after="0" w:line="261" w:lineRule="auto"/>
        <w:rPr>
          <w:sz w:val="20"/>
          <w:szCs w:val="20"/>
          <w:color w:val="auto"/>
        </w:rPr>
      </w:pPr>
      <w:r>
        <w:rPr>
          <w:rFonts w:ascii="Times New Roman" w:cs="Times New Roman" w:eastAsia="Times New Roman" w:hAnsi="Times New Roman"/>
          <w:sz w:val="18"/>
          <w:szCs w:val="18"/>
          <w:color w:val="auto"/>
        </w:rPr>
        <w:t>For customer advances and unearned income as of January 1, 2025, approximately $1.8 million was recognized as revenue during the three months ended March 31, 2025. For the reserve for audience deficiency as of January 1, 2025, approximately $2.9 million was recognized as revenue during the three months ended March 31, 2025. For unearned event income as of January 1, 2025, no revenue was recognized during the three months ended March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(“EPS”) attributable to common stockholders is presented in conformity with the two-class method required for participating securities: Class A, Class B, Class C and Class D common stock. The rights of the holders of Class A, Class B, Class C and Class D common stock are identical, except with respect to voting, conversion, and transfer rights.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undistributed earnings or losses are allocated based on the contractual participation rights of Class A, Class B, Class C and Class D common shares as if the earnings or losses for the year have been distributed. As the liquidation and dividend rights are identical, the undistributed earnings or losses are allocated on a proportionate basis, and as such, diluted and basic earnings per share is the same for each class of common stock under the two-class method. As noted above, all per share information has been adjusted to reflect the Reverse Stock Split.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per share from continuing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8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256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4220" w:type="dxa"/>
            <w:vAlign w:val="bottom"/>
            <w:gridSpan w:val="5"/>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Class A, Class B, Class C and Class D stockholders</w:t>
            </w:r>
          </w:p>
        </w:tc>
        <w:tc>
          <w:tcPr>
            <w:tcW w:w="1440" w:type="dxa"/>
            <w:vAlign w:val="bottom"/>
            <w:tcBorders>
              <w:bottom w:val="single" w:sz="8" w:color="auto"/>
            </w:tcBorders>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Denominator </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Denominator for basic net loss per share - weighted average outstanding shares</w:t>
            </w:r>
          </w:p>
        </w:tc>
        <w:tc>
          <w:tcPr>
            <w:tcW w:w="1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4,442,165</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Denominator for diluted net loss per share - weighted-average outstanding</w:t>
            </w:r>
          </w:p>
        </w:tc>
        <w:tc>
          <w:tcPr>
            <w:tcW w:w="14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4,442,165</w:t>
            </w:r>
          </w:p>
        </w:tc>
        <w:tc>
          <w:tcPr>
            <w:tcW w:w="0" w:type="dxa"/>
            <w:vAlign w:val="bottom"/>
          </w:tcPr>
          <w:p>
            <w:pPr>
              <w:spacing w:after="0"/>
              <w:rPr>
                <w:sz w:val="1"/>
                <w:szCs w:val="1"/>
                <w:color w:val="auto"/>
              </w:rPr>
            </w:pPr>
          </w:p>
        </w:tc>
      </w:tr>
      <w:tr>
        <w:trPr>
          <w:trHeight w:val="263"/>
        </w:trPr>
        <w:tc>
          <w:tcPr>
            <w:tcW w:w="5920" w:type="dxa"/>
            <w:vAlign w:val="bottom"/>
            <w:tcBorders>
              <w:bottom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1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Class B, Class C and Class D stockholders per</w:t>
            </w:r>
          </w:p>
        </w:tc>
        <w:tc>
          <w:tcPr>
            <w:tcW w:w="1440" w:type="dxa"/>
            <w:vAlign w:val="bottom"/>
            <w:vMerge w:val="restart"/>
            <w:shd w:val="clear" w:color="auto" w:fill="CCEEFF"/>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shd w:val="clear" w:color="auto" w:fill="CCEEFF"/>
              </w:rPr>
              <w:t>(2.64)</w:t>
            </w:r>
          </w:p>
        </w:tc>
        <w:tc>
          <w:tcPr>
            <w:tcW w:w="0" w:type="dxa"/>
            <w:vAlign w:val="bottom"/>
          </w:tcPr>
          <w:p>
            <w:pPr>
              <w:spacing w:after="0"/>
              <w:rPr>
                <w:sz w:val="1"/>
                <w:szCs w:val="1"/>
                <w:color w:val="auto"/>
              </w:rPr>
            </w:pPr>
          </w:p>
        </w:tc>
      </w:tr>
      <w:tr>
        <w:trPr>
          <w:trHeight w:val="263"/>
        </w:trPr>
        <w:tc>
          <w:tcPr>
            <w:tcW w:w="59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share – basic </w:t>
            </w:r>
            <w:r>
              <w:rPr>
                <w:rFonts w:ascii="Times New Roman" w:cs="Times New Roman" w:eastAsia="Times New Roman" w:hAnsi="Times New Roman"/>
                <w:sz w:val="23"/>
                <w:szCs w:val="23"/>
                <w:i w:val="1"/>
                <w:iCs w:val="1"/>
                <w:color w:val="auto"/>
                <w:vertAlign w:val="superscript"/>
              </w:rPr>
              <w:t>(1)</w:t>
            </w:r>
          </w:p>
        </w:tc>
        <w:tc>
          <w:tcPr>
            <w:tcW w:w="1440" w:type="dxa"/>
            <w:vAlign w:val="bottom"/>
            <w:tcBorders>
              <w:bottom w:val="single" w:sz="8" w:color="CCEEFF"/>
            </w:tcBorders>
            <w:vMerge w:val="continue"/>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vMerge w:val="continue"/>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Class B, Class C and Class D stockholders per</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20" w:type="dxa"/>
            <w:vAlign w:val="bottom"/>
            <w:vMerge w:val="continue"/>
          </w:tcPr>
          <w:p>
            <w:pPr>
              <w:spacing w:after="0"/>
              <w:rPr>
                <w:sz w:val="14"/>
                <w:szCs w:val="14"/>
                <w:color w:val="auto"/>
              </w:rPr>
            </w:pPr>
          </w:p>
        </w:tc>
        <w:tc>
          <w:tcPr>
            <w:tcW w:w="1440" w:type="dxa"/>
            <w:vAlign w:val="bottom"/>
            <w:vMerge w:val="restart"/>
          </w:tcPr>
          <w:p>
            <w:pPr>
              <w:jc w:val="right"/>
              <w:ind w:right="1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share – diluted </w:t>
            </w:r>
            <w:r>
              <w:rPr>
                <w:rFonts w:ascii="Times New Roman" w:cs="Times New Roman" w:eastAsia="Times New Roman" w:hAnsi="Times New Roman"/>
                <w:sz w:val="23"/>
                <w:szCs w:val="23"/>
                <w:i w:val="1"/>
                <w:iCs w:val="1"/>
                <w:color w:val="auto"/>
                <w:vertAlign w:val="superscript"/>
              </w:rPr>
              <w:t>(1)</w:t>
            </w:r>
          </w:p>
        </w:tc>
        <w:tc>
          <w:tcPr>
            <w:tcW w:w="14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80" w:hanging="148"/>
        <w:spacing w:after="0"/>
        <w:tabs>
          <w:tab w:leader="none" w:pos="4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Adjusted retroactively for the Reverse Stock Split, refer to Note </w:t>
      </w:r>
      <w:r>
        <w:rPr>
          <w:rFonts w:ascii="Times New Roman" w:cs="Times New Roman" w:eastAsia="Times New Roman" w:hAnsi="Times New Roman"/>
          <w:sz w:val="14"/>
          <w:szCs w:val="14"/>
          <w:i w:val="1"/>
          <w:iCs w:val="1"/>
          <w:color w:val="auto"/>
        </w:rPr>
        <w:t>2 - Summary of Significant Accounting Policies</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approximately 0.6 million and 0.6 million potentially dilutive securities, respectively, that were not included in the computation of diluted EPS, because to do so would have been antidilutive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financial and non-financial assets and liabilities measured at fair value on a recurring and non-recurring basis under the provisions of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which defines fair value, establishes a framework for measuring fair value, and expands disclosures about fair value measurements.</w:t>
      </w:r>
    </w:p>
    <w:p>
      <w:pPr>
        <w:spacing w:after="0" w:line="176"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As of March 31, 2026 and December 31, 2025, the fair values of the Company’s financial assets and liabilities measured at fair value on a recurring basis are categorized as follows:</w:t>
      </w: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7"/>
        </w:trPr>
        <w:tc>
          <w:tcPr>
            <w:tcW w:w="5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fair value measurement: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Mezzanine equity subject to fair value measurement: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r>
              <w:rPr>
                <w:rFonts w:ascii="Times New Roman" w:cs="Times New Roman" w:eastAsia="Times New Roman" w:hAnsi="Times New Roman"/>
                <w:sz w:val="23"/>
                <w:szCs w:val="23"/>
                <w:color w:val="auto"/>
                <w:vertAlign w:val="superscript"/>
              </w:rPr>
              <w:t>(b)</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fair value measurement: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r>
              <w:rPr>
                <w:rFonts w:ascii="Times New Roman" w:cs="Times New Roman" w:eastAsia="Times New Roman" w:hAnsi="Times New Roman"/>
                <w:sz w:val="23"/>
                <w:szCs w:val="23"/>
                <w:color w:val="auto"/>
                <w:vertAlign w:val="superscript"/>
              </w:rPr>
              <w:t>(a)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equity subject to fair value measurement: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8"/>
        <w:spacing w:after="0" w:line="293" w:lineRule="auto"/>
        <w:tabs>
          <w:tab w:leader="none" w:pos="127"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On April 3, 2024, the Company entered into an employment agreement (“2024 Employment Agreement”) with Alfred C. Liggins, III, President and Chief Executive Officer (“CEO”) pursuant to which he is eligible to receive an award (the “Employment Agreement Award”) amount equal to approximately 4.2% of any proceeds from distributions or other liquidity events in excess of the return of the Company’s aggregate investment in Cable Television. The Company reviews the factors underlying this award at the end of each reporting period including the valuation of Cable Television (based on the estimated enterprise fair value of Cable Television as determined by the income approach using a discounted cash flow model and the market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approach using comparable public company multiples). Significant inputs to the discounted cash flow model include projected revenues assumptions, future operating profits, and discount rates. Significant inputs to the market approach include publicly held peer companies and recurring EBITDA multiples. The terms of the 2024 Employment Agreement were effective as of January 1, 2022 and continued until December 31, 2024 (the “Initial Term”). After expiration of the Initial Term, the term of the 2024 Employment Agreement extends automatically for additional one (1) year periods, unless either party provides written notice of its/his intention not to renew to the other party at least sixty (60) days before the expiration of the Initial Term or any renewal term of this Agreement, as applicable. As a part of its 2025 Refinancing (as defined in Note </w:t>
      </w:r>
      <w:r>
        <w:rPr>
          <w:rFonts w:ascii="Times New Roman" w:cs="Times New Roman" w:eastAsia="Times New Roman" w:hAnsi="Times New Roman"/>
          <w:sz w:val="14"/>
          <w:szCs w:val="14"/>
          <w:i w:val="1"/>
          <w:iCs w:val="1"/>
          <w:color w:val="auto"/>
        </w:rPr>
        <w:t>9 - Debt</w:t>
      </w:r>
      <w:r>
        <w:rPr>
          <w:rFonts w:ascii="Times New Roman" w:cs="Times New Roman" w:eastAsia="Times New Roman" w:hAnsi="Times New Roman"/>
          <w:sz w:val="14"/>
          <w:szCs w:val="14"/>
          <w:color w:val="auto"/>
        </w:rPr>
        <w:t>), the terms of the Employment Agreement were amended to limit his total cash compensation (the “Cash Compensation Limits”). The Cash Compensation Limits do not apply and are not operative for any fiscal year in which the Company’s leverage ratio (as defined in the indenture governing the Company’s First Lien Notes) as of December 31 of such fiscal year is less than 4.75:1.00. The Cash Compensation Limits also do not limit any compensation paid to Mr. Liggins in the form of common stock. Finally, the Cash Compensation Limits terminate once certain original noteholders and their respective affiliates no longer own any of the First Lien Notes.</w:t>
      </w:r>
    </w:p>
    <w:p>
      <w:pPr>
        <w:spacing w:after="0" w:line="3" w:lineRule="exact"/>
        <w:rPr>
          <w:sz w:val="20"/>
          <w:szCs w:val="20"/>
          <w:color w:val="auto"/>
        </w:rPr>
      </w:pPr>
    </w:p>
    <w:p>
      <w:pPr>
        <w:ind w:firstLine="8"/>
        <w:spacing w:after="0"/>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fair value is measured using a discounted cash flow methodology. Significant inputs to the discounted cash flow analysis include revenue growth rates, future operating profit margins, and discount rate.</w:t>
      </w:r>
    </w:p>
    <w:p>
      <w:pPr>
        <w:spacing w:after="0" w:line="3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within Level 1, 2, or 3 during the three months ended March 31, 2026 and 2025. The following table presents the changes in Level 3 liabilities measured at fair value on a recurring basis for the three months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Redeemable</w:t>
            </w:r>
          </w:p>
        </w:tc>
      </w:tr>
      <w:tr>
        <w:trPr>
          <w:trHeight w:val="172"/>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Non-controlling</w:t>
            </w:r>
          </w:p>
        </w:tc>
      </w:tr>
      <w:tr>
        <w:trPr>
          <w:trHeight w:val="217"/>
        </w:trPr>
        <w:tc>
          <w:tcPr>
            <w:tcW w:w="8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6"/>
              </w:rPr>
              <w:t>Interests</w:t>
            </w:r>
            <w:r>
              <w:rPr>
                <w:rFonts w:ascii="Times New Roman" w:cs="Times New Roman" w:eastAsia="Times New Roman" w:hAnsi="Times New Roman"/>
                <w:sz w:val="18"/>
                <w:szCs w:val="18"/>
                <w:b w:val="1"/>
                <w:bCs w:val="1"/>
                <w:color w:val="auto"/>
                <w:w w:val="96"/>
                <w:vertAlign w:val="superscript"/>
              </w:rPr>
              <w:t>(1)</w:t>
            </w: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2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ownership interest in Reach Media</w:t>
            </w:r>
          </w:p>
        </w:tc>
        <w:tc>
          <w:tcPr>
            <w:tcW w:w="2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of redeemable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firstLine="8"/>
        <w:spacing w:after="0" w:line="230" w:lineRule="auto"/>
        <w:tabs>
          <w:tab w:leader="none" w:pos="165"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25, 2026, Reach Media closed on the Put Interest increasing the Company’s interest in Reach Media to 100.0%. Reach Media paid the last of the non-controlling interest shareholders approximately $1.3 million for the 5.4% interest.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Redeemable</w:t>
            </w:r>
          </w:p>
        </w:tc>
      </w:tr>
      <w:tr>
        <w:trPr>
          <w:trHeight w:val="175"/>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Non-controlling</w:t>
            </w: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Interests</w:t>
            </w:r>
          </w:p>
        </w:tc>
      </w:tr>
      <w:tr>
        <w:trPr>
          <w:trHeight w:val="23"/>
        </w:trPr>
        <w:tc>
          <w:tcPr>
            <w:tcW w:w="8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2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ownership interest in Reach Media</w:t>
            </w:r>
          </w:p>
        </w:tc>
        <w:tc>
          <w:tcPr>
            <w:tcW w:w="22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Employment Agreement Award were recorded in the unaudited condensed consolidated statements of operations as selling, general and administrative expenses for the three months ended March 31, 2026 and 2025. The long-term portion is recorded in other long-term liabilities, and the current portion is recorded in other current liabilities in the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Level 3 liabilities measured at fair value on a recurring basis, the significant unobservable inputs used in the fair value measurements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3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8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8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gridSpan w:val="3"/>
          </w:tcPr>
          <w:p>
            <w:pPr>
              <w:jc w:val="center"/>
              <w:ind w:left="1177"/>
              <w:spacing w:after="0"/>
              <w:rPr>
                <w:sz w:val="20"/>
                <w:szCs w:val="20"/>
                <w:color w:val="auto"/>
              </w:rPr>
            </w:pPr>
            <w:r>
              <w:rPr>
                <w:rFonts w:ascii="Times New Roman" w:cs="Times New Roman" w:eastAsia="Times New Roman" w:hAnsi="Times New Roman"/>
                <w:sz w:val="14"/>
                <w:szCs w:val="14"/>
                <w:b w:val="1"/>
                <w:bCs w:val="1"/>
                <w:color w:val="auto"/>
                <w:w w:val="95"/>
              </w:rPr>
              <w:t>Input Value</w:t>
            </w:r>
            <w:r>
              <w:rPr>
                <w:rFonts w:ascii="Times New Roman" w:cs="Times New Roman" w:eastAsia="Times New Roman" w:hAnsi="Times New Roman"/>
                <w:sz w:val="18"/>
                <w:szCs w:val="18"/>
                <w:b w:val="1"/>
                <w:bCs w:val="1"/>
                <w:color w:val="auto"/>
                <w:w w:val="95"/>
                <w:vertAlign w:val="superscript"/>
              </w:rPr>
              <w:t>(a)</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margin range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- 33.9%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- 33.9%</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rate range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 (2.0%)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 (2.0)%</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Employment Agreement Award</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approach</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recurring EBITDA multiple</w:t>
            </w:r>
          </w:p>
        </w:tc>
        <w:tc>
          <w:tcPr>
            <w:tcW w:w="2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4.1x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4.1x</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160" w:type="dxa"/>
            <w:vAlign w:val="bottom"/>
            <w:tcBorders>
              <w:bottom w:val="single" w:sz="8" w:color="CCEEFF"/>
            </w:tcBorders>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margin range</w:t>
            </w:r>
          </w:p>
        </w:tc>
        <w:tc>
          <w:tcPr>
            <w:tcW w:w="21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- 9.3%</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rate range</w:t>
            </w:r>
          </w:p>
        </w:tc>
        <w:tc>
          <w:tcPr>
            <w:tcW w:w="2160" w:type="dxa"/>
            <w:vAlign w:val="bottom"/>
            <w:gridSpan w:val="3"/>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- 2.5%</w:t>
            </w:r>
          </w:p>
        </w:tc>
        <w:tc>
          <w:tcPr>
            <w:tcW w:w="0" w:type="dxa"/>
            <w:vAlign w:val="bottom"/>
          </w:tcPr>
          <w:p>
            <w:pPr>
              <w:spacing w:after="0"/>
              <w:rPr>
                <w:sz w:val="1"/>
                <w:szCs w:val="1"/>
                <w:color w:val="auto"/>
              </w:rPr>
            </w:pPr>
          </w:p>
        </w:tc>
      </w:tr>
      <w:tr>
        <w:trPr>
          <w:trHeight w:val="27"/>
        </w:trPr>
        <w:tc>
          <w:tcPr>
            <w:tcW w:w="2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firstLine="8"/>
        <w:spacing w:after="0" w:line="302" w:lineRule="auto"/>
        <w:tabs>
          <w:tab w:leader="none" w:pos="127"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Any significant increases or decreases in unobservable inputs could result in significantly higher or lower fair value measurements. Changes in fair value measurements, if significant, may affect the Company’s performance of cash flows.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using Level 3 inputs as defined in ASC 820. These assets are not measured at fair value on an ongoing basis but are subject to fair value adjustments only in certain circumstances. Included in this category are goodwill, net, Radio Broadcasting licenses, net, and other intangible assets, net, which are written down to fair value when they are determined to be impaired, as well as content assets that are periodically written down to net realizable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Company’s financial instruments consisted of cash and cash equivalents, restricted cash, trade accounts receivable, its asset-backed credit facility, and long-term debt. The carrying amounts approximated fair value for each of these financial instruments as of March 31, 2026 and December 31, 2025, except for the Company’s long-term debt, which is disclosed in Note </w:t>
      </w:r>
      <w:r>
        <w:rPr>
          <w:rFonts w:ascii="Times New Roman" w:cs="Times New Roman" w:eastAsia="Times New Roman" w:hAnsi="Times New Roman"/>
          <w:sz w:val="18"/>
          <w:szCs w:val="18"/>
          <w:i w:val="1"/>
          <w:iCs w:val="1"/>
          <w:color w:val="auto"/>
        </w:rPr>
        <w:t>9 - Debt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CONTENT ASSETS, NET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gross cost and accumulated amortization of content assets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60" w:type="dxa"/>
            <w:vAlign w:val="bottom"/>
          </w:tcPr>
          <w:p>
            <w:pPr>
              <w:spacing w:after="0"/>
              <w:rPr>
                <w:sz w:val="16"/>
                <w:szCs w:val="16"/>
                <w:color w:val="auto"/>
              </w:rPr>
            </w:pPr>
          </w:p>
        </w:tc>
        <w:tc>
          <w:tcPr>
            <w:tcW w:w="1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37"/>
        </w:trPr>
        <w:tc>
          <w:tcPr>
            <w:tcW w:w="7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00" w:type="dxa"/>
            <w:vAlign w:val="bottom"/>
            <w:tcBorders>
              <w:bottom w:val="single" w:sz="8" w:color="auto"/>
            </w:tcBorders>
            <w:gridSpan w:val="2"/>
          </w:tcPr>
          <w:p>
            <w:pPr>
              <w:spacing w:after="0"/>
              <w:rPr>
                <w:sz w:val="3"/>
                <w:szCs w:val="3"/>
                <w:color w:val="auto"/>
              </w:rPr>
            </w:pPr>
          </w:p>
        </w:tc>
      </w:tr>
      <w:tr>
        <w:trPr>
          <w:trHeight w:val="227"/>
        </w:trPr>
        <w:tc>
          <w:tcPr>
            <w:tcW w:w="7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Content, net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Produced Content, net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Completed</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85,595</w:t>
            </w:r>
          </w:p>
        </w:tc>
      </w:tr>
      <w:tr>
        <w:trPr>
          <w:trHeight w:val="27"/>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production</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4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development and pre-production</w:t>
            </w:r>
          </w:p>
        </w:tc>
        <w:tc>
          <w:tcPr>
            <w:tcW w:w="20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112,021</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7"/>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9"/>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Amortization of content assets is recorded in the unaudited condensed consolidated statements of operations as programming and technical expenses. Content amortization for the three months ended March 31, 2026 and 2025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4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9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amortization - acquired</w:t>
            </w:r>
          </w:p>
        </w:tc>
        <w:tc>
          <w:tcPr>
            <w:tcW w:w="1580" w:type="dxa"/>
            <w:vAlign w:val="bottom"/>
            <w:tcBorders>
              <w:bottom w:val="single" w:sz="8" w:color="CCEEFF"/>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amortization - produced</w:t>
            </w:r>
          </w:p>
        </w:tc>
        <w:tc>
          <w:tcPr>
            <w:tcW w:w="1580" w:type="dxa"/>
            <w:vAlign w:val="bottom"/>
          </w:tcPr>
          <w:p>
            <w:pPr>
              <w:spacing w:after="0"/>
              <w:rPr>
                <w:sz w:val="21"/>
                <w:szCs w:val="21"/>
                <w:color w:val="auto"/>
              </w:rPr>
            </w:pPr>
          </w:p>
        </w:tc>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27"/>
        </w:trPr>
        <w:tc>
          <w:tcPr>
            <w:tcW w:w="59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content amortization</w:t>
            </w:r>
          </w:p>
        </w:tc>
        <w:tc>
          <w:tcPr>
            <w:tcW w:w="158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9,869</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DISPOSITIONS AND ACQUISITIONS</w:t>
      </w:r>
    </w:p>
    <w:p>
      <w:pPr>
        <w:spacing w:after="0" w:line="229" w:lineRule="exact"/>
        <w:rPr>
          <w:sz w:val="20"/>
          <w:szCs w:val="20"/>
          <w:color w:val="auto"/>
        </w:rPr>
      </w:pPr>
    </w:p>
    <w:p>
      <w:pPr>
        <w:jc w:val="both"/>
        <w:ind w:left="60" w:right="60" w:firstLine="567"/>
        <w:spacing w:after="0" w:line="261" w:lineRule="auto"/>
        <w:rPr>
          <w:sz w:val="20"/>
          <w:szCs w:val="20"/>
          <w:color w:val="auto"/>
        </w:rPr>
      </w:pPr>
      <w:r>
        <w:rPr>
          <w:rFonts w:ascii="Times New Roman" w:cs="Times New Roman" w:eastAsia="Times New Roman" w:hAnsi="Times New Roman"/>
          <w:sz w:val="18"/>
          <w:szCs w:val="18"/>
          <w:color w:val="auto"/>
        </w:rPr>
        <w:t>In March 2026, the Company entered into an agreement to sell its WMXG and WLNK-FM radio broadcasting licenses in Charlotte, North Carolina along with the associated station assets from the Radio Broadcasting segment to unrelated third parties for approximately $0.7 million and $4.2 million respectively, pending on approval by the Federal Communication Commission ("FCC"). The Company anticipates to complete the sale by the end of the second quarter of 2026. All stations will continue operating in their current format until the transaction receives FCC approval and closes.</w:t>
      </w:r>
    </w:p>
    <w:p>
      <w:pPr>
        <w:spacing w:after="0" w:line="180" w:lineRule="exact"/>
        <w:rPr>
          <w:sz w:val="20"/>
          <w:szCs w:val="20"/>
          <w:color w:val="auto"/>
        </w:rPr>
      </w:pPr>
    </w:p>
    <w:p>
      <w:pPr>
        <w:jc w:val="both"/>
        <w:ind w:left="60" w:right="60" w:firstLine="567"/>
        <w:spacing w:after="0" w:line="282" w:lineRule="auto"/>
        <w:rPr>
          <w:sz w:val="20"/>
          <w:szCs w:val="20"/>
          <w:color w:val="auto"/>
        </w:rPr>
      </w:pPr>
      <w:r>
        <w:rPr>
          <w:rFonts w:ascii="Times New Roman" w:cs="Times New Roman" w:eastAsia="Times New Roman" w:hAnsi="Times New Roman"/>
          <w:sz w:val="18"/>
          <w:szCs w:val="18"/>
          <w:color w:val="auto"/>
        </w:rPr>
        <w:t>The assets and liabilities associated with the radio stations have been reclassified as held-for-sale in the unaudited consolidated balance sheets as of March 31, 2026. The primary assets classified as held-for-sale are property of $0.1 million and broadcasting licenses of $0.1 million.</w:t>
      </w:r>
    </w:p>
    <w:p>
      <w:pPr>
        <w:spacing w:after="0" w:line="162" w:lineRule="exact"/>
        <w:rPr>
          <w:sz w:val="20"/>
          <w:szCs w:val="20"/>
          <w:color w:val="auto"/>
        </w:rPr>
      </w:pPr>
    </w:p>
    <w:p>
      <w:pPr>
        <w:jc w:val="both"/>
        <w:ind w:left="60" w:firstLine="567"/>
        <w:spacing w:after="0" w:line="261" w:lineRule="auto"/>
        <w:rPr>
          <w:sz w:val="20"/>
          <w:szCs w:val="20"/>
          <w:color w:val="auto"/>
        </w:rPr>
      </w:pPr>
      <w:r>
        <w:rPr>
          <w:rFonts w:ascii="Times New Roman" w:cs="Times New Roman" w:eastAsia="Times New Roman" w:hAnsi="Times New Roman"/>
          <w:sz w:val="18"/>
          <w:szCs w:val="18"/>
          <w:color w:val="auto"/>
        </w:rPr>
        <w:t>On April 28, 2026, the Company entered into an agreement to acquire Service Broadcasting Group, LLC, including radio stations KKDA and KRNB in Dallas, Texas for $22.0 million. At the same time, the Company also entered into an agreement to sell radio station KZMJ to Fuzion Dallas, LLC for $6.0 million. The transactions include the transfer of each station’s FCC license and related assets and are subject to approval by the FCC and other customary closing conditions. All stations will continue operating in their current format until the transaction receives FCC approval and closes.</w:t>
      </w:r>
    </w:p>
    <w:p>
      <w:pPr>
        <w:spacing w:after="0" w:line="178" w:lineRule="exact"/>
        <w:rPr>
          <w:sz w:val="20"/>
          <w:szCs w:val="20"/>
          <w:color w:val="auto"/>
        </w:rPr>
      </w:pPr>
    </w:p>
    <w:p>
      <w:pPr>
        <w:jc w:val="both"/>
        <w:ind w:left="60" w:firstLine="567"/>
        <w:spacing w:after="0" w:line="284" w:lineRule="auto"/>
        <w:rPr>
          <w:sz w:val="20"/>
          <w:szCs w:val="20"/>
          <w:color w:val="auto"/>
        </w:rPr>
      </w:pPr>
      <w:r>
        <w:rPr>
          <w:rFonts w:ascii="Times New Roman" w:cs="Times New Roman" w:eastAsia="Times New Roman" w:hAnsi="Times New Roman"/>
          <w:sz w:val="18"/>
          <w:szCs w:val="18"/>
          <w:color w:val="auto"/>
        </w:rPr>
        <w:t xml:space="preserve">As the conditions were not met for held-for-sale under Accounting Standards Codification No.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 of March 31, 2026, the assets and liabilities of KZMJ were not classified as held-for-sale.</w:t>
      </w:r>
    </w:p>
    <w:p>
      <w:pPr>
        <w:spacing w:after="0" w:line="160" w:lineRule="exact"/>
        <w:rPr>
          <w:sz w:val="20"/>
          <w:szCs w:val="20"/>
          <w:color w:val="auto"/>
        </w:rPr>
      </w:pPr>
    </w:p>
    <w:p>
      <w:pPr>
        <w:jc w:val="both"/>
        <w:ind w:left="60" w:firstLine="567"/>
        <w:spacing w:after="0" w:line="282" w:lineRule="auto"/>
        <w:rPr>
          <w:sz w:val="20"/>
          <w:szCs w:val="20"/>
          <w:color w:val="auto"/>
        </w:rPr>
      </w:pPr>
      <w:r>
        <w:rPr>
          <w:rFonts w:ascii="Times New Roman" w:cs="Times New Roman" w:eastAsia="Times New Roman" w:hAnsi="Times New Roman"/>
          <w:sz w:val="18"/>
          <w:szCs w:val="18"/>
          <w:color w:val="auto"/>
        </w:rPr>
        <w:t xml:space="preserve">The Company is currently evaluating the accounting treatment for the acquisition of Service Broadcasting Group, LLC in accordance with Accounting Standards Codification No.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including whether the acquired assets and activities meet the definition of a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NET AND INTANGIBLE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an annual impairment assessment as of October 1 of each year. As of March 31, 2026 the Company did not identify any triggering events indicating the fair value of the Company’s reporting units were more likely than not to be less than its carrying value. Based on this assessment, no goodwill impairment losses were recognized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an overall decline in revenue, forecasted revenue and operating profit margin brought on by declining industry and macro-economic conditions created a triggering event indicating the fair value of each of the Cable Television and Reach Media reporting units were more likely than not to be less than its’ carrying value. As a result, the Company performed an interim quantitative impairment assessment for the Cable Television and Reach Media reporting units to determine whether they were impaired. The Company estimated the fair value of the reporting units by utilizing a discounted cash flow model. The key assumptions used in the discounted cash flow model for goodwill include projected revenues, operating profit margins, terminal rate and discount rate. For Cable Television, the Company utilized a market value approach to supplement the discounted cash flow model. The market value approach utilized average EBITDA multiples from guideline public companies. Based on this assessment, the Company recognized impairment losses of approximately $53.1 million, and $0.5 million to reduce the carrying value of our Cable Television and Reach Media goodwill balances, respectively, for the year ended December 31, 2025.</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continues to monitor forecasted revenue and operating profit margin performance. Given the recent impairment losses recognized as of December 31, 2025 and to the extent there is a potential recession that further disrupts the economic environment impacting the financial performances, market shares, or changes in interest rates as well as decline in forecasted in operating profit margin performance, these events could negatively affect the key assumptions and result in significantly lower fair value of the reporting units and result in future impairment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 Broadcasting Licenses,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Company’s Radio Broadcasting Licenses, Net carrying value during the three months ended March 31, 2026.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20" w:type="dxa"/>
            <w:vAlign w:val="bottom"/>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6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43"/>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121,014</w:t>
            </w: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Assets-held-for sale (See Note </w:t>
            </w:r>
            <w:r>
              <w:rPr>
                <w:rFonts w:ascii="Times New Roman" w:cs="Times New Roman" w:eastAsia="Times New Roman" w:hAnsi="Times New Roman"/>
                <w:sz w:val="18"/>
                <w:szCs w:val="18"/>
                <w:i w:val="1"/>
                <w:iCs w:val="1"/>
                <w:color w:val="auto"/>
              </w:rPr>
              <w:t>7 - Dispositions and Acquisitions</w:t>
            </w: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6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117,046</w:t>
            </w:r>
          </w:p>
        </w:tc>
      </w:tr>
      <w:tr>
        <w:trPr>
          <w:trHeight w:val="20"/>
        </w:trPr>
        <w:tc>
          <w:tcPr>
            <w:tcW w:w="8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related to the broadcasting licenses for the years 2026 through 2031, and thereafter,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6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7"/>
        </w:trPr>
        <w:tc>
          <w:tcPr>
            <w:tcW w:w="8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r>
      <w:tr>
        <w:trPr>
          <w:trHeight w:val="27"/>
        </w:trPr>
        <w:tc>
          <w:tcPr>
            <w:tcW w:w="8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7"/>
        </w:trPr>
        <w:tc>
          <w:tcPr>
            <w:tcW w:w="8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48,533</w:t>
            </w:r>
          </w:p>
        </w:tc>
      </w:tr>
      <w:tr>
        <w:trPr>
          <w:trHeight w:val="27"/>
        </w:trPr>
        <w:tc>
          <w:tcPr>
            <w:tcW w:w="86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TV One Trade Name,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TV One Trade Name during the three months ended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6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44"/>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r>
      <w:tr>
        <w:trPr>
          <w:trHeight w:val="24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4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7"/>
        </w:trPr>
        <w:tc>
          <w:tcPr>
            <w:tcW w:w="8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9"/>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23,466</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estimated amortization expense related to the TV One Trade Name for the years 2026 through 2031 and thereafter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w:t>
            </w:r>
          </w:p>
        </w:tc>
      </w:tr>
      <w:tr>
        <w:trPr>
          <w:trHeight w:val="75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net consists of the following:</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21"/>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10.500% First Lien Senior Secured Notes due 2030 </w:t>
            </w:r>
            <w:r>
              <w:rPr>
                <w:rFonts w:ascii="Times New Roman" w:cs="Times New Roman" w:eastAsia="Times New Roman" w:hAnsi="Times New Roman"/>
                <w:sz w:val="23"/>
                <w:szCs w:val="23"/>
                <w:i w:val="1"/>
                <w:iCs w:val="1"/>
                <w:color w:val="auto"/>
                <w:vertAlign w:val="superscript"/>
              </w:rPr>
              <w:t>(1, 3)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60,600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7.625% Second Lien Secured Notes due 2031 </w:t>
            </w:r>
            <w:r>
              <w:rPr>
                <w:rFonts w:ascii="Times New Roman" w:cs="Times New Roman" w:eastAsia="Times New Roman" w:hAnsi="Times New Roman"/>
                <w:sz w:val="23"/>
                <w:szCs w:val="23"/>
                <w:i w:val="1"/>
                <w:iCs w:val="1"/>
                <w:color w:val="auto"/>
                <w:vertAlign w:val="superscript"/>
              </w:rPr>
              <w:t>(1, 3)</w:t>
            </w:r>
          </w:p>
        </w:tc>
        <w:tc>
          <w:tcPr>
            <w:tcW w:w="260" w:type="dxa"/>
            <w:vAlign w:val="bottom"/>
          </w:tcPr>
          <w:p>
            <w:pPr>
              <w:spacing w:after="0"/>
              <w:rPr>
                <w:sz w:val="23"/>
                <w:szCs w:val="23"/>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258,572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291,020</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7.375% Senior Secured Notes due February 2028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3"/>
                <w:szCs w:val="23"/>
                <w:i w:val="1"/>
                <w:iCs w:val="1"/>
                <w:color w:val="auto"/>
                <w:vertAlign w:val="superscript"/>
              </w:rPr>
              <w: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outstanding on long-term debt</w:t>
            </w:r>
          </w:p>
        </w:tc>
        <w:tc>
          <w:tcPr>
            <w:tcW w:w="26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326,688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363,436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7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Add: Premium </w:t>
            </w:r>
            <w:r>
              <w:rPr>
                <w:rFonts w:ascii="Times New Roman" w:cs="Times New Roman" w:eastAsia="Times New Roman" w:hAnsi="Times New Roman"/>
                <w:sz w:val="23"/>
                <w:szCs w:val="23"/>
                <w:i w:val="1"/>
                <w:iCs w:val="1"/>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88,056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69,174</w:t>
            </w: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412,110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2030 First Lien Notes and 2031 Second Lien Notes pay interest semiannually on April 1 and October 1 of each year in arrears.</w:t>
      </w:r>
    </w:p>
    <w:p>
      <w:pPr>
        <w:spacing w:after="0" w:line="37" w:lineRule="exact"/>
        <w:rPr>
          <w:rFonts w:ascii="Times New Roman" w:cs="Times New Roman" w:eastAsia="Times New Roman" w:hAnsi="Times New Roman"/>
          <w:sz w:val="12"/>
          <w:szCs w:val="12"/>
          <w:color w:val="auto"/>
        </w:rPr>
      </w:pPr>
    </w:p>
    <w:p>
      <w:pPr>
        <w:ind w:firstLine="8"/>
        <w:spacing w:after="0" w:line="279" w:lineRule="auto"/>
        <w:tabs>
          <w:tab w:leader="none" w:pos="169"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Subsequent to the effectiveness of the supplemental indenture on December 18, 2025, these notes are no longer secured. While these notes are styled as senior secured notes they are no longer secured by collateral. The 2028 Notes pay interest semiannually on February 1 and August 1 of each year in arrears.</w:t>
      </w:r>
    </w:p>
    <w:p>
      <w:pPr>
        <w:spacing w:after="0" w:line="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2030 First Lien Notes and 2031 Second Lien Notes are accounted for under Accounting Standards Codification No. 470-60, </w:t>
      </w:r>
      <w:r>
        <w:rPr>
          <w:rFonts w:ascii="Times New Roman" w:cs="Times New Roman" w:eastAsia="Times New Roman" w:hAnsi="Times New Roman"/>
          <w:sz w:val="12"/>
          <w:szCs w:val="12"/>
          <w:i w:val="1"/>
          <w:iCs w:val="1"/>
          <w:color w:val="auto"/>
        </w:rPr>
        <w:t>Troubled Debt Restructurings by Debtors</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repurchase its debt securities in open market purchases. Under open authorizations by the Company's Board of Directors, repurchases of the outstanding debt may be made from time to time on the open market or in privately negotiated transactions in accordance with applicable laws and regulations. Repurchased debt is retired when repurchased. The timing and extent of any repurchases will depend upon prevailing market conditions, the trading price of the Company’s outstanding debt and other factors, and subject to restrictions under applicable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repurchased approximately $32.4 million of its 2031 Second Lien Notes at a weighted average price of approximately 40.7% of par. As the 2031 Second Lien Notes are accounted under Accounting Standards Codification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no gain was recorded. Instead, the Company recorded an additional premium of $19.3 million, which is included in long-term debt, net on the Company's consolidated balance sheets.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premium will result in interest expense being recognized at an effective interest rate of approximately 5.30% and 1.63% through the term of the 2030 First Lien Notes and 2031 Second Lien Notes. The difference in the contractual interest payments and interest expense will reduce the premium.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2031 Second Lien Notes as of March 31, 2026 was $104.2 million. The fair value of the 2030 First Lien Notes as of March 31, 2026, was $60.8 million. The fair value of the 2030 First Lien Notes and 2031 Second Lien Notes, classified as a Level 2 instrument, were determined based on the trading values of this instrument in an inactive market as of the reporting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repurchased approximately $23.5 million of its 2031 Second Lien Notes at a weighted average price of approximately 42.0% of par. Subsequent to the repurchases, the total outstanding balance of the 2031 Second Lien Notes is $235.1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approximately $4.3 million of its 2028 Notes at a weighted average price of approximately 51.0% of par, resulting in a net gain on retirement of debt of approximately $2.1 million, included in the unaudited consolidated statement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interest rate for the 2028 Notes for the three months ended March 31, 2026 and 2025 were approximately 7.71% and 7.84%,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approximately $28.2 million of its 2028 Notes at a weighted average price of approximately 58.0% of par, resulting in a net gain on retirement of debt of approximately $11.6 million, included in the unaudited consolidated statement of operations.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2028 Notes had a fair value of approximately $3.9 million as of March 31, 2026. The fair value of the 2028 Notes, classified as a Level 2 instrument, was determined based on the trading values of this instrument in an inactive market as of the reporting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giving effect to all the repurchases of the outstanding debt, including subsequent events, the Company has approximately $19.9 million remaining under the current authorization by the Board of Directors on a cash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Backed Line of Credit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18, 2025, the Company drew $10.0 million on the Current ABL Facility, which was repaid in the first quarter of 2026. In March 2026, the Company drew another $10.0 million on the Current ABL Facility with a six-month maturity at an interest rate of approximately 6.09%, which remains outstanding as of March 31, 2026. After giving effect to the $10.0 million drawdown and adjustments to account for the Borrowing Base, the</w:t>
      </w:r>
    </w:p>
    <w:p>
      <w:pPr>
        <w:spacing w:after="0"/>
        <w:rPr>
          <w:sz w:val="20"/>
          <w:szCs w:val="20"/>
          <w:color w:val="auto"/>
        </w:rPr>
      </w:pPr>
      <w:r>
        <w:rPr>
          <w:rFonts w:ascii="Times New Roman" w:cs="Times New Roman" w:eastAsia="Times New Roman" w:hAnsi="Times New Roman"/>
          <w:sz w:val="18"/>
          <w:szCs w:val="18"/>
          <w:color w:val="auto"/>
        </w:rPr>
        <w:t>Company's borrowing capacity was approximately $31.8 million as of March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made two separate draws of $5.0 million each for a total of $10.0 million in the second quarter of 2026, payable at an</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interest rate of approximately 6.75% and 6.01%</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After giving effect to the outstanding $10.0 million drawdown, the additional $10.0 million drawdown in the second quarter of 2026 and adjustments to account for the Borrowing Base, the Company's borrowing capacity was approximately $22.0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Principal Payments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scheduled minimum principal payments of long-term debt as of March 31, 2026,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Long-term debt</w:t>
            </w:r>
          </w:p>
        </w:tc>
      </w:tr>
      <w:tr>
        <w:trPr>
          <w:trHeight w:val="37"/>
        </w:trPr>
        <w:tc>
          <w:tcPr>
            <w:tcW w:w="9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9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258,572</w:t>
            </w:r>
          </w:p>
        </w:tc>
      </w:tr>
      <w:tr>
        <w:trPr>
          <w:trHeight w:val="27"/>
        </w:trPr>
        <w:tc>
          <w:tcPr>
            <w:tcW w:w="9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326,688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deferred financing costs included in interest expense for all instruments, for each of the three months ended March 31, 2026 and March 31, 2025, were approximately $0.3 million and $0.5 million, respectively. The Company is in compliance with all of its debt covenants as of March 31, 2026 and expects to remain in compliance with all covenants over at least the next 12 months.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estimated annual effective tax rate method under Accounting Standards Codification No. 740-270,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 calculate the provision for income taxes. The Company recorded a benefit from income taxes of approximately $1.4 million on a pre-tax loss from unaudited condensed consolidated operations of approximately $4.5 million for the three months ended March 31, 2026. This results in an effective tax rate of approximately 31.7%. The estimated annual effective tax rate differs from the federal statutory tax rate of 21% primarily due to the impact of state taxes, non-deductible expenses, and the impact of the valuation allowance against disallowed interest expense and net operating losses.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No.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Company continues to evaluate the realizability of its net deferred tax assets (“DTAs”) by assessing the future tax consequences of events that have been recognized in the Company’s financial statements or tax returns, tax planning strategies, and future profitability. Management considers all available evidence, both negative and positive, that could impact the future realization of these. As of March 31, 2026, the Company maintains a valuation allowance on its DTAs, most significantly its net operating losses and disallowed interest expense assets, after taking into consideration future taxable income from reversing deferred tax liabilities.</w:t>
      </w:r>
    </w:p>
    <w:p>
      <w:pPr>
        <w:spacing w:after="0" w:line="2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continuous examination of the Company’s income tax returns by the Internal Revenue Service and other domestic tax authorities. The Company believes that an adequate provision has been made for any adjustments that may result from tax examinations.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Reportable segments represent components of a company for which separate financial information is available that is regularly reviewed by the Chief Operating Decision Maker (“CODM”), which is our President and Chief Executive Officer (“CEO”), in determining how to allocate resources and assess performance. Our four reportable segments include the following:</w:t>
      </w:r>
    </w:p>
    <w:p>
      <w:pPr>
        <w:spacing w:after="0" w:line="176" w:lineRule="exact"/>
        <w:rPr>
          <w:sz w:val="20"/>
          <w:szCs w:val="20"/>
          <w:color w:val="auto"/>
        </w:rPr>
      </w:pPr>
    </w:p>
    <w:p>
      <w:pPr>
        <w:ind w:left="540" w:hanging="208"/>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Radio Broadcasting consists of all radio broadcast results of operations as well as low powered television operations.</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Media consists of the results of operations for the related activities and operations of the Company’s syndicated radio shows.</w:t>
      </w:r>
    </w:p>
    <w:p>
      <w:pPr>
        <w:spacing w:after="0" w:line="225" w:lineRule="exact"/>
        <w:rPr>
          <w:rFonts w:ascii="Times New Roman" w:cs="Times New Roman" w:eastAsia="Times New Roman" w:hAnsi="Times New Roman"/>
          <w:sz w:val="18"/>
          <w:szCs w:val="18"/>
          <w:color w:val="auto"/>
        </w:rPr>
      </w:pPr>
    </w:p>
    <w:p>
      <w:pPr>
        <w:ind w:left="340" w:right="20" w:hanging="8"/>
        <w:spacing w:after="0" w:line="282"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includes the results of the Company’s online business, including the operations of Interactive One, as well as the digital components of the Company’s other reportable segments.</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Television includes the results of operations of TV One and CLEO TV.</w:t>
      </w:r>
    </w:p>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reportable segments above, the Company has a “Corporate/Eliminations/Other” category that includes business activities not directly attributable to a specific reportable segment. Each of our four reportable segments operate in the United States and are consistently aligned with the Company’s management of its businesses and its financial reporting structure.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our reportable segments enter into transactions with one another. While intercompany transactions are treated like third-party transactions to determine segment performance, the revenues and expenses recognized by the segment that is counterparty to the transaction are eliminated in consolidation and do not affect consolidated results.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segment structure reflects the financial information and reports used by the Company’s management, specifically its CODM, who is responsible for reviewing segment performance and making decisions regarding resource allocations, performance assessments, as well as our current operating focus. Asset and asset related information are not key measures used by the CODM. The CODM does not regularly receive or review information pertaining to assets by segments or in totality.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CODM evaluates each segment’s performance based on Segment Adjusted EBITDA (defined below), guiding strategic decisions to align with company-wide goals, assessing the operating results and performance of the segments, identifying strategies to improve performance, and allocating resources to each segment. Segment Adjusted EBITDA is used to facilitate a comparison of the ordinary, ongoing and customary course of our operations on a consistent basis from period to period and provide an additional understanding of factors and trends affecting our business segments. Significant segment expenses provided to the CODM and included within Segment Adjusted EBITDA include programming and technical, sales and marketing, and general and administrative.</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defines Segment Adjusted EBITDA as net revenue less (1) programming and technical, (2) sales and marketing, (3) general and administrative operating expenses, plus (4) severance-related costs, and (5) other costs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Detailed segment data for the three months ended March 31, 2026 and 2025 is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Radio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0"/>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Broadcasting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4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Cable Television</w:t>
            </w:r>
          </w:p>
        </w:tc>
      </w:tr>
      <w:tr>
        <w:trPr>
          <w:trHeight w:val="37"/>
        </w:trPr>
        <w:tc>
          <w:tcPr>
            <w:tcW w:w="5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36,032</w:t>
            </w: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technical</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w:t>
            </w: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Severance-related costs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12,944</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0"/>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9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Radio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0"/>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Broadcasting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Reach Media</w:t>
            </w:r>
          </w:p>
        </w:tc>
        <w:tc>
          <w:tcPr>
            <w:tcW w:w="4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Digital</w:t>
            </w:r>
          </w:p>
        </w:tc>
        <w:tc>
          <w:tcPr>
            <w:tcW w:w="120" w:type="dxa"/>
            <w:vAlign w:val="bottom"/>
          </w:tcPr>
          <w:p>
            <w:pPr>
              <w:spacing w:after="0"/>
              <w:rPr>
                <w:sz w:val="16"/>
                <w:szCs w:val="16"/>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Cable Television</w:t>
            </w:r>
          </w:p>
        </w:tc>
      </w:tr>
      <w:tr>
        <w:trPr>
          <w:trHeight w:val="37"/>
        </w:trPr>
        <w:tc>
          <w:tcPr>
            <w:tcW w:w="5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w:t>
            </w: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technical</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back/(deduct):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Severance-related costs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segment costs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40" w:type="dxa"/>
            <w:vAlign w:val="bottom"/>
            <w:gridSpan w:val="4"/>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7"/>
        </w:trPr>
        <w:tc>
          <w:tcPr>
            <w:tcW w:w="7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8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9"/>
                <w:szCs w:val="19"/>
                <w:color w:val="auto"/>
              </w:rPr>
            </w:pPr>
          </w:p>
        </w:tc>
      </w:tr>
      <w:tr>
        <w:trPr>
          <w:trHeight w:val="37"/>
        </w:trPr>
        <w:tc>
          <w:tcPr>
            <w:tcW w:w="7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to (loss) income before benefit from (provision for) income taxes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41"/>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w:t>
            </w:r>
          </w:p>
        </w:tc>
        <w:tc>
          <w:tcPr>
            <w:tcW w:w="1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Pr>
          <w:p>
            <w:pPr>
              <w:spacing w:after="0"/>
              <w:rPr>
                <w:sz w:val="21"/>
                <w:szCs w:val="21"/>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Corporate/Eliminations/Other</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costs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Severance-related costs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ceased non-core business initiatives</w:t>
            </w:r>
          </w:p>
        </w:tc>
        <w:tc>
          <w:tcPr>
            <w:tcW w:w="1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r>
      <w:tr>
        <w:trPr>
          <w:trHeight w:val="24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benefit from (provision for) income taxes</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1"/>
        </w:trPr>
        <w:tc>
          <w:tcPr>
            <w:tcW w:w="75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726"/>
        </w:trPr>
        <w:tc>
          <w:tcPr>
            <w:tcW w:w="7500" w:type="dxa"/>
            <w:vAlign w:val="bottom"/>
          </w:tcPr>
          <w:p>
            <w:pPr>
              <w:spacing w:after="0"/>
              <w:rPr>
                <w:sz w:val="24"/>
                <w:szCs w:val="24"/>
                <w:color w:val="auto"/>
              </w:rPr>
            </w:pPr>
          </w:p>
        </w:tc>
        <w:tc>
          <w:tcPr>
            <w:tcW w:w="3040" w:type="dxa"/>
            <w:vAlign w:val="bottom"/>
            <w:gridSpan w:val="4"/>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24"/>
                <w:szCs w:val="24"/>
                <w:color w:val="auto"/>
              </w:rPr>
            </w:pPr>
          </w:p>
        </w:tc>
      </w:tr>
      <w:tr>
        <w:trPr>
          <w:trHeight w:val="37"/>
        </w:trPr>
        <w:tc>
          <w:tcPr>
            <w:tcW w:w="75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75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r>
      <w:tr>
        <w:trPr>
          <w:trHeight w:val="37"/>
        </w:trPr>
        <w:tc>
          <w:tcPr>
            <w:tcW w:w="75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7"/>
        </w:trPr>
        <w:tc>
          <w:tcPr>
            <w:tcW w:w="7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80" w:type="dxa"/>
            <w:vAlign w:val="bottom"/>
            <w:gridSpan w:val="3"/>
          </w:tcPr>
          <w:p>
            <w:pPr>
              <w:jc w:val="center"/>
              <w:ind w:right="3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9"/>
                <w:szCs w:val="19"/>
                <w:color w:val="auto"/>
              </w:rPr>
            </w:pPr>
          </w:p>
        </w:tc>
      </w:tr>
      <w:tr>
        <w:trPr>
          <w:trHeight w:val="37"/>
        </w:trPr>
        <w:tc>
          <w:tcPr>
            <w:tcW w:w="7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Radio Broadcasting</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1"/>
                <w:szCs w:val="21"/>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Reach Media</w:t>
            </w:r>
          </w:p>
        </w:tc>
        <w:tc>
          <w:tcPr>
            <w:tcW w:w="1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7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Television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 corporate/eliminations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7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 Broadcasting Licenses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Company’s radio stations operates pursuant to one or more licenses issued by the FCC that have a maximum term of 8 years prior to renewal. The Company’s Radio Broadcasting licenses expire at various times beginning in October 2027 through August 2030. Although the Company may apply to renew its Radio Broadcasting licenses, third parties may challenge the Company’s renewal applications. The Company is not aware of any facts or circumstances that would prevent the Company from having its current licenses renewed. A station may continue to operate beyond the expiration date of its license if a timely filed license renewal application is filed and is pending.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Musical works rights holders, songwriters and music publishers, have been traditionally represented by performing rights organizations, such as the American Society of Composers Authors and Publishers (“ASCAP”), Broadcast Music, Inc. (“BMI”) and SESAC, Inc. (“SESAC”). The market for rights relating to musical works is changing rapidly. Songwriters and music publishers have withdrawn from the traditional performing rights organizations (“PRO”), particularly ASCAP and BMI, and new entities, such as Global Music Rights Inc. (“GMR”), have been formed to represent rights holders. These organizations negotiate fees with copyright users, collect royalties and distribute them to the rights holders. These licenses periodically come up for renewal and he outcome of these renewal negotiations could impact, and potentially increase, the Company’s music license fees. In addition, there is no guarantee that additional PROs will not emerge, which could impact, and in some circumstances increase, the Company’s royalty rates and negotiation costs.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participating member of the Radio Music Licensing Committee (“RMLC”), the Company is a party to a settlement reached with GMR on February 7, 2022. This agreement established a 4-year license running from April 1, 2022 to March 31, 2026. The license includes an optional 3-year extended term that the Company has opted into with the agreement now running through March 31, 2029.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named as a defendant in several legal actions arising in the ordinary course of business. It is management’s opinion, after consultation with its legal counsel, that the outcome of these claims will not have a material adverse effect on the Company’s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Please see Note </w:t>
      </w:r>
      <w:r>
        <w:rPr>
          <w:rFonts w:ascii="Times New Roman" w:cs="Times New Roman" w:eastAsia="Times New Roman" w:hAnsi="Times New Roman"/>
          <w:sz w:val="18"/>
          <w:szCs w:val="18"/>
          <w:i w:val="1"/>
          <w:iCs w:val="1"/>
          <w:color w:val="auto"/>
        </w:rPr>
        <w:t>7 - Dispositions and Acquisitions</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9 - Debt</w:t>
      </w:r>
      <w:r>
        <w:rPr>
          <w:rFonts w:ascii="Times New Roman" w:cs="Times New Roman" w:eastAsia="Times New Roman" w:hAnsi="Times New Roman"/>
          <w:sz w:val="18"/>
          <w:szCs w:val="18"/>
          <w:color w:val="auto"/>
        </w:rPr>
        <w:t xml:space="preserve"> for additional information for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Within our core radio business, the Company primarily derives revenue from the sale of advertising time and program sponsorships to local and national advertisers on our radio stations. Advertising revenue is affected primarily by the advertising rates our radio stations are able to charge, as well as the overall demand for radio advertising time in a market. These rates are largely based upon a radio station’s audience share in the demographic groups targeted by advertisers, the number of radio stations in the related market, and the supply of, and demand for, radio advertising time. Advertising rates are generally highest during morning and afternoon commuting hours.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broadcasting industry, radio stations and television stations often utilize trade or barter agreements to reduce cash expenses by exchanging advertising time for goods or services. In order to maximize cash revenue for our spot inventory, the Company closely manages the use of trade and barter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revenue consists of gross revenue, net of local and national agency and outside sales representative commissions. Agency and outside sales representative commissions are calculated based on a stated percentage applied to gross billing.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percentage of unaudited condensed consolidated net revenue generated by each reporting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Pr>
          <w:p>
            <w:pPr>
              <w:spacing w:after="0"/>
              <w:rPr>
                <w:sz w:val="16"/>
                <w:szCs w:val="16"/>
                <w:color w:val="auto"/>
              </w:rPr>
            </w:pPr>
          </w:p>
        </w:tc>
        <w:tc>
          <w:tcPr>
            <w:tcW w:w="350" w:type="dxa"/>
            <w:vAlign w:val="bottom"/>
          </w:tcPr>
          <w:p>
            <w:pPr>
              <w:spacing w:after="0"/>
              <w:rPr>
                <w:sz w:val="16"/>
                <w:szCs w:val="16"/>
                <w:color w:val="auto"/>
              </w:rPr>
            </w:pPr>
          </w:p>
        </w:tc>
        <w:tc>
          <w:tcPr>
            <w:tcW w:w="17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170" w:type="dxa"/>
            <w:vAlign w:val="bottom"/>
            <w:tcBorders>
              <w:bottom w:val="single" w:sz="8" w:color="auto"/>
            </w:tcBorders>
          </w:tcPr>
          <w:p>
            <w:pPr>
              <w:spacing w:after="0"/>
              <w:rPr>
                <w:sz w:val="3"/>
                <w:szCs w:val="3"/>
                <w:color w:val="auto"/>
              </w:rPr>
            </w:pPr>
          </w:p>
        </w:tc>
      </w:tr>
      <w:tr>
        <w:trPr>
          <w:trHeight w:val="186"/>
        </w:trPr>
        <w:tc>
          <w:tcPr>
            <w:tcW w:w="7340" w:type="dxa"/>
            <w:vAlign w:val="bottom"/>
            <w:gridSpan w:val="2"/>
          </w:tcPr>
          <w:p>
            <w:pPr>
              <w:ind w:left="68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50" w:type="dxa"/>
            <w:vAlign w:val="bottom"/>
          </w:tcPr>
          <w:p>
            <w:pPr>
              <w:spacing w:after="0"/>
              <w:rPr>
                <w:sz w:val="16"/>
                <w:szCs w:val="16"/>
                <w:color w:val="auto"/>
              </w:rPr>
            </w:pPr>
          </w:p>
        </w:tc>
        <w:tc>
          <w:tcPr>
            <w:tcW w:w="170" w:type="dxa"/>
            <w:vAlign w:val="bottom"/>
          </w:tcPr>
          <w:p>
            <w:pPr>
              <w:spacing w:after="0"/>
              <w:rPr>
                <w:sz w:val="16"/>
                <w:szCs w:val="16"/>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50" w:type="dxa"/>
            <w:vAlign w:val="bottom"/>
            <w:tcBorders>
              <w:bottom w:val="single" w:sz="8" w:color="auto"/>
            </w:tcBorders>
          </w:tcPr>
          <w:p>
            <w:pPr>
              <w:spacing w:after="0"/>
              <w:rPr>
                <w:sz w:val="3"/>
                <w:szCs w:val="3"/>
                <w:color w:val="auto"/>
              </w:rPr>
            </w:pPr>
          </w:p>
        </w:tc>
        <w:tc>
          <w:tcPr>
            <w:tcW w:w="170" w:type="dxa"/>
            <w:vAlign w:val="bottom"/>
            <w:tcBorders>
              <w:bottom w:val="single" w:sz="8" w:color="auto"/>
            </w:tcBorders>
          </w:tcPr>
          <w:p>
            <w:pPr>
              <w:spacing w:after="0"/>
              <w:rPr>
                <w:sz w:val="3"/>
                <w:szCs w:val="3"/>
                <w:color w:val="auto"/>
              </w:rPr>
            </w:pPr>
          </w:p>
        </w:tc>
      </w:tr>
      <w:tr>
        <w:trPr>
          <w:trHeight w:val="243"/>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Radio Broadcasting segment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35.4%</w:t>
            </w:r>
          </w:p>
        </w:tc>
      </w:tr>
      <w:tr>
        <w:trPr>
          <w:trHeight w:val="24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Reach Media segment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0" w:type="dxa"/>
            <w:vAlign w:val="bottom"/>
          </w:tcPr>
          <w:p>
            <w:pPr>
              <w:spacing w:after="0"/>
              <w:rPr>
                <w:sz w:val="2"/>
                <w:szCs w:val="2"/>
                <w:color w:val="auto"/>
              </w:rPr>
            </w:pPr>
          </w:p>
        </w:tc>
        <w:tc>
          <w:tcPr>
            <w:tcW w:w="17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segment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shd w:val="clear" w:color="auto" w:fill="CCEEFF"/>
              </w:rPr>
              <w:t>11.1%</w:t>
            </w:r>
          </w:p>
        </w:tc>
      </w:tr>
      <w:tr>
        <w:trPr>
          <w:trHeight w:val="24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Cable Television segment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5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0" w:type="dxa"/>
            <w:vAlign w:val="bottom"/>
          </w:tcPr>
          <w:p>
            <w:pPr>
              <w:spacing w:after="0"/>
              <w:rPr>
                <w:sz w:val="2"/>
                <w:szCs w:val="2"/>
                <w:color w:val="auto"/>
              </w:rPr>
            </w:pPr>
          </w:p>
        </w:tc>
        <w:tc>
          <w:tcPr>
            <w:tcW w:w="170" w:type="dxa"/>
            <w:vAlign w:val="bottom"/>
          </w:tcPr>
          <w:p>
            <w:pPr>
              <w:spacing w:after="0"/>
              <w:rPr>
                <w:sz w:val="2"/>
                <w:szCs w:val="2"/>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 corporate/eliminations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shd w:val="clear" w:color="auto" w:fill="CCEEFF"/>
              </w:rPr>
              <w:t>(0.7)</w:t>
            </w: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r>
      <w:tr>
        <w:trPr>
          <w:trHeight w:val="40"/>
        </w:trPr>
        <w:tc>
          <w:tcPr>
            <w:tcW w:w="58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0" w:type="dxa"/>
            <w:vAlign w:val="bottom"/>
            <w:shd w:val="clear" w:color="auto" w:fill="CCEEFF"/>
          </w:tcPr>
          <w:p>
            <w:pPr>
              <w:spacing w:after="0"/>
              <w:rPr>
                <w:sz w:val="3"/>
                <w:szCs w:val="3"/>
                <w:color w:val="auto"/>
              </w:rPr>
            </w:pPr>
          </w:p>
        </w:tc>
        <w:tc>
          <w:tcPr>
            <w:tcW w:w="17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percentages generated from local and national advertising as a subset of net revenue from our core radio business.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7440" w:type="dxa"/>
            <w:vAlign w:val="bottom"/>
            <w:gridSpan w:val="2"/>
          </w:tcPr>
          <w:p>
            <w:pPr>
              <w:ind w:left="70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core radio business generated from local advertising</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shd w:val="clear" w:color="auto" w:fill="CCEEFF"/>
              </w:rPr>
              <w:t>66.1%</w:t>
            </w:r>
          </w:p>
        </w:tc>
      </w:tr>
      <w:tr>
        <w:trPr>
          <w:trHeight w:val="22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core radio business generated from national advertising, including</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4"/>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network advertising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core radio business generated from other revenue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4.3%</w:t>
            </w:r>
          </w:p>
        </w:tc>
      </w:tr>
      <w:tr>
        <w:trPr>
          <w:trHeight w:val="41"/>
        </w:trPr>
        <w:tc>
          <w:tcPr>
            <w:tcW w:w="59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sources of our net revenue for the three months ended March 31, 2026 and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1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Radio advertising</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Political advertising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advertising</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21"/>
                <w:szCs w:val="21"/>
                <w:color w:val="auto"/>
              </w:rPr>
            </w:pPr>
          </w:p>
        </w:tc>
        <w:tc>
          <w:tcPr>
            <w:tcW w:w="1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Television advertising</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Television affiliate fees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21"/>
                <w:szCs w:val="21"/>
                <w:color w:val="auto"/>
              </w:rPr>
            </w:pPr>
          </w:p>
        </w:tc>
        <w:tc>
          <w:tcPr>
            <w:tcW w:w="1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Event revenues &amp; other</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*NM - Not meaningful</w:t>
      </w:r>
    </w:p>
    <w:p>
      <w:pPr>
        <w:spacing w:after="0" w:line="2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Reach Media primarily derives its revenue from the sale of advertising in connection with its syndicated radio shows, including the Rickey Smiley Morning Show and the DL Hughley Show. Reach Media also operates www.BlackAmericaWeb.com, an African-American targeted news and entertainment website, in addition to providing various other event-related activities.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Within our Digital segment, Interactive One generates the majority of the Company’s digital revenue. Our digital revenue is principally derived from advertising services on non-radio station branded, but Company-owned websites. Advertising services include the sale of banner and sponsorship advertisements. As the Company runs its advertising campaigns, the customer simultaneously receives benefits as impressions are delivered, and revenue is recognized. The amount of revenue recognized each month is based on the number of impressions delivered multiplied by the effective per impression unit price and is equal to the net amount receivable from the customer.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Cable Television segment generates the Company’s cable television revenue and derives its revenue principally from advertising and affiliate revenue. Advertising revenue is derived from the sale of television airtime to advertisers and is recognized when the advertisements are run. Our Cable Television segment also derives revenue from affiliate fees under the terms of various multi-year affiliation agreements generally based on a per subscriber royalty for the right to distribute the Company’s programming under the terms of the distribution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significant expenses are: (i) employee salaries and commissions; (ii) programming expenses; (iii) marketing and promotional expenses; (iv) rental of premises for office facilities and studios; (v) rental of transmission tower space; (vi) music license royalty fees; and (vii) content amortization. The Company strives to control these expenses by centralizing certain functions such as finance, accounting, legal, human resources, and management information systems and, in certain markets, the programming management function. We also use our multiple stations, market presence and purchasing power to negotiate favorable rates with certain vendors and national representative selling agencies. In addition to salaries and commissions, major expenses for our internet business include membership traffic acquisition costs, software product design, post-application software development and maintenance, database and server support costs, the help desk function, data center expenses connected with internet service provider (“ISP”) hosting services and other internet content delivery expenses. Major expenses for our Cable Television segment include content acquisition and amortization, sales, and marketing.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generally incurs marketing and promotional expenses to increase and maintain our audiences. However, because Nielsen reports ratings either monthly or quarterly, depending on the particular market, any changed ratings and the effect on advertising revenue tends to lag behind both the reporting of the ratings and the incurrence of advertising and promotional expenditures.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URBAN ONE,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historical unaudited condensed consolidated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the three months ended March 31, 2025</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9"/>
                <w:szCs w:val="19"/>
                <w:color w:val="auto"/>
              </w:rPr>
            </w:pPr>
          </w:p>
        </w:tc>
      </w:tr>
      <w:tr>
        <w:trPr>
          <w:trHeight w:val="37"/>
        </w:trPr>
        <w:tc>
          <w:tcPr>
            <w:tcW w:w="5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7"/>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45"/>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and technical, excluding 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excluding stock-based compensation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(70.3)</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(99.2)</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(59.7)</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benefit from (provision for) income taxes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(73.6)</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6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20" w:type="dxa"/>
            <w:vAlign w:val="bottom"/>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w:t>
            </w:r>
          </w:p>
        </w:tc>
        <w:tc>
          <w:tcPr>
            <w:tcW w:w="11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(14,584)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we recognized approximately $77.7 million in net revenue compared to approximately $92.2 million during the three months ended March 31, 2025. These amounts are net of agency and outside sales representative commissions. We recognized approximately $30.5 million of revenue from our Radio Broadcasting segment during the three months ended March 31, 2026, compared to approximately $32.6 million during the three months ended March 31, 2025, a decrease of approximately $2.1 million. This decrease was primarily driven by weaker overall market demand from the national and local advertisers. We recognized approximately $4.9 million of revenue from our Reach Media segment during the three months ended March 31, 2026, compared to approximately $5.9 million for the three months ended March 31, 2025, a decrease of approximately $1.0 million. This decrease was primarily driven by a decrease in national sales. We recognized approximately $6.8 million of revenue from our Digital segment during the three months ended March 31, 2026, compared to approximately $10.2 million for the three months ended March 31, 2025, a decrease of approximately $3.4 million. This decrease was primarily driven by the decrease in direct revenue streams, reflecting reduced advertising spend from diversity, equity and inclusion-focused campaigns. We recognized approximately $36.0 million of revenue from our Cable Television segment during the three months ended March 31, 2026, compared to approximately $44.2 million for the three months ended March 31, 2025, a decrease of approximately $8.2 million. This decrease was primarily driven by the churn of subscribers and lower advertising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Programming And Technical, Excluding Stock-based Compensation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60" w:type="dxa"/>
            <w:vAlign w:val="bottom"/>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4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00" w:type="dxa"/>
            <w:vAlign w:val="bottom"/>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w:t>
            </w:r>
          </w:p>
        </w:tc>
        <w:tc>
          <w:tcPr>
            <w:tcW w:w="13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8"/>
                <w:szCs w:val="18"/>
                <w:color w:val="auto"/>
              </w:rPr>
              <w:t>(593)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6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Programming and technical expenses include expenses associated with on-air talent and the management and maintenance of the systems, tower facilities, and studios used in the creation, distribution, and broadcast of programming content on our radio stations. Programming and technical expenses for the Radio Broadcasting segment also include expenses associated with our programming research activities and music royalties. For our Digital segment, programming and technical expenses include software product design, post-application software development and maintenance, database and server support costs, the help desk function, data center expenses connected with ISP hosting services and other internet content delivery expenses. For our Cable Television segment, programming and technical expenses include expenses associated with technical, programming, production, and content management. Programming and technical expenses were approximately $30.0 million for the three months ended March 31, 2026, compared to approximately $30.6 million for the three months ended March 31, 2025, respectively. The $0.6 million decrease is primarily due to lower programming and lower residual expense in our Cable Television Segment.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Excluding Stock-based Compensation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20" w:type="dxa"/>
            <w:vAlign w:val="bottom"/>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50,105</w:t>
            </w:r>
          </w:p>
        </w:tc>
        <w:tc>
          <w:tcPr>
            <w:tcW w:w="12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(6,622)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include expenses associated with our sales departments, offices, corporate headquarters and facilities, marketing and promotional expenses, special events and sponsorships, and back-office expenses. Expenses associated with securing ratings data for our radio stations and visitors’ data for our websites, personnel, and other corporate overhead functions are also included in selling, general and administrative expenses. In addition, selling, general and administrative expenses for the Radio Broadcasting segment and Digital segment include expenses related to the advertising traffic (scheduling and insertion) functions. Selling, general and administrative expenses also include membership traffic acquisition costs for our Digital segment. Selling, general and administrative expenses were approximately $43.5 million for the three months ended March 31, 2026, compared to approximately $50.1 million for the three months ended March 31, 2025, a decrease of approximately $6.6 million. Expenses in our Digital segment decreased by approximately $2.0 million for the three months ended March 31, 2026, compared to the three months ended March 31, 2025, primarily due to a decrease in traffic acquisition costs due to lower revenue. Expenses in our Cable segment decreased by approximately $2.5 million for the three months ended March 31, 2026, compared to the three months ended March 31, 2025, primarily due to the timing of media campaigns and lower media monitoring expenses. Expenses in our Radio Broadcasting segment decreased approximately $1.1 million for the three months ended March 31, 2026, compared to the three months ended March 31, 2025, primarily due to lower revenue, lower headcount costs, lower facility and rental costs, lower national rep fees and lower bank charges. Expenses in our Reach Media segment increased approximately $1.1 million for the three months ended March 31, 2026, compared to the three months ended March 31, 2025, primarily due to lower bad debt reserve, lower bank charges, and lower revenue. Expenses in corporate decreased approximately $0.5 million for the three months ended March 31, 2026, compared to the three months ended March 31, 2025, primarily due to lower professional service and payroll related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60" w:type="dxa"/>
            <w:vAlign w:val="bottom"/>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60" w:type="dxa"/>
            <w:vAlign w:val="bottom"/>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2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3,862</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*NM</w:t>
            </w:r>
          </w:p>
        </w:tc>
      </w:tr>
      <w:tr>
        <w:trPr>
          <w:trHeight w:val="27"/>
        </w:trPr>
        <w:tc>
          <w:tcPr>
            <w:tcW w:w="6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$6.2 million for the three months ended March 31, 2026, compared to approximately $2.3 million for the three months ended March 31, 2025, an increase of approximately $3.9 million. This increase is primarily driven by the Radio Broadcasting licenses amortization, which the Company started to amortize in the second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00" w:type="dxa"/>
            <w:vAlign w:val="bottom"/>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60" w:type="dxa"/>
            <w:vAlign w:val="bottom"/>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(6,443)</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*NM</w:t>
            </w:r>
          </w:p>
        </w:tc>
      </w:tr>
      <w:tr>
        <w:trPr>
          <w:trHeight w:val="27"/>
        </w:trPr>
        <w:tc>
          <w:tcPr>
            <w:tcW w:w="6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Impairment of intangible assets was approximately $6.4 million during the three months ended March 31, 2025. There was no impairment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20" w:type="dxa"/>
            <w:vAlign w:val="bottom"/>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82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2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jc w:val="right"/>
              <w:ind w:right="1279"/>
              <w:spacing w:after="0"/>
              <w:rPr>
                <w:sz w:val="20"/>
                <w:szCs w:val="20"/>
                <w:color w:val="auto"/>
              </w:rPr>
            </w:pPr>
            <w:r>
              <w:rPr>
                <w:rFonts w:ascii="Times New Roman" w:cs="Times New Roman" w:eastAsia="Times New Roman" w:hAnsi="Times New Roman"/>
                <w:sz w:val="18"/>
                <w:szCs w:val="18"/>
                <w:color w:val="auto"/>
              </w:rPr>
              <w:t>6,517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7"/>
        </w:trPr>
        <w:tc>
          <w:tcPr>
            <w:tcW w:w="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was approximately $4.4 million for the three months ended March 31, 2026, compared to approximately $10.9 million for the three months ended March 31, 2025, a decrease of approximately $6.5 million. This decrease was due to lower overall debt balances outstanding as well as lower effective interest rates. See Note </w:t>
      </w:r>
      <w:r>
        <w:rPr>
          <w:rFonts w:ascii="Times New Roman" w:cs="Times New Roman" w:eastAsia="Times New Roman" w:hAnsi="Times New Roman"/>
          <w:sz w:val="18"/>
          <w:szCs w:val="18"/>
          <w:i w:val="1"/>
          <w:iCs w:val="1"/>
          <w:color w:val="auto"/>
        </w:rPr>
        <w:t>9 - Debt</w:t>
      </w:r>
      <w:r>
        <w:rPr>
          <w:rFonts w:ascii="Times New Roman" w:cs="Times New Roman" w:eastAsia="Times New Roman" w:hAnsi="Times New Roman"/>
          <w:sz w:val="18"/>
          <w:szCs w:val="18"/>
          <w:color w:val="auto"/>
        </w:rPr>
        <w:t xml:space="preserve"> of the Company’s unaudited condensed consolidated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Retirement Of Debt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20" w:type="dxa"/>
            <w:vAlign w:val="bottom"/>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158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2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(9,507)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was an approximately $2.1 million gain on retirement of debt for the three months ended March 31, 2026, compared to approximately $11.6 million for the three months ended March 31, 2025. During the three months ended March 31, 2026, the Company repurchased approximately $4.3 million of its 2028 Notes at an average price of approximately 51.0% of par, resulting in a net gain on retirement of debt of approximately $2.1 million. During the three months March 31, 2025, the Company repurchased approximately $28.2 million of its 2028 Notes at an average price of approximately 58.0% of par, resulting in a net gain on retirement of debt of approximately $11.6 million.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2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00" w:type="dxa"/>
            <w:vAlign w:val="bottom"/>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60" w:type="dxa"/>
            <w:vAlign w:val="bottom"/>
          </w:tcPr>
          <w:p>
            <w:pPr>
              <w:jc w:val="right"/>
              <w:ind w:right="1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37"/>
        </w:trPr>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12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17,099</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*NM</w:t>
            </w:r>
          </w:p>
        </w:tc>
      </w:tr>
      <w:tr>
        <w:trPr>
          <w:trHeight w:val="27"/>
        </w:trPr>
        <w:tc>
          <w:tcPr>
            <w:tcW w:w="6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recorded a benefit from income taxes of approximately $1.4 million resulting in an effective tax rate of 31.7%. For the three months ended March 31, 2025, we recorded a provision for income taxes of approximately $15.7 million resulting in an effective tax rate of 399.5%, which includes $14.6 million of discrete tax expense related to valuation allowance for net operating losses, and $0.2 million of discrete tax expense related to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presentation of non-GAAP financial measures is not intended to be considered in isolation from, as a substitute for, or superior to the financial information prepared and presented in accordance with accounting principles generally accepted in the United States (“GAAP”). We use non-GAAP financial measures including broadcast and digital operating income and Adjusted EBITDA as additional means to evaluate our business and operating results through period-to-period comparisons. Reconciliations of our non-GAAP financial measures to the most directly comparable GAAP financial measures are included below for review. Reliance should not be placed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monitor and evaluate the growth and operational performance of our business using net loss and the following key metrics:</w:t>
      </w:r>
    </w:p>
    <w:p>
      <w:pPr>
        <w:spacing w:after="0" w:line="223" w:lineRule="exact"/>
        <w:rPr>
          <w:sz w:val="20"/>
          <w:szCs w:val="20"/>
          <w:color w:val="auto"/>
        </w:rPr>
      </w:pPr>
    </w:p>
    <w:p>
      <w:pPr>
        <w:jc w:val="both"/>
        <w:ind w:firstLine="656"/>
        <w:spacing w:after="0" w:line="256"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The performance of an individual radio station or group of radio stations in a particular market is customarily measured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ability to generate net revenue. Net revenue consists of gross revenue, net of local and national agency and outside sales representative commissions consistent with industry practice. Net revenue is recognized in the period in which advertisements are broadcast. Net revenue also includes advertising aired in exchange for goods and services, which is recorded at fair value, revenue from sponsored events and other revenue. Net revenue is recognized for our online business as impressions are delivered. Net revenue is recognized for our Cable Television segment as advertisements are run or impressions delivered, and during the term of the affiliation agreements at levels appropriate for the most recent subscriber counts reported by the affiliate, net of launch support.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Broadcast and digital operating income</w:t>
      </w:r>
      <w:r>
        <w:rPr>
          <w:rFonts w:ascii="Times New Roman" w:cs="Times New Roman" w:eastAsia="Times New Roman" w:hAnsi="Times New Roman"/>
          <w:sz w:val="18"/>
          <w:szCs w:val="18"/>
          <w:color w:val="auto"/>
        </w:rPr>
        <w:t>: The radio broadcasting industry commonly refers to “station operating income” which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Broadcast and digital operating income decreased to approximately $14.9 million for the three months ended March 31, 2026, compared to approximately $23.0 million for the three months ended March 31, 2025, a decrease of approximately $8.2 million or 35.4%. This decrease was primarily due to lower broadcast and digital operating income at all segments. Our Digital segment generated approximately $1.4 million of broadcast and digital operating loss during the three months ended March 31, 2026, compared to approximately $0.1 million of broadcast and digital operating income during the three months ended March 31, 2025, primarily due to lower revenues. Reach Media generated approximately $0.6 million of broadcast and digital operating loss during the three months ended March 31, 2026, compared to approximately $0.7 million during the three months ended March 31, 2025, primarily due to lower expenses. Our Radio Broadcasting segment generated approximately $1.8 million of broadcast and digital operating income during the three months ended March 31, 2026, compared to approximately $2.7 million during the three months ended March 31, 2025, primarily due to lower revenues offset by lower expenses. Finally, Cable Television generated approximately $12.9 million of broadcast and digital operating income during the three months ended March 31, 2026, compared to approximately $18.6 million during the three months ended March 31, 2025. The decrease in the Cable Television segment’s broadcast and digital operating income was primarily due to lower revenues offset by lower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56"/>
        <w:spacing w:after="0" w:line="252" w:lineRule="auto"/>
        <w:tabs>
          <w:tab w:leader="none" w:pos="12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consists of net (loss) income plus (1) depreciation and amortization, income taxes,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income attributable to non-controlling interests, impairment of intangible assets, stock-based compensation, (gain) loss on retirement of debt, employment agreement award and other compensation, corporate costs, non-recurring litigation settlement costs, non-recurring debt refinancing costs, severance-related costs, investment income, loss from unconsolidated joint venture, loss from ceased non-core business initiatives less (2) 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provide a summary of our performance based on the metrics described above: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7"/>
        </w:trPr>
        <w:tc>
          <w:tcPr>
            <w:tcW w:w="4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186"/>
        </w:trPr>
        <w:tc>
          <w:tcPr>
            <w:tcW w:w="4420" w:type="dxa"/>
            <w:vAlign w:val="bottom"/>
          </w:tcPr>
          <w:p>
            <w:pPr>
              <w:spacing w:after="0"/>
              <w:rPr>
                <w:sz w:val="16"/>
                <w:szCs w:val="16"/>
                <w:color w:val="auto"/>
              </w:rPr>
            </w:pPr>
          </w:p>
        </w:tc>
        <w:tc>
          <w:tcPr>
            <w:tcW w:w="2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r>
      <w:tr>
        <w:trPr>
          <w:trHeight w:val="37"/>
        </w:trPr>
        <w:tc>
          <w:tcPr>
            <w:tcW w:w="44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227"/>
        </w:trPr>
        <w:tc>
          <w:tcPr>
            <w:tcW w:w="4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45"/>
        </w:trPr>
        <w:tc>
          <w:tcPr>
            <w:tcW w:w="4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940" w:type="dxa"/>
            <w:vAlign w:val="bottom"/>
            <w:tcBorders>
              <w:bottom w:val="single" w:sz="8" w:color="CCEEFF"/>
            </w:tcBorders>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92,235</w:t>
            </w:r>
          </w:p>
        </w:tc>
        <w:tc>
          <w:tcPr>
            <w:tcW w:w="380" w:type="dxa"/>
            <w:vAlign w:val="bottom"/>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Broadcast and digital operating income</w:t>
            </w: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rPr>
              <w:t>23,016</w:t>
            </w:r>
          </w:p>
        </w:tc>
        <w:tc>
          <w:tcPr>
            <w:tcW w:w="38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12,857</w:t>
            </w:r>
          </w:p>
        </w:tc>
        <w:tc>
          <w:tcPr>
            <w:tcW w:w="380" w:type="dxa"/>
            <w:vAlign w:val="bottom"/>
          </w:tcPr>
          <w:p>
            <w:pPr>
              <w:spacing w:after="0"/>
              <w:rPr>
                <w:sz w:val="21"/>
                <w:szCs w:val="2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rPr>
              <w:t>(11,742)</w:t>
            </w:r>
          </w:p>
        </w:tc>
        <w:tc>
          <w:tcPr>
            <w:tcW w:w="380" w:type="dxa"/>
            <w:vAlign w:val="bottom"/>
          </w:tcPr>
          <w:p>
            <w:pPr>
              <w:spacing w:after="0"/>
              <w:rPr>
                <w:sz w:val="21"/>
                <w:szCs w:val="21"/>
                <w:color w:val="auto"/>
              </w:rPr>
            </w:pPr>
          </w:p>
        </w:tc>
      </w:tr>
      <w:tr>
        <w:trPr>
          <w:trHeight w:val="918"/>
        </w:trPr>
        <w:tc>
          <w:tcPr>
            <w:tcW w:w="4420" w:type="dxa"/>
            <w:vAlign w:val="bottom"/>
          </w:tcPr>
          <w:p>
            <w:pPr>
              <w:spacing w:after="0"/>
              <w:rPr>
                <w:sz w:val="24"/>
                <w:szCs w:val="2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34</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net loss attributable to common stockholders to broadcast and digital operating income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9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7"/>
        </w:trPr>
        <w:tc>
          <w:tcPr>
            <w:tcW w:w="5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9"/>
                <w:szCs w:val="19"/>
                <w:color w:val="auto"/>
              </w:rPr>
            </w:pPr>
          </w:p>
        </w:tc>
      </w:tr>
      <w:tr>
        <w:trPr>
          <w:trHeight w:val="145"/>
        </w:trPr>
        <w:tc>
          <w:tcPr>
            <w:tcW w:w="5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50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r>
      <w:tr>
        <w:trPr>
          <w:trHeight w:val="225"/>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back/(deduct) certain non-broadcast and digital operating income items</w:t>
            </w: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net loss:</w:t>
            </w: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r>
      <w:tr>
        <w:trPr>
          <w:trHeight w:val="27"/>
        </w:trPr>
        <w:tc>
          <w:tcPr>
            <w:tcW w:w="5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225"/>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selling, general and administrative, excluding stock-based</w:t>
            </w:r>
          </w:p>
        </w:tc>
        <w:tc>
          <w:tcPr>
            <w:tcW w:w="1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1"/>
        </w:trPr>
        <w:tc>
          <w:tcPr>
            <w:tcW w:w="59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compensation </w:t>
            </w:r>
            <w:r>
              <w:rPr>
                <w:rFonts w:ascii="Times New Roman" w:cs="Times New Roman" w:eastAsia="Times New Roman" w:hAnsi="Times New Roman"/>
                <w:sz w:val="23"/>
                <w:szCs w:val="23"/>
                <w:color w:val="auto"/>
                <w:vertAlign w:val="superscript"/>
              </w:rPr>
              <w:t>(a)</w:t>
            </w:r>
          </w:p>
        </w:tc>
        <w:tc>
          <w:tcPr>
            <w:tcW w:w="1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1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r>
      <w:tr>
        <w:trPr>
          <w:trHeight w:val="27"/>
        </w:trPr>
        <w:tc>
          <w:tcPr>
            <w:tcW w:w="5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5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5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Broadcast and digital operating income</w:t>
            </w:r>
          </w:p>
        </w:tc>
        <w:tc>
          <w:tcPr>
            <w:tcW w:w="150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23,016</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firstLine="8"/>
        <w:spacing w:after="0" w:line="230" w:lineRule="auto"/>
        <w:tabs>
          <w:tab w:leader="none" w:pos="15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Corporate selling, general and administrative expenses consist of expenses associated with our corporate headquarters and facilities, including personnel as well as other corporate overhead functions.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net loss attributable to common stockholders to Adjusted EBITDA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tcPr>
          <w:p>
            <w:pPr>
              <w:jc w:val="right"/>
              <w:ind w:right="10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9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7"/>
        </w:trPr>
        <w:tc>
          <w:tcPr>
            <w:tcW w:w="5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9"/>
                <w:szCs w:val="19"/>
                <w:color w:val="auto"/>
              </w:rPr>
            </w:pPr>
          </w:p>
        </w:tc>
      </w:tr>
      <w:tr>
        <w:trPr>
          <w:trHeight w:val="91"/>
        </w:trPr>
        <w:tc>
          <w:tcPr>
            <w:tcW w:w="5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540" w:type="dxa"/>
            <w:vAlign w:val="bottom"/>
            <w:tcBorders>
              <w:bottom w:val="single" w:sz="8" w:color="CCEEFF"/>
            </w:tcBorders>
            <w:shd w:val="clear" w:color="auto" w:fill="CCEEFF"/>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back/(deduct) certain Adjusted EBITDA items included in net loss:</w:t>
            </w:r>
          </w:p>
        </w:tc>
        <w:tc>
          <w:tcPr>
            <w:tcW w:w="1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5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540" w:type="dxa"/>
            <w:vAlign w:val="bottom"/>
            <w:tcBorders>
              <w:bottom w:val="single" w:sz="8" w:color="CCEEFF"/>
            </w:tcBorders>
            <w:shd w:val="clear" w:color="auto" w:fill="CCEEFF"/>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1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Severance-related costs</w:t>
            </w:r>
          </w:p>
        </w:tc>
        <w:tc>
          <w:tcPr>
            <w:tcW w:w="1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5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ceased non-core business initiatives</w:t>
            </w:r>
          </w:p>
        </w:tc>
        <w:tc>
          <w:tcPr>
            <w:tcW w:w="1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6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40" w:type="dxa"/>
            <w:vAlign w:val="bottom"/>
            <w:tcBorders>
              <w:top w:val="single" w:sz="8" w:color="auto"/>
              <w:bottom w:val="single" w:sz="8" w:color="auto"/>
            </w:tcBorders>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r>
      <w:tr>
        <w:trPr>
          <w:trHeight w:val="20"/>
        </w:trPr>
        <w:tc>
          <w:tcPr>
            <w:tcW w:w="5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cash provided by operations and, to the extent necessary, borrowings available under our asset-backed credit facility. Our cash, cash equivalents and restricted cash balance was approximately $28.0 million as of March 31, 2026. As of March 31, 2026, there were $10.0 million borrowings outstanding on the Current ABL Facility (as defined below) which has $75.0 million in overall capacity. After giving effect to the outstanding $10.0 million drawdown and adjustments to account for the Borrowing Base, the Company's borrowing capacity was approximately $31.8 million as of March 31, 2026.</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considers the impact of macroeconomic conditions on our business. Uncertainty in the macroeconomic environment with newly implemented tariffs, continued increases in inflation and interest rates, along with banking volatility, may have an adverse effect on our revenues.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repurchase its outstanding debt and/or equity securities in open market purchases. Under open authorizations, repurchases of our outstanding debt and/or equity securities may be made from time to time in the open market or in privately negotiated transactions in accordance with applicable laws and regulations. Repurchased debt and equity securities are retired when repurchased. The timing and extent of any repurchases will depend upon prevailing market conditions, the trading price of the Company’s outstanding debt and/or equity securities and other factors, and subject to restrictions under applicable law. All repurchase amounts reflected in this quarterly report (both the number of shares repurchased and repurchase prices) are reflective of the reverse stock split effective January 22, 2026.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27, 2022, the Compensation Committee authorized the repurchase of up to approximately $0.5 million (the “Employee Stock Repurchase Authorization”) worth of shares in the aggregate from employees who want to sell in connection with the Company’s most recent employee stock grant. During the three months ended March 31, 2025, the Company repurchased 9,897 shares of Class D stock under the authorization at an average price of $9.80. During the three months ended March 31, 2026, there was no repurchase activity. The Company has approximately $0.1 million remaining under the Employee Stock Repurchase Authorization.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2024, the Company’s Board of Directors approved a share repurchase authorization to repurchase up to $20.0 million of the Company's outstanding Class A and/or Class D Common Stock (collectively, the “2024 Stock Repurchase Program”) on a cash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44,952 shares of Class A Common Stock under the 2024 Stock Repurchase Program in the amount of approximately $0.7 million at an average price of $14.80 per share. During the three months ended March 31, 2025, the Company repurchased 20,464 shares of Class D Common Stock in the amount of approximately $0.2 million at an average price of $8.20 per share.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2024 Stock Repurchase Program has been limited due to certain restrictions on stock repurchases that were imposed in connection with our December 2025 Refinancing.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 has limited but ongoing authority to purchase shares of Class D Common Stock (in one or more transactions at any time there remain outstanding grants) under the 2019 Equity and Performance Incentive Plan (as defined below). This limited authority is used to satisfy any employee or other recipient tax obligations in connection with the exercise of an option or a share grant under the 2019 Equity and Performance Incentive Plan, to the extent that the Company has capacity under its financing agreements (i.e., its current credit facilities and indentures) (each a “Stock Vest Tax Repurchase”).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executed Stock Vest Tax Repurchases of 2,187 shares of Class D Common Stock at a price of $5.73 per share. During the three months ended March 31, 2025, the Company executed Stock Vest Tax Repurchases of 12,596 shares of Class D Common Stock at a price of $9.80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approximately $4.3 million of its 2028 Notes at a weighted average price of approximately 51.0% of par, resulting in a net gain on retirement of debt of approximately $2.1 million, included in the unaudited consolidated statement of operations and an outstanding balance of approximately $7.5 million as of March 31,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approximately $28.2 million of its 2028 Notes at an average price of approximately 58.0% of par, resulting in a net gain on retirement of debt of approximately $11.6 million.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repurchased approximately $32.4 million of its 2031Second Lien Notes at a weighted average price of approximately 40.7% of par. As the 2031 Second Lien Notes are accounted under Accounting Standards Codification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no gain was recorded. Instead, the Company recorded an additional premium of $19.3 million, which is included in long-term debt, net on the Company's consolidated balance sheets.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2026, the Company repurchased approximately $23.5 million of its 2031 Second Lien Notes at a weighted average price of approximately 42.0% of par. Subsequent to the repurchases, the total outstanding balance of the 2031 Second Lien Notes is $235.1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Backed Line of Credit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18, 2025, the Company entered into an amended and restated ABL facility (the “Current ABL Facility”) as a part of the 2025 Refinancing pursuant to an Amended and Restated Credit Agreement, among the Company, as the administrative borrower, together with the other borrowers party thereto, the lenders party thereto and Bank of America, N.A., as administrative agent (the “Current ABL Facility”), which amends and restates the 2021 ABL Facility in order to facilitate the issuance of new notes in connection with the 2025 Refinancing. The Current ABL Facility provides for, among other things, commitments in the aggregate principal amount of up to $75.0 million (subject to determination with reference to the “Borrowing Base”, as defined in the Current ABL Credit Facility)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w:t>
      </w:r>
    </w:p>
    <w:p>
      <w:pPr>
        <w:spacing w:after="0" w:line="151" w:lineRule="exact"/>
        <w:rPr>
          <w:sz w:val="20"/>
          <w:szCs w:val="20"/>
          <w:color w:val="auto"/>
        </w:rPr>
      </w:pPr>
    </w:p>
    <w:p>
      <w:pPr>
        <w:jc w:val="both"/>
        <w:ind w:firstLine="648"/>
        <w:spacing w:after="0" w:line="231" w:lineRule="exact"/>
        <w:rPr>
          <w:sz w:val="20"/>
          <w:szCs w:val="20"/>
          <w:color w:val="auto"/>
        </w:rPr>
      </w:pPr>
      <w:r>
        <w:rPr>
          <w:rFonts w:ascii="Times New Roman" w:cs="Times New Roman" w:eastAsia="Times New Roman" w:hAnsi="Times New Roman"/>
          <w:sz w:val="18"/>
          <w:szCs w:val="18"/>
          <w:color w:val="auto"/>
        </w:rPr>
        <w:t>The Current ABL Facility provides that interest on Base Rate Loans accrues at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annum rate equal to the applicable margin plus the Base Rate, and interest on Term SOFR Loans accrues at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annum rate equal to the applicable margin plus Term SOFR for the applicable interest period. In addition, upon the occurrence and during the continuance of an event of default, overdue principal, interest, and other amounts bear interest at rates generally 2.0% per annum above the rates otherwise applicable under the Current ABL Facility.</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Current ABL Facility matures on the earlier to occur of (a) December 18, 2030, (b) the date that is ninety-one (91) days prior to the maturity or expiration date applicable to any Material Indebtedness (other than the 2028 Notes) and (c) the date on which the 2028 Notes Non-Springing Maturity Condition fails to be true.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18, 2025, the Company drew $10.0 million on the on the Current ABL Facility, which was repaid in the first quarter of 2026. In March 2026, the Company drew $10.0 million on the Current ABL Facility with a six-month maturity at an interest rate of approximately 6.09% which remains outstanding as of March 31, 2026. After giving effect to the outstanding $10.0 million drawdown and adjustments to account for the Borrowing</w:t>
      </w:r>
    </w:p>
    <w:p>
      <w:pPr>
        <w:spacing w:after="0"/>
        <w:rPr>
          <w:sz w:val="20"/>
          <w:szCs w:val="20"/>
          <w:color w:val="auto"/>
        </w:rPr>
      </w:pPr>
      <w:r>
        <w:rPr>
          <w:rFonts w:ascii="Times New Roman" w:cs="Times New Roman" w:eastAsia="Times New Roman" w:hAnsi="Times New Roman"/>
          <w:sz w:val="18"/>
          <w:szCs w:val="18"/>
          <w:color w:val="auto"/>
        </w:rPr>
        <w:t>Base, the Company's borrowing capacity was approximately $31.8 million as of March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further made two separate draws of $5.0 million each for a total of $10.0 million in the second quarter of 2026, payable at an</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interest rate of approximately 6.75% and 6.01%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respectively. After giving effect to the outstanding $10.0 million drawdown, the additional $10.0 million drawdown in the second quarter of 2026 and adjustments to account for the Borrowing Base, the Company's borrowing capacity was approximately $22.0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statements of cash flows for the three months ended March 31, 2026, and 2025,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7"/>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r>
      <w:tr>
        <w:trPr>
          <w:trHeight w:val="37"/>
        </w:trPr>
        <w:tc>
          <w:tcPr>
            <w:tcW w:w="8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by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w:t>
            </w:r>
          </w:p>
        </w:tc>
      </w:tr>
      <w:tr>
        <w:trPr>
          <w:trHeight w:val="27"/>
        </w:trPr>
        <w:tc>
          <w:tcPr>
            <w:tcW w:w="8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flows provided by operating activities were approximately $22.1 million and $2.1 million for the three months ended March 31, 2026, and 2025, respectively. Net cash flow from operating activities for the three months ended March 31, 2026 increased primarily due to the timing of contractual interest payments due to the 2025 refinancing.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flows from operations, cash and cash equivalents, and other sources of liquidity are expected to be available and sufficient to meet foreseeable cash requirements.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flows (used in) provided by investing activities were approximately $3.4 million and $2.5 million for the three months ended March 31, 2026, and 2025, respectively. Net cash flows used in investing activities increased from the prior year primarily due to higher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Net cash flows used in financing activities were approximately $17.04 million and $21.5 million for the three months ended March 31, 2026, and 2025, respectively. The decrease was primarily driven by the debt repurchase activity as described in Note </w:t>
      </w:r>
      <w:r>
        <w:rPr>
          <w:rFonts w:ascii="Times New Roman" w:cs="Times New Roman" w:eastAsia="Times New Roman" w:hAnsi="Times New Roman"/>
          <w:sz w:val="18"/>
          <w:szCs w:val="18"/>
          <w:i w:val="1"/>
          <w:iCs w:val="1"/>
          <w:color w:val="auto"/>
        </w:rPr>
        <w:t>9 - Debt</w:t>
      </w:r>
      <w:r>
        <w:rPr>
          <w:rFonts w:ascii="Times New Roman" w:cs="Times New Roman" w:eastAsia="Times New Roman" w:hAnsi="Times New Roman"/>
          <w:sz w:val="18"/>
          <w:szCs w:val="18"/>
          <w:color w:val="auto"/>
        </w:rPr>
        <w:t xml:space="preserve"> as well as the purchase of the non-controlling interest in Reach Media (see </w:t>
      </w:r>
      <w:r>
        <w:rPr>
          <w:rFonts w:ascii="Times New Roman" w:cs="Times New Roman" w:eastAsia="Times New Roman" w:hAnsi="Times New Roman"/>
          <w:sz w:val="18"/>
          <w:szCs w:val="18"/>
          <w:i w:val="1"/>
          <w:iCs w:val="1"/>
          <w:color w:val="auto"/>
        </w:rPr>
        <w:t>5 - Fair Value Measurements).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continuing basis, Standard and Poor’s, Moody’s Investor Services, and other rating agencies may evaluate our indebtedness in order to assign a credit rating. Our corporate credit ratings by Standard &amp; Poor's Rating Services and Moody's Investors Service are speculative-grade and have been downgraded and upgraded at various times during the last several years. Any reductions in our credit ratings could increase our borrowing costs, reduce the availability of financing to us or increase our cost of doing business or otherwise negatively impact our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w:t>
      </w:r>
      <w:r>
        <w:rPr>
          <w:rFonts w:ascii="Times New Roman" w:cs="Times New Roman" w:eastAsia="Times New Roman" w:hAnsi="Times New Roman"/>
          <w:sz w:val="18"/>
          <w:szCs w:val="18"/>
          <w:i w:val="1"/>
          <w:iCs w:val="1"/>
          <w:color w:val="auto"/>
        </w:rPr>
        <w:t>2 – Summary of Significant Accounting Policies</w:t>
      </w:r>
      <w:r>
        <w:rPr>
          <w:rFonts w:ascii="Times New Roman" w:cs="Times New Roman" w:eastAsia="Times New Roman" w:hAnsi="Times New Roman"/>
          <w:sz w:val="18"/>
          <w:szCs w:val="18"/>
          <w:color w:val="auto"/>
        </w:rPr>
        <w:t xml:space="preserve"> of the consolidated financial statements in our 2025 Form 10-K. There have been no significant changes in our critical accounting policies from those presented in our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described in our Form 10-K for the year ended December 31, 2025, under the heading Part II - Item 7. Management’s Discussion and Analysis of Financial Condition and Results of Operations. There have been no significant changes in our critical accounting estimates from those presented in our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Note </w:t>
      </w:r>
      <w:r>
        <w:rPr>
          <w:rFonts w:ascii="Times New Roman" w:cs="Times New Roman" w:eastAsia="Times New Roman" w:hAnsi="Times New Roman"/>
          <w:sz w:val="18"/>
          <w:szCs w:val="18"/>
          <w:i w:val="1"/>
          <w:iCs w:val="1"/>
          <w:color w:val="auto"/>
        </w:rPr>
        <w:t>2 – Summary of Significant Accounting Policies</w:t>
      </w:r>
      <w:r>
        <w:rPr>
          <w:rFonts w:ascii="Times New Roman" w:cs="Times New Roman" w:eastAsia="Times New Roman" w:hAnsi="Times New Roman"/>
          <w:sz w:val="18"/>
          <w:szCs w:val="18"/>
          <w:color w:val="auto"/>
        </w:rPr>
        <w:t xml:space="preserve"> of our unaudited condensed consolidated financial statements for a summary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COMMERCIAL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 Broadcasting Licenses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Company’s radio stations operates pursuant to one or more licenses issued by the Federal Communications Commission that have a maximum term of 8 years prior to renewal. The Company’s Radio Broadcasting licenses expire at various times beginning in October 2027, through August 2030. Although the Company may apply to renew its Radio Broadcasting licenses, third parties may challenge the Company’s renewal applications. The Company is not aware of any facts or circumstances that would prevent the Company from having its current licenses renewed. A station may continue to operate beyond the expiration date of its license if a timely filed license renewal application was filed and is pending.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March 31, 2026, we had approximately $258.6 million of our 2031 Second Lien Notes, $60.6 million of our 2030 First Lien Notes and $7.5 million of our 2028 Notes outstanding within our corporate structure. See Note </w:t>
      </w:r>
      <w:r>
        <w:rPr>
          <w:rFonts w:ascii="Times New Roman" w:cs="Times New Roman" w:eastAsia="Times New Roman" w:hAnsi="Times New Roman"/>
          <w:sz w:val="18"/>
          <w:szCs w:val="18"/>
          <w:i w:val="1"/>
          <w:iCs w:val="1"/>
          <w:color w:val="auto"/>
        </w:rPr>
        <w:t>9 - Debt</w:t>
      </w:r>
      <w:r>
        <w:rPr>
          <w:rFonts w:ascii="Times New Roman" w:cs="Times New Roman" w:eastAsia="Times New Roman" w:hAnsi="Times New Roman"/>
          <w:sz w:val="18"/>
          <w:szCs w:val="18"/>
          <w:color w:val="auto"/>
        </w:rPr>
        <w:t xml:space="preserve"> of our consolidated financial statements. In addition, the Company entered into an amended and restated ABL facility (the “Current ABL Facility”) as a part of the 2025 Refinancing pursuant to an Amended and Restated Credit Agreement. The ABL Credit Facility provides for, among other things, commitments in the aggregate principal amount of up to $75 million (subject to determination with reference to the “Borrowing Base”, as defined in the Current ABL Credit Facility), with incremental capacity to incur an additional principal amount of up to $25.0 million. As of March 31, 2026, there were $10.0 million borrowings outstanding on the Current ABL Facility. See Note </w:t>
      </w:r>
      <w:r>
        <w:rPr>
          <w:rFonts w:ascii="Times New Roman" w:cs="Times New Roman" w:eastAsia="Times New Roman" w:hAnsi="Times New Roman"/>
          <w:sz w:val="18"/>
          <w:szCs w:val="18"/>
          <w:i w:val="1"/>
          <w:iCs w:val="1"/>
          <w:color w:val="auto"/>
        </w:rPr>
        <w:t>9</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of our unaudited condensed consolidated financial statements. After giving effect to the outstanding $10.0 million drawdown and adjustments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the Borrowing Base, the Company's borrowing capacity was approximately $31.8 million as of March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Musical works rights holders, songwriters and music publishers, have been traditionally represented by performing rights organizations, such as the American Society of Composers Authors and Publishers (“ASCAP”), Broadcast Music, Inc. (“BMI”) and SESAC, Inc. (“SESAC”). The market for rights relating to musical works is changing rapidly. Songwriters and music publishers have withdrawn from the traditional performing rights organizations, particularly ASCAP and BMI, and new entities, such as Global Music Rights Inc. (“GMR”), have been formed to represent rights holders. These organizations negotiate fees with copyright users, collect royalties and distribute them to the rights holders. These licenses periodically come up for renewal and, as a result, certain of our performing rights organizations (“PRO”) licenses are currently the subject of renewal negotiations. The outcome of these renewal negotiations could impact, and potentially increase, our music license fees. In addition, there is no guarantee that additional PRO's will not emerge, which could impact, and in some circumstances increase, our royalty rates and negotiation costs.</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participating member of the Radio Music Licensing Committee (“RMLC”), the Company is a party to a settlement reached with GMR on February 7, 2022. This agreement established a 4-year license running from April 1, 2022 to March 31, 2026. The license includes an optional 3-year extended term that the Company has opted into with the agreement now running through March 31, 2029.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We have non-cancelable operating leases for office space, studio space, broadcast towers and transmitter facilities that expire over the next forty-eight years. See Note </w:t>
      </w:r>
      <w:r>
        <w:rPr>
          <w:rFonts w:ascii="Times New Roman" w:cs="Times New Roman" w:eastAsia="Times New Roman" w:hAnsi="Times New Roman"/>
          <w:sz w:val="17"/>
          <w:szCs w:val="17"/>
          <w:i w:val="1"/>
          <w:iCs w:val="1"/>
          <w:color w:val="auto"/>
        </w:rPr>
        <w:t>12</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of the Company’s unaudited condensed consolidated financial statements for further discussion.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Contracts And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other operating contracts and agreements including employment contracts, on-air talent contracts, severance obligations, retention bonuses, consulting agreements, equipment rental agreements, programming-related agreements, and other general operating agreements that expire over the next 6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Reach Media Non-controlling Interest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Beginning on January 1, 2018, the non-controlling interest shareholders of Reach Media have had an annual right to require Reach Media to purchase all or a portion of their shares at the then current fair market value for such shares (the “Put Right”). This annual right is exercisable for a 30-day period beginning January 1 of each year. The purchase price for such shares may be paid in cash and/or registered Class D Common Stock of Urban One, at the discretion of Urban One. On February 14, 2025, certain non-controlling interest shareholders of Reach Media exercised their annual Put Right for approximately $3.2 million, increasing the Company’s interest in Reach Media to approximately 94.6% and decreasing the interest of the non-controlling interest shareholders from approximately 10.0% to approximately 5.4%. On January 13, 2026, the last of the non-controlling interest shareholders of Reach Media exercised their annual right to require Reach Media to purchase the remaining portion of their shares at the current fair market value for such shares (the “Put Right”). On February 25, 2026, Reach Media closed on the Put Interest increasing the Company’s interest in Reach Media to 100.0%. Reach Media paid the last of the non-controlling interest shareholders approximately $1.3 million for the 5.4%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Schedule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scheduled contractual obligations as of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27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74"/>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2031 and Beyond</w:t>
            </w:r>
          </w:p>
        </w:tc>
        <w:tc>
          <w:tcPr>
            <w:tcW w:w="1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10.500% First Lien Senior Secured</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i w:val="1"/>
                <w:iCs w:val="1"/>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87,873</w:t>
            </w:r>
          </w:p>
        </w:tc>
      </w:tr>
      <w:tr>
        <w:trPr>
          <w:trHeight w:val="22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7.625% Second Lien Secured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65"/>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362,794</w:t>
            </w: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ABL facility</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7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7.375% Subordinated Notes</w:t>
            </w:r>
            <w:r>
              <w:rPr>
                <w:rFonts w:ascii="Times New Roman" w:cs="Times New Roman" w:eastAsia="Times New Roman" w:hAnsi="Times New Roman"/>
                <w:sz w:val="23"/>
                <w:szCs w:val="23"/>
                <w:i w:val="1"/>
                <w:iCs w:val="1"/>
                <w:color w:val="auto"/>
                <w:vertAlign w:val="superscript"/>
              </w:rPr>
              <w:t>(2)</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7"/>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contracts/agreements</w:t>
            </w:r>
            <w:r>
              <w:rPr>
                <w:rFonts w:ascii="Times New Roman" w:cs="Times New Roman" w:eastAsia="Times New Roman" w:hAnsi="Times New Roman"/>
                <w:sz w:val="23"/>
                <w:szCs w:val="23"/>
                <w:i w:val="1"/>
                <w:iCs w:val="1"/>
                <w:color w:val="auto"/>
                <w:vertAlign w:val="superscript"/>
              </w:rPr>
              <w:t>(3)</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136,977</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67,502</w:t>
            </w:r>
          </w:p>
        </w:tc>
      </w:tr>
      <w:tr>
        <w:trPr>
          <w:trHeight w:val="27"/>
        </w:trPr>
        <w:tc>
          <w:tcPr>
            <w:tcW w:w="2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674,171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 w:firstLine="8"/>
        <w:spacing w:after="0" w:line="237" w:lineRule="auto"/>
        <w:tabs>
          <w:tab w:leader="none" w:pos="148"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interest obligations based on contractual interest rates on senior secured notes outstanding as of March 31, 2026. Interest is payable semi-annually in arrears on April 1 and October 1 of each year.</w:t>
      </w:r>
    </w:p>
    <w:p>
      <w:pPr>
        <w:spacing w:after="0" w:line="14" w:lineRule="exact"/>
        <w:rPr>
          <w:rFonts w:ascii="Times New Roman" w:cs="Times New Roman" w:eastAsia="Times New Roman" w:hAnsi="Times New Roman"/>
          <w:sz w:val="18"/>
          <w:szCs w:val="18"/>
          <w:color w:val="auto"/>
          <w:vertAlign w:val="superscript"/>
        </w:rPr>
      </w:pPr>
    </w:p>
    <w:p>
      <w:pPr>
        <w:ind w:firstLine="8"/>
        <w:spacing w:after="0"/>
        <w:tabs>
          <w:tab w:leader="none" w:pos="146"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interest obligations based on contractual interest rates on senior secured notes outstanding as of March 31, 2026. Interest is payable semi-annually in arrears on February 1 and August 1 of each year.</w:t>
      </w:r>
    </w:p>
    <w:p>
      <w:pPr>
        <w:spacing w:after="0" w:line="182" w:lineRule="exact"/>
        <w:rPr>
          <w:rFonts w:ascii="Times New Roman" w:cs="Times New Roman" w:eastAsia="Times New Roman" w:hAnsi="Times New Roman"/>
          <w:sz w:val="17"/>
          <w:szCs w:val="17"/>
          <w:color w:val="auto"/>
          <w:vertAlign w:val="superscript"/>
        </w:rPr>
      </w:pPr>
    </w:p>
    <w:p>
      <w:pPr>
        <w:jc w:val="both"/>
        <w:ind w:firstLine="8"/>
        <w:spacing w:after="0" w:line="281" w:lineRule="auto"/>
        <w:tabs>
          <w:tab w:leader="none" w:pos="187"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employment contracts (including the Employment Agreement Award), severance obligations, on-air talent contracts, consulting agreements, equipment rental agreements, programming related agreements, launch liability payments, and other general operating agreements. Also includes contracts that our Cable Television segment has entered into to acquire entertainment programming rights and programs from distributors and producers. These contracts relate to their content assets as well as prepaid programming related agreements.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total amount of other operating contracts and agreements included in the table above, approximately $112.8 million has not been recorded on the unaudited condensed consolidated balance sheet as of March 31, 2026, as it does not meet recognition criteria. Approximately $9.4 million relates to certain commitments for content agreements for our Cable Television segment, approximately $33.3 million relates to employment agreements, and the remainder relates to other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Current ABL Credit Facility provides for, among other things, commitments in the aggregate principal amount of up to $75.0 million (subject to determination with reference to the “Borrowing Base”, as defined in the Current ABL Credit Facility),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 Subsequent to the $10.0 million drawdown, the Company's borrowing capacity was approximately $31.8 million as of March 31, 2026. As of March 31, 2026, there were $10.0 million borrowings outstanding on the Current ABL Facility. After giving effect to the outstanding $10.0 million drawdown and adjustments to account for the Borrowing Base, the Company's borrowing capacity was approximately $31.8 million as of March 31, 2026.</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further drew $5.0 million in the second quarter of 2026, payable at an interest rate of approximately 6.75%. After giving effect to the outstanding $10.0 million drawdown, the additional $5.0 million drawdown in the second quarter of 2026 and adjustments to account for the Borrowing Base, the Company's borrowing capacity was approximately $22.0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Chief Executive Officer (“CEO”) and the Chief Financial Officer (“CFO”), of the effectiveness of the design and operation of our disclosure controls and procedures as of March 31, 2026. Disclosure controls and procedures, as defined in Rules 13a-15(e) and 15d-15(e) under the Exchange Act, are controls and other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only provide reasonable assurance of achieving the desired control objectives and management necessarily was required to apply its judgment in evaluating the cost-benefit relationship of possible controls and procedures. Our disclosure controls and procedures are designed to provide a reasonable level of assurance of reaching our desired disclosure controls objectives. Based on this evaluation, our CEO and CFO concluded that the Company’s disclosure controls and procedures were not effective as of March 31, 2026 as a result of material weaknesses as described below.</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Considering the material weaknesses in the Company’s internal control over financial reporting, we performed additional procedures to ensure that our unaudited condensed consolidated financial statements included in this quarterly report on Form 10-Q were prepared in accordance with GAAP. Following such additional procedures, our management, including our CEO and CFO, has concluded that our unaudited condensed consolidated financial statements present fairly, in all material respects, our financial position, results of operations, and cash flows for the periods presented in the quarterly report on Form 10-Q, in conformity with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Material weaknesses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identified the following material weaknesses in internal control over financial reporting as of March 31, 2026. A material weakness is a deficiency, or a combination of deficiencies, in internal control over financial reporting such that there is a reasonable possibility that a material misstatement of our consolidated annual or interim financial statements will not be prevented or detected on a timely basis.</w:t>
      </w:r>
    </w:p>
    <w:p>
      <w:pPr>
        <w:spacing w:after="0" w:line="203" w:lineRule="exact"/>
        <w:rPr>
          <w:sz w:val="20"/>
          <w:szCs w:val="20"/>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Environment, Information and Communication, and Monitoring – We did not design and maintain effective entity-level controls impacting the (1) control environment, (2) identification of control activities, and (3) monitoring activities to prevent or detect material misstatements to the consolidated financial statements and assess whether the components of internal control were present and functioning. We did not adequately communicate the relevant information, including objectives and responsibilities, necessary to support the functioning of internal control over financial reporting. We did not develop and perform sufficient ongoing evaluations to ascertain whether the components of internal control were present and functioning.</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Activities and Information and Communication – We did not have adequate selection and development of effective control activities resulting in the following material weaknesses: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2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our financial statement close process. This includes an inadequate level of precision in management’s review during the financial statement close process, an inadequate evaluation and review of the accounting for significant and non-recurring transactions, ineffective design and operating effectiveness of controls to support proper segregation of duties related to the review of manual journal entries and account reconciliations and an inadequate review as part of its reporting and disclosure process.</w:t>
      </w:r>
    </w:p>
    <w:p>
      <w:pPr>
        <w:spacing w:after="0" w:line="183"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management review controls over transactions that require significant judgment. Specifically, controls are not designed to sufficiently evaluate the completeness and accuracy of data used in account analyses related to judgmental areas. Additionally, the Company’s management review controls are not operating effectively, as sufficient evidence was not maintained to demonstrate that reviews occurred with a sufficient level of precision to detect a material misstatement.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material weaknesses resulted in immaterial errors primarily related to stock-based compensation and the Company’s investment in the operations of RVA Entertainment Holdings, LLC (“RVAEH”) and related income tax accounts, which resulted in the revision of the Company’s financial statements for fiscal year ended December 31, 2022. The Company, in the process of correcting these immaterial errors, recorded other immaterial adjustments previously identified during fiscal year 2022. The adjustments, in aggregate, impacted trade accounts receivable, net, accounts payable, other long-term liabilities, and accumulated deficit in the consolidated balance sheets and selling, general and administrative expenses, and related tax effect in the consolidated statements of operations. Also, these material weaknesses resulted in immaterial errors to the Company’s annual year ended December 31, 2025 annual financial statements, primarily related to selling, general and administrative expenses and accrued liabilities. Additionally, the material weaknesses could result in a misstatement of substantially all account balances or disclosures that would result in a material misstatement of the annual or interim consolidated financial statements that would not be prevented or detected.</w:t>
      </w:r>
    </w:p>
    <w:p>
      <w:pPr>
        <w:spacing w:after="0" w:line="188" w:lineRule="exact"/>
        <w:rPr>
          <w:sz w:val="20"/>
          <w:szCs w:val="20"/>
          <w:color w:val="auto"/>
        </w:rPr>
      </w:pPr>
    </w:p>
    <w:p>
      <w:pPr>
        <w:jc w:val="both"/>
        <w:ind w:left="660" w:hanging="328"/>
        <w:spacing w:after="0" w:line="25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General Control Activities – We did not design and maintain information technology ("IT") general controls in the areas of user access, program change management, and IT operations for information technology systems that support the Company’s internal control over financial reporting. Specifically, we did not design and maintain (1) user access controls that adequately restrict privileged and end-user access to financial applications, system infrastructure including intrusion detection and incident response capability, programs, and data to appropriate company personnel, including consideration of segregation of incompatible duties; (2) change management controls for financial applications and related system infrastructure to provide reasonable assurance that IT program and data changes are authorized, sufficiently tested, approved, and implemented appropriately; and (3) IT operations controls for certain financial applications to monitor that scheduled financial programs have run and were operating as intended and data backups and recovery are monitored.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material weaknesses.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related to the material weaknesses in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identified, management has made significant progress to remediate the control deficiencies contributing to the material weaknesses. Management is committed to the planning and implementation of remediation efforts to address the material weaknesses. These remediation efforts, summarized below, which have been implemented, or are in the process of implementation, are intended to both address the identified material weaknesses and to enhance our overall control environment. Our initiatives include the following:</w:t>
      </w:r>
    </w:p>
    <w:p>
      <w:pPr>
        <w:spacing w:after="0" w:line="207" w:lineRule="exact"/>
        <w:rPr>
          <w:sz w:val="20"/>
          <w:szCs w:val="20"/>
          <w:color w:val="auto"/>
        </w:rPr>
      </w:pPr>
    </w:p>
    <w:p>
      <w:pPr>
        <w:jc w:val="both"/>
        <w:ind w:left="660" w:hanging="328"/>
        <w:spacing w:after="0" w:line="266"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address the material weakness in the control environment, information and communication, and monitoring, management continues to enhance entity-level controls by improving policies, enhancing the organizational structure, and engaging external expertise to strengthen internal control over financial reporting. Specifically, we: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accounting department by hiring senior leaders with expertise in U.S. GAAP, SEC reporting, public company SOX and associated internal controls. We also hired additional IT personnel with relevant expertise to support and oversee the execution of IT General Controls.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assess personnel needs and will continue efforts to hire and retain additional qualified staff, as necessary.</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centralize functions under Corporate and shared-services model to ensure consistent execution of controls across the entire Company.</w:t>
      </w:r>
    </w:p>
    <w:p>
      <w:pPr>
        <w:ind w:left="1300" w:hanging="320"/>
        <w:spacing w:after="0" w:line="250"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financial risk assessment, engaging external resources to implement a controls evaluation strategy to establish a robust financial controls governance structure.</w:t>
      </w:r>
    </w:p>
    <w:p>
      <w:pPr>
        <w:ind w:left="1300" w:hanging="320"/>
        <w:spacing w:after="0" w:line="260"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expert SOX consultants to assist in the coordination, development, and testing of our control environment and material weakness remediation efforts.</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continues to take several measures to address the material weaknesses in IT general controls, including:</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and standardizing policies and procedures to support consistent application of controls IT processes.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access controls and enforcing segregation of duties for certain key financial applications.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IT change management controls, including monitoring of changes, for relevant financial applications and related system infrastructure.</w:t>
      </w: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IT operations controls to monitor that scheduled financial programs are operating as intended.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design of enhanced IT General Controls and initiated ongoing monitoring activities to address deficiencies.</w:t>
      </w:r>
    </w:p>
    <w:p>
      <w:pPr>
        <w:spacing w:after="0" w:line="23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continue to prioritize efforts to strengthen the controls related to the identified material weaknesses related to control activities and information and communication. Progress toward remediation includes:</w:t>
      </w:r>
    </w:p>
    <w:p>
      <w:pPr>
        <w:spacing w:after="0" w:line="189"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controls over the financial statement close process:</w:t>
      </w:r>
    </w:p>
    <w:p>
      <w:pPr>
        <w:spacing w:after="0" w:line="252" w:lineRule="exact"/>
        <w:rPr>
          <w:sz w:val="20"/>
          <w:szCs w:val="20"/>
          <w:color w:val="auto"/>
        </w:rPr>
      </w:pPr>
    </w:p>
    <w:p>
      <w:pPr>
        <w:ind w:left="1300" w:hanging="320"/>
        <w:spacing w:after="0" w:line="26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formal documentation and communication of accounting policies, journal entry approval policies, management review checklists, and procedures to support the financial statement close process.</w:t>
      </w:r>
    </w:p>
    <w:p>
      <w:pPr>
        <w:ind w:left="1300" w:hanging="320"/>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trainings with control owners on executing enhanced controls, focusing on evidencing key control procedures, precision of review, review documentation and validation of the completeness and accuracy of data used in analyses.</w:t>
      </w: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documentation of the completeness and accuracy of source data, and timeliness of account reconciliations.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00" w:hanging="320"/>
        <w:spacing w:after="0" w:line="261" w:lineRule="auto"/>
        <w:tabs>
          <w:tab w:leader="none" w:pos="12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of the financial statement close process and controls by enhancing the review of account reconciliations, consolidated financial statements, and disclosures, and implementing financial reporting software to enhance automation and workflows.</w:t>
      </w: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design of related business processes and initiated ongoing monitoring activities to address deficiencies.</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2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the general ledger of a cloud-based ERP system, which will help prevent and detect errors, enforce segregation of duties, and automate manual review controls and workflow regarding the review of manual journal entries.</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management review controls over non-recurring transactions and significant judgments:</w:t>
      </w:r>
    </w:p>
    <w:p>
      <w:pPr>
        <w:spacing w:after="0" w:line="252" w:lineRule="exact"/>
        <w:rPr>
          <w:sz w:val="20"/>
          <w:szCs w:val="20"/>
          <w:color w:val="auto"/>
        </w:rPr>
      </w:pPr>
    </w:p>
    <w:p>
      <w:pPr>
        <w:ind w:left="1300" w:hanging="320"/>
        <w:spacing w:after="0" w:line="261" w:lineRule="auto"/>
        <w:tabs>
          <w:tab w:leader="none" w:pos="1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and enhancement of the precision of review of non-recurring transactions and significant estimates through improved communication, technical analysis, and expert consultation.</w:t>
      </w:r>
    </w:p>
    <w:p>
      <w:pPr>
        <w:ind w:left="1300" w:right="20" w:hanging="320"/>
        <w:spacing w:after="0" w:line="260" w:lineRule="auto"/>
        <w:tabs>
          <w:tab w:leader="none" w:pos="13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oversight controls for non-recurring transactions and judgmental areas to ensure accuracy and completeness of data used in analysis and disclosures.</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not be able to fully remediate these material weaknesses until all of these steps have been completed and have been operating effectively for a sufficient period of time. The actions that we are taking are subject to ongoing senior management review, as well as oversight by the audit committee of our Board of Directors. Additionally, we may also conclude that additional measures may be required to remediate the material weaknesses. We will continue to monitor the design and effectiveness of these and other processes, procedures, and controls and make any further changes management deems appropriate.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Urban One is involved from time to time in various routine legal and administrative proceedings and threatened legal and administrative proceedings incidental to the ordinary course of our business. Urban One believes the resolution of such matters will not have a material adverse effect on its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risk factors are described in our Form 10-K for the year ended December 31, 2025, under the heading Part I, "Item 1A. Risk Factors". There have been no changes to our risk factors from those disclosed in our Form 10-K filed March 20,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During the </w:t>
      </w:r>
      <w:r>
        <w:rPr>
          <w:rFonts w:ascii="Times New Roman" w:cs="Times New Roman" w:eastAsia="Times New Roman" w:hAnsi="Times New Roman"/>
          <w:sz w:val="18"/>
          <w:szCs w:val="18"/>
          <w:color w:val="000000"/>
        </w:rPr>
        <w:t>three months ended March 31, 2026</w:t>
      </w:r>
      <w:r>
        <w:rPr>
          <w:rFonts w:ascii="Times New Roman" w:cs="Times New Roman" w:eastAsia="Times New Roman" w:hAnsi="Times New Roman"/>
          <w:sz w:val="18"/>
          <w:szCs w:val="18"/>
          <w:color w:val="242424"/>
        </w:rPr>
        <w:t>, none of our directors or officers (as defined in Rule 16a-1(f) under the Exchange Act) adopted or terminated a Rule 10b5-1 trading arrangement intended to satisfy the affirmative defenses of Rule 10b5-1 under the Securities Exchange Act of 1934 or a “non-Rule 10b5-1 trading arrangement,” as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60" w:type="dxa"/>
            <w:vAlign w:val="bottom"/>
            <w:gridSpan w:val="5"/>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6"/>
        </w:trPr>
        <w:tc>
          <w:tcPr>
            <w:tcW w:w="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1"/>
                <w:szCs w:val="21"/>
                <w:color w:val="auto"/>
              </w:rPr>
            </w:pPr>
          </w:p>
        </w:tc>
        <w:tc>
          <w:tcPr>
            <w:tcW w:w="2940" w:type="dxa"/>
            <w:vAlign w:val="bottom"/>
            <w:gridSpan w:val="3"/>
          </w:tcPr>
          <w:p>
            <w:pPr>
              <w:spacing w:after="0"/>
              <w:rPr>
                <w:sz w:val="21"/>
                <w:szCs w:val="21"/>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18 U.S.C. § 1350, as adopted pursuant to Section 906 of the Sarbanes-Oxley Act of</w:t>
            </w:r>
          </w:p>
        </w:tc>
        <w:tc>
          <w:tcPr>
            <w:tcW w:w="380" w:type="dxa"/>
            <w:vAlign w:val="bottom"/>
          </w:tcPr>
          <w:p>
            <w:pPr>
              <w:spacing w:after="0"/>
              <w:rPr>
                <w:sz w:val="21"/>
                <w:szCs w:val="2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 1350, as adopted pursuant to Section 906 of the Sarbanes-Oxley Act of</w:t>
            </w: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3"/>
              </w:rPr>
              <w:t>2002.</w:t>
            </w:r>
          </w:p>
        </w:tc>
        <w:tc>
          <w:tcPr>
            <w:tcW w:w="6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60" w:type="dxa"/>
            <w:vAlign w:val="bottom"/>
            <w:gridSpan w:val="5"/>
          </w:tcPr>
          <w:p>
            <w:pPr>
              <w:spacing w:after="0" w:line="20" w:lineRule="exact"/>
              <w:rPr>
                <w:sz w:val="1"/>
                <w:szCs w:val="1"/>
                <w:color w:val="auto"/>
              </w:rPr>
            </w:pPr>
          </w:p>
        </w:tc>
      </w:tr>
      <w:tr>
        <w:trPr>
          <w:trHeight w:val="2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Financial information from the Quarterly Report on Form 10-Q for the quarter ended March 31, 2026, formatted in Inline XBRL.</w:t>
            </w:r>
          </w:p>
        </w:tc>
      </w:tr>
    </w:tbl>
    <w:p>
      <w:pPr>
        <w:spacing w:after="0" w:line="36" w:lineRule="exact"/>
        <w:rPr>
          <w:sz w:val="20"/>
          <w:szCs w:val="20"/>
          <w:color w:val="auto"/>
        </w:rPr>
      </w:pPr>
    </w:p>
    <w:p>
      <w:pPr>
        <w:ind w:left="1080" w:right="3580" w:hanging="1054"/>
        <w:spacing w:after="0" w:line="344"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or furnished herewith</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URBAN ONE, INC.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Peter D. Thompson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51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C. Liggins, III, Chief Executive Officer and President of Urban One, Inc., certify that:</w:t>
      </w:r>
    </w:p>
    <w:p>
      <w:pPr>
        <w:spacing w:after="0" w:line="239" w:lineRule="exact"/>
        <w:rPr>
          <w:sz w:val="20"/>
          <w:szCs w:val="20"/>
          <w:color w:val="auto"/>
        </w:rPr>
      </w:pPr>
    </w:p>
    <w:p>
      <w:pPr>
        <w:ind w:left="700" w:hanging="329"/>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Urban One, Inc.;</w:t>
      </w:r>
    </w:p>
    <w:p>
      <w:pPr>
        <w:spacing w:after="0" w:line="238" w:lineRule="exact"/>
        <w:rPr>
          <w:rFonts w:ascii="Times New Roman" w:cs="Times New Roman" w:eastAsia="Times New Roman" w:hAnsi="Times New Roman"/>
          <w:sz w:val="18"/>
          <w:szCs w:val="18"/>
          <w:color w:val="auto"/>
        </w:rPr>
      </w:pPr>
    </w:p>
    <w:p>
      <w:pPr>
        <w:jc w:val="both"/>
        <w:ind w:left="700" w:right="80" w:hanging="329"/>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700" w:right="40" w:hanging="329"/>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80" w:hanging="329"/>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080" w:hanging="385"/>
        <w:spacing w:after="0" w:line="266" w:lineRule="auto"/>
        <w:tabs>
          <w:tab w:leader="none" w:pos="10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80" w:right="280" w:hanging="385"/>
        <w:spacing w:after="0" w:line="266" w:lineRule="auto"/>
        <w:tabs>
          <w:tab w:leader="none" w:pos="10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080" w:right="440" w:hanging="385"/>
        <w:spacing w:after="0" w:line="312" w:lineRule="auto"/>
        <w:tabs>
          <w:tab w:leader="none" w:pos="107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80" w:right="200" w:hanging="385"/>
        <w:spacing w:after="0" w:line="266" w:lineRule="auto"/>
        <w:tabs>
          <w:tab w:leader="none" w:pos="10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quarter in the case of this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700" w:right="240" w:hanging="329"/>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80" w:right="740" w:hanging="385"/>
        <w:spacing w:after="0" w:line="282" w:lineRule="auto"/>
        <w:tabs>
          <w:tab w:leader="none" w:pos="10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80" w:right="440" w:hanging="385"/>
        <w:spacing w:after="0" w:line="282" w:lineRule="auto"/>
        <w:tabs>
          <w:tab w:leader="none" w:pos="107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Alfred C. Liggins,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Alfred C. Liggins, III</w:t>
      </w:r>
    </w:p>
    <w:p>
      <w:pPr>
        <w:spacing w:after="0" w:line="4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1240"/>
          </w:cols>
          <w:pgMar w:left="320" w:top="115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D. Thompson, Executive Vice President, Chief Financial Officer and Principal Accounting Officer of Urban One, Inc., certify that:</w:t>
      </w:r>
    </w:p>
    <w:p>
      <w:pPr>
        <w:spacing w:after="0" w:line="239" w:lineRule="exact"/>
        <w:rPr>
          <w:sz w:val="20"/>
          <w:szCs w:val="20"/>
          <w:color w:val="auto"/>
        </w:rPr>
      </w:pPr>
    </w:p>
    <w:p>
      <w:pPr>
        <w:ind w:left="700" w:hanging="329"/>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Urban One, Inc.;</w:t>
      </w:r>
    </w:p>
    <w:p>
      <w:pPr>
        <w:spacing w:after="0" w:line="238" w:lineRule="exact"/>
        <w:rPr>
          <w:rFonts w:ascii="Times New Roman" w:cs="Times New Roman" w:eastAsia="Times New Roman" w:hAnsi="Times New Roman"/>
          <w:sz w:val="18"/>
          <w:szCs w:val="18"/>
          <w:color w:val="auto"/>
        </w:rPr>
      </w:pPr>
    </w:p>
    <w:p>
      <w:pPr>
        <w:jc w:val="both"/>
        <w:ind w:left="700" w:right="80" w:hanging="329"/>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700" w:right="40" w:hanging="329"/>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80" w:hanging="329"/>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080" w:hanging="385"/>
        <w:spacing w:after="0" w:line="266" w:lineRule="auto"/>
        <w:tabs>
          <w:tab w:leader="none" w:pos="107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080" w:right="280" w:hanging="385"/>
        <w:spacing w:after="0" w:line="266" w:lineRule="auto"/>
        <w:tabs>
          <w:tab w:leader="none" w:pos="10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080" w:right="440" w:hanging="385"/>
        <w:spacing w:after="0" w:line="312" w:lineRule="auto"/>
        <w:tabs>
          <w:tab w:leader="none" w:pos="107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80" w:right="200" w:hanging="385"/>
        <w:spacing w:after="0" w:line="266" w:lineRule="auto"/>
        <w:tabs>
          <w:tab w:leader="none" w:pos="10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quarter in the case of this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700" w:right="160" w:hanging="329"/>
        <w:spacing w:after="0" w:line="282"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80" w:right="700" w:hanging="385"/>
        <w:spacing w:after="0" w:line="282" w:lineRule="auto"/>
        <w:tabs>
          <w:tab w:leader="none" w:pos="107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80" w:right="440" w:hanging="385"/>
        <w:spacing w:after="0" w:line="282" w:lineRule="auto"/>
        <w:tabs>
          <w:tab w:leader="none" w:pos="10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Peter D. Thompson</w:t>
      </w:r>
    </w:p>
    <w:p>
      <w:pPr>
        <w:spacing w:after="0" w:line="4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Chief Financial Officer and Principal Accounting Officer</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14, 2026</w:t>
      </w:r>
    </w:p>
    <w:p>
      <w:pPr>
        <w:sectPr>
          <w:pgSz w:w="11900" w:h="16838" w:orient="portrait"/>
          <w:cols w:equalWidth="0" w:num="1">
            <w:col w:w="11240"/>
          </w:cols>
          <w:pgMar w:left="320" w:top="115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Urban 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certifies, to such officer’s knowledge, that:</w:t>
      </w:r>
    </w:p>
    <w:p>
      <w:pPr>
        <w:spacing w:after="0" w:line="220" w:lineRule="exact"/>
        <w:rPr>
          <w:sz w:val="20"/>
          <w:szCs w:val="20"/>
          <w:color w:val="auto"/>
        </w:rPr>
      </w:pPr>
    </w:p>
    <w:p>
      <w:pPr>
        <w:ind w:left="700" w:hanging="329"/>
        <w:spacing w:after="0" w:line="282" w:lineRule="auto"/>
        <w:tabs>
          <w:tab w:leader="none" w:pos="6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three months ended March 31, 2026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80" w:hanging="309"/>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Alfred C. Liggins,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Alfred C. Liggins, III</w:t>
      </w:r>
    </w:p>
    <w:p>
      <w:pPr>
        <w:spacing w:after="0" w:line="61" w:lineRule="exact"/>
        <w:rPr>
          <w:sz w:val="20"/>
          <w:szCs w:val="20"/>
          <w:color w:val="auto"/>
        </w:rPr>
      </w:pPr>
    </w:p>
    <w:p>
      <w:pPr>
        <w:sectPr>
          <w:pgSz w:w="11900" w:h="16838" w:orient="portrait"/>
          <w:cols w:equalWidth="0" w:num="2">
            <w:col w:w="6480" w:space="320"/>
            <w:col w:w="4440"/>
          </w:cols>
          <w:pgMar w:left="320" w:top="1157" w:right="339" w:bottom="1440" w:gutter="0" w:footer="0" w:header="0"/>
          <w:type w:val="continuous"/>
        </w:sectPr>
      </w:pPr>
    </w:p>
    <w:p>
      <w:pPr>
        <w:ind w:left="6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1" w:lineRule="exact"/>
        <w:rPr>
          <w:sz w:val="20"/>
          <w:szCs w:val="20"/>
          <w:color w:val="auto"/>
        </w:rPr>
      </w:pPr>
    </w:p>
    <w:p>
      <w:pPr>
        <w:sectPr>
          <w:pgSz w:w="11900" w:h="16838" w:orient="portrait"/>
          <w:cols w:equalWidth="0" w:num="2">
            <w:col w:w="6380" w:space="420"/>
            <w:col w:w="4440"/>
          </w:cols>
          <w:pgMar w:left="320" w:top="1157"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0" w:lineRule="exact"/>
        <w:rPr>
          <w:sz w:val="20"/>
          <w:szCs w:val="20"/>
          <w:color w:val="auto"/>
        </w:rPr>
      </w:pPr>
    </w:p>
    <w:p>
      <w:pPr>
        <w:spacing w:after="0" w:line="266"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Urban One, Inc. and will be retained by Urban One, Inc. and furnished to the Securities and Exchange Commission or its staff upon request.</w:t>
      </w:r>
    </w:p>
    <w:p>
      <w:pPr>
        <w:sectPr>
          <w:pgSz w:w="11900" w:h="16838" w:orient="portrait"/>
          <w:cols w:equalWidth="0" w:num="1">
            <w:col w:w="11240"/>
          </w:cols>
          <w:pgMar w:left="320" w:top="1157" w:right="339" w:bottom="1440" w:gutter="0" w:footer="0" w:header="0"/>
          <w:type w:val="continuous"/>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Urban 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certifies, to such officer’s knowledge, that:</w:t>
      </w:r>
    </w:p>
    <w:p>
      <w:pPr>
        <w:spacing w:after="0" w:line="220" w:lineRule="exact"/>
        <w:rPr>
          <w:sz w:val="20"/>
          <w:szCs w:val="20"/>
          <w:color w:val="auto"/>
        </w:rPr>
      </w:pPr>
    </w:p>
    <w:p>
      <w:pPr>
        <w:ind w:left="700" w:right="20" w:hanging="329"/>
        <w:spacing w:after="0" w:line="282" w:lineRule="auto"/>
        <w:tabs>
          <w:tab w:leader="none" w:pos="6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three months ended March 31, 2026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680" w:hanging="309"/>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Peter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2829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D. Thompson</w:t>
      </w:r>
    </w:p>
    <w:p>
      <w:pPr>
        <w:spacing w:after="0" w:line="61" w:lineRule="exact"/>
        <w:rPr>
          <w:sz w:val="20"/>
          <w:szCs w:val="20"/>
          <w:color w:val="auto"/>
        </w:rPr>
      </w:pPr>
    </w:p>
    <w:p>
      <w:pPr>
        <w:sectPr>
          <w:pgSz w:w="11900" w:h="16838" w:orient="portrait"/>
          <w:cols w:equalWidth="0" w:num="2">
            <w:col w:w="6480" w:space="320"/>
            <w:col w:w="4440"/>
          </w:cols>
          <w:pgMar w:left="320" w:top="1157" w:right="339" w:bottom="1440" w:gutter="0" w:footer="0" w:header="0"/>
          <w:type w:val="continuous"/>
        </w:sectPr>
      </w:pPr>
    </w:p>
    <w:p>
      <w:pPr>
        <w:ind w:left="6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61" w:lineRule="exact"/>
        <w:rPr>
          <w:sz w:val="20"/>
          <w:szCs w:val="20"/>
          <w:color w:val="auto"/>
        </w:rPr>
      </w:pPr>
    </w:p>
    <w:p>
      <w:pPr>
        <w:sectPr>
          <w:pgSz w:w="11900" w:h="16838" w:orient="portrait"/>
          <w:cols w:equalWidth="0" w:num="2">
            <w:col w:w="6380" w:space="420"/>
            <w:col w:w="4440"/>
          </w:cols>
          <w:pgMar w:left="320" w:top="1157"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00" w:lineRule="exact"/>
        <w:rPr>
          <w:sz w:val="20"/>
          <w:szCs w:val="20"/>
          <w:color w:val="auto"/>
        </w:rPr>
      </w:pPr>
    </w:p>
    <w:p>
      <w:pPr>
        <w:spacing w:after="0" w:line="266"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Urban One, Inc. and will be retained by Urban One, Inc. and furnished to the Securities and Exchange Commission or its staff upon request.</w:t>
      </w:r>
    </w:p>
    <w:sectPr>
      <w:pgSz w:w="11900" w:h="16838" w:orient="portrait"/>
      <w:cols w:equalWidth="0" w:num="1">
        <w:col w:w="11240"/>
      </w:cols>
      <w:pgMar w:left="320" w:top="115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2"/>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lowerRoman"/>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3"/>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lvl w:ilvl="1">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2026-05-14T08:22:49Z</dcterms:created>
  <dcterms:modified xsi:type="dcterms:W3CDTF">2026-05-14T08:22:49Z</dcterms:modified>
</cp:coreProperties>
</file>